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206" w:rsidRPr="00902F2A" w:rsidRDefault="00A61CD2" w:rsidP="00550CAB">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KINGSTONE RINGISAI MAKARICHI</w:t>
      </w:r>
      <w:r w:rsidR="00C41974">
        <w:rPr>
          <w:rFonts w:ascii="Times New Roman" w:hAnsi="Times New Roman" w:cs="Times New Roman"/>
          <w:sz w:val="24"/>
          <w:szCs w:val="24"/>
        </w:rPr>
        <w:t xml:space="preserve"> </w:t>
      </w:r>
      <w:r w:rsidR="00DA4E3D">
        <w:rPr>
          <w:rFonts w:ascii="Times New Roman" w:hAnsi="Times New Roman" w:cs="Times New Roman"/>
          <w:sz w:val="24"/>
          <w:szCs w:val="24"/>
        </w:rPr>
        <w:t xml:space="preserve"> </w:t>
      </w:r>
    </w:p>
    <w:p w:rsidR="0081013D" w:rsidRPr="00902F2A" w:rsidRDefault="009B4612" w:rsidP="00DC2A46">
      <w:pPr>
        <w:pStyle w:val="NoSpacing"/>
        <w:rPr>
          <w:rFonts w:ascii="Times New Roman" w:hAnsi="Times New Roman" w:cs="Times New Roman"/>
          <w:sz w:val="24"/>
          <w:szCs w:val="24"/>
        </w:rPr>
      </w:pPr>
      <w:r w:rsidRPr="00902F2A">
        <w:rPr>
          <w:rFonts w:ascii="Times New Roman" w:hAnsi="Times New Roman" w:cs="Times New Roman"/>
          <w:sz w:val="24"/>
          <w:szCs w:val="24"/>
        </w:rPr>
        <w:t>v</w:t>
      </w:r>
      <w:r w:rsidR="00673887" w:rsidRPr="00902F2A">
        <w:rPr>
          <w:rFonts w:ascii="Times New Roman" w:hAnsi="Times New Roman" w:cs="Times New Roman"/>
          <w:sz w:val="24"/>
          <w:szCs w:val="24"/>
        </w:rPr>
        <w:t>ersus</w:t>
      </w:r>
    </w:p>
    <w:p w:rsidR="00DA4E3D" w:rsidRDefault="00A61CD2" w:rsidP="001A4E4C">
      <w:pPr>
        <w:pStyle w:val="NoSpacing"/>
        <w:rPr>
          <w:rFonts w:ascii="Times New Roman" w:hAnsi="Times New Roman" w:cs="Times New Roman"/>
          <w:sz w:val="24"/>
          <w:szCs w:val="24"/>
        </w:rPr>
      </w:pPr>
      <w:r>
        <w:rPr>
          <w:rFonts w:ascii="Times New Roman" w:hAnsi="Times New Roman" w:cs="Times New Roman"/>
          <w:sz w:val="24"/>
          <w:szCs w:val="24"/>
        </w:rPr>
        <w:t>AGNES MABVUNZA</w:t>
      </w:r>
    </w:p>
    <w:p w:rsidR="00123FD7" w:rsidRDefault="00123FD7" w:rsidP="001F7BE4">
      <w:pPr>
        <w:spacing w:after="0" w:line="240" w:lineRule="auto"/>
        <w:jc w:val="both"/>
        <w:rPr>
          <w:rFonts w:ascii="Times New Roman" w:hAnsi="Times New Roman" w:cs="Times New Roman"/>
          <w:sz w:val="24"/>
          <w:szCs w:val="24"/>
        </w:rPr>
      </w:pPr>
    </w:p>
    <w:p w:rsidR="001F7BE4" w:rsidRDefault="001F7BE4"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A61CD2">
        <w:rPr>
          <w:rFonts w:ascii="Times New Roman" w:hAnsi="Times New Roman" w:cs="Times New Roman"/>
          <w:sz w:val="24"/>
          <w:szCs w:val="24"/>
        </w:rPr>
        <w:t xml:space="preserve">18 &amp; </w:t>
      </w:r>
      <w:r w:rsidR="001A4E4C">
        <w:rPr>
          <w:rFonts w:ascii="Times New Roman" w:hAnsi="Times New Roman" w:cs="Times New Roman"/>
          <w:sz w:val="24"/>
          <w:szCs w:val="24"/>
        </w:rPr>
        <w:t>19 March,</w:t>
      </w:r>
      <w:r w:rsidR="00A51E01">
        <w:rPr>
          <w:rFonts w:ascii="Times New Roman" w:hAnsi="Times New Roman" w:cs="Times New Roman"/>
          <w:sz w:val="24"/>
          <w:szCs w:val="24"/>
        </w:rPr>
        <w:t xml:space="preserve"> &amp;</w:t>
      </w:r>
      <w:r w:rsidR="001A4E4C">
        <w:rPr>
          <w:rFonts w:ascii="Times New Roman" w:hAnsi="Times New Roman" w:cs="Times New Roman"/>
          <w:sz w:val="24"/>
          <w:szCs w:val="24"/>
        </w:rPr>
        <w:t xml:space="preserve"> 28 April 2021</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1F7BE4" w:rsidRDefault="00AD30D7" w:rsidP="00D47206">
      <w:p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r w:rsidR="00AB6264">
        <w:rPr>
          <w:rFonts w:ascii="Times New Roman" w:hAnsi="Times New Roman" w:cs="Times New Roman"/>
          <w:b/>
          <w:sz w:val="24"/>
          <w:szCs w:val="24"/>
        </w:rPr>
        <w:t xml:space="preserve"> </w:t>
      </w:r>
      <w:r w:rsidR="007A0ADB">
        <w:rPr>
          <w:rFonts w:ascii="Times New Roman" w:hAnsi="Times New Roman" w:cs="Times New Roman"/>
          <w:b/>
          <w:sz w:val="24"/>
          <w:szCs w:val="24"/>
        </w:rPr>
        <w:t>–</w:t>
      </w:r>
      <w:r w:rsidR="00B27F25">
        <w:rPr>
          <w:rFonts w:ascii="Times New Roman" w:hAnsi="Times New Roman" w:cs="Times New Roman"/>
          <w:b/>
          <w:sz w:val="24"/>
          <w:szCs w:val="24"/>
        </w:rPr>
        <w:t xml:space="preserve"> </w:t>
      </w:r>
      <w:r w:rsidR="00A61CD2">
        <w:rPr>
          <w:rFonts w:ascii="Times New Roman" w:hAnsi="Times New Roman" w:cs="Times New Roman"/>
          <w:b/>
          <w:sz w:val="24"/>
          <w:szCs w:val="24"/>
        </w:rPr>
        <w:t>to compel discovery, filing of summary of evidence, PTC issues, bundle of documents and attend round table conference</w:t>
      </w:r>
    </w:p>
    <w:p w:rsidR="00D47206" w:rsidRDefault="00D47206" w:rsidP="00D47206">
      <w:pPr>
        <w:tabs>
          <w:tab w:val="left" w:pos="5025"/>
        </w:tabs>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AD30D7" w:rsidRDefault="00F40BC8" w:rsidP="00AD30D7">
      <w:pPr>
        <w:spacing w:after="0" w:line="240" w:lineRule="auto"/>
        <w:rPr>
          <w:rFonts w:ascii="Times New Roman" w:hAnsi="Times New Roman" w:cs="Times New Roman"/>
          <w:sz w:val="24"/>
          <w:szCs w:val="24"/>
        </w:rPr>
      </w:pPr>
      <w:r w:rsidRPr="00A51E01">
        <w:rPr>
          <w:rFonts w:ascii="Times New Roman" w:hAnsi="Times New Roman" w:cs="Times New Roman"/>
          <w:sz w:val="24"/>
          <w:szCs w:val="24"/>
        </w:rPr>
        <w:t>M</w:t>
      </w:r>
      <w:r w:rsidR="004877F9" w:rsidRPr="00A51E01">
        <w:rPr>
          <w:rFonts w:ascii="Times New Roman" w:hAnsi="Times New Roman" w:cs="Times New Roman"/>
          <w:sz w:val="24"/>
          <w:szCs w:val="24"/>
        </w:rPr>
        <w:t>r</w:t>
      </w:r>
      <w:r w:rsidR="004877F9">
        <w:rPr>
          <w:rFonts w:ascii="Times New Roman" w:hAnsi="Times New Roman" w:cs="Times New Roman"/>
          <w:i/>
          <w:sz w:val="24"/>
          <w:szCs w:val="24"/>
        </w:rPr>
        <w:t xml:space="preserve"> </w:t>
      </w:r>
      <w:r w:rsidR="00A61CD2">
        <w:rPr>
          <w:rFonts w:ascii="Times New Roman" w:hAnsi="Times New Roman" w:cs="Times New Roman"/>
          <w:i/>
          <w:sz w:val="24"/>
          <w:szCs w:val="24"/>
        </w:rPr>
        <w:t>Muringani</w:t>
      </w:r>
      <w:r w:rsidR="00A011B9">
        <w:rPr>
          <w:rFonts w:ascii="Times New Roman" w:hAnsi="Times New Roman" w:cs="Times New Roman"/>
          <w:i/>
          <w:sz w:val="24"/>
          <w:szCs w:val="24"/>
        </w:rPr>
        <w:t xml:space="preserve">, </w:t>
      </w:r>
      <w:r w:rsidR="00A011B9">
        <w:rPr>
          <w:rFonts w:ascii="Times New Roman" w:hAnsi="Times New Roman" w:cs="Times New Roman"/>
          <w:sz w:val="24"/>
          <w:szCs w:val="24"/>
        </w:rPr>
        <w:t>for the a</w:t>
      </w:r>
      <w:r w:rsidR="004E5EC6">
        <w:rPr>
          <w:rFonts w:ascii="Times New Roman" w:hAnsi="Times New Roman" w:cs="Times New Roman"/>
          <w:sz w:val="24"/>
          <w:szCs w:val="24"/>
        </w:rPr>
        <w:t>pplicant</w:t>
      </w:r>
    </w:p>
    <w:p w:rsidR="001245CF" w:rsidRPr="001245CF" w:rsidRDefault="001A4E4C" w:rsidP="004877F9">
      <w:pPr>
        <w:spacing w:after="0" w:line="240" w:lineRule="auto"/>
        <w:rPr>
          <w:rFonts w:ascii="Times New Roman" w:hAnsi="Times New Roman" w:cs="Times New Roman"/>
          <w:sz w:val="24"/>
          <w:szCs w:val="24"/>
        </w:rPr>
      </w:pPr>
      <w:r w:rsidRPr="00A51E01">
        <w:rPr>
          <w:rFonts w:ascii="Times New Roman" w:hAnsi="Times New Roman" w:cs="Times New Roman"/>
          <w:sz w:val="24"/>
          <w:szCs w:val="24"/>
        </w:rPr>
        <w:t>Mr</w:t>
      </w:r>
      <w:r w:rsidR="00A61CD2">
        <w:rPr>
          <w:rFonts w:ascii="Times New Roman" w:hAnsi="Times New Roman" w:cs="Times New Roman"/>
          <w:i/>
          <w:sz w:val="24"/>
          <w:szCs w:val="24"/>
        </w:rPr>
        <w:t xml:space="preserve"> B Mutiro</w:t>
      </w:r>
      <w:r w:rsidR="00E2516B">
        <w:rPr>
          <w:rFonts w:ascii="Times New Roman" w:hAnsi="Times New Roman" w:cs="Times New Roman"/>
          <w:i/>
          <w:sz w:val="24"/>
          <w:szCs w:val="24"/>
        </w:rPr>
        <w:t xml:space="preserve">, </w:t>
      </w:r>
      <w:r w:rsidR="00E2516B">
        <w:rPr>
          <w:rFonts w:ascii="Times New Roman" w:hAnsi="Times New Roman" w:cs="Times New Roman"/>
          <w:sz w:val="24"/>
          <w:szCs w:val="24"/>
        </w:rPr>
        <w:t>for</w:t>
      </w:r>
      <w:r w:rsidR="00DA4E3D">
        <w:rPr>
          <w:rFonts w:ascii="Times New Roman" w:hAnsi="Times New Roman" w:cs="Times New Roman"/>
          <w:sz w:val="24"/>
          <w:szCs w:val="24"/>
        </w:rPr>
        <w:t xml:space="preserve"> </w:t>
      </w:r>
      <w:r w:rsidR="00A51E01">
        <w:rPr>
          <w:rFonts w:ascii="Times New Roman" w:hAnsi="Times New Roman" w:cs="Times New Roman"/>
          <w:sz w:val="24"/>
          <w:szCs w:val="24"/>
        </w:rPr>
        <w:t xml:space="preserve">the </w:t>
      </w:r>
      <w:r w:rsidR="004877F9">
        <w:rPr>
          <w:rFonts w:ascii="Times New Roman" w:hAnsi="Times New Roman" w:cs="Times New Roman"/>
          <w:sz w:val="24"/>
          <w:szCs w:val="24"/>
        </w:rPr>
        <w:t>respondent</w:t>
      </w:r>
    </w:p>
    <w:p w:rsidR="007C67FF" w:rsidRDefault="007C67FF" w:rsidP="00AD30D7">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FF2803" w:rsidRDefault="00AB6264"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FF2803">
        <w:rPr>
          <w:rFonts w:ascii="Times New Roman" w:hAnsi="Times New Roman" w:cs="Times New Roman"/>
          <w:sz w:val="24"/>
          <w:szCs w:val="24"/>
        </w:rPr>
        <w:t>This is an application to compel discovery and the filing of pre-trial documents</w:t>
      </w:r>
      <w:r w:rsidR="002C1C65">
        <w:rPr>
          <w:rFonts w:ascii="Times New Roman" w:hAnsi="Times New Roman" w:cs="Times New Roman"/>
          <w:sz w:val="24"/>
          <w:szCs w:val="24"/>
        </w:rPr>
        <w:t xml:space="preserve"> in HC 13081/12</w:t>
      </w:r>
      <w:r w:rsidR="00FF2803">
        <w:rPr>
          <w:rFonts w:ascii="Times New Roman" w:hAnsi="Times New Roman" w:cs="Times New Roman"/>
          <w:sz w:val="24"/>
          <w:szCs w:val="24"/>
        </w:rPr>
        <w:t xml:space="preserve">. The respondent has raised the preliminary point that the application is fatally defective for want of the correct form. Further, she submits that the application is improperly before the court, </w:t>
      </w:r>
      <w:r w:rsidR="00EE7B8A">
        <w:rPr>
          <w:rFonts w:ascii="Times New Roman" w:hAnsi="Times New Roman" w:cs="Times New Roman"/>
          <w:sz w:val="24"/>
          <w:szCs w:val="24"/>
        </w:rPr>
        <w:t>the main matter</w:t>
      </w:r>
      <w:r w:rsidR="00FF2803">
        <w:rPr>
          <w:rFonts w:ascii="Times New Roman" w:hAnsi="Times New Roman" w:cs="Times New Roman"/>
          <w:sz w:val="24"/>
          <w:szCs w:val="24"/>
        </w:rPr>
        <w:t xml:space="preserve"> having been struck off the roll and no application for reinstatement having been made.</w:t>
      </w:r>
    </w:p>
    <w:p w:rsidR="00001B00" w:rsidRPr="00001B00" w:rsidRDefault="00001B00" w:rsidP="00001B00">
      <w:pPr>
        <w:spacing w:after="0" w:line="360" w:lineRule="auto"/>
        <w:jc w:val="both"/>
        <w:rPr>
          <w:rFonts w:ascii="Times New Roman" w:hAnsi="Times New Roman" w:cs="Times New Roman"/>
          <w:sz w:val="24"/>
          <w:szCs w:val="24"/>
          <w:u w:val="single"/>
        </w:rPr>
      </w:pPr>
      <w:r w:rsidRPr="00001B00">
        <w:rPr>
          <w:rFonts w:ascii="Times New Roman" w:hAnsi="Times New Roman" w:cs="Times New Roman"/>
          <w:sz w:val="24"/>
          <w:szCs w:val="24"/>
          <w:u w:val="single"/>
        </w:rPr>
        <w:t>Background</w:t>
      </w:r>
    </w:p>
    <w:p w:rsidR="008E0847" w:rsidRDefault="00FF2803"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issued summons </w:t>
      </w:r>
      <w:r w:rsidR="00EE7B8A">
        <w:rPr>
          <w:rFonts w:ascii="Times New Roman" w:hAnsi="Times New Roman" w:cs="Times New Roman"/>
          <w:sz w:val="24"/>
          <w:szCs w:val="24"/>
        </w:rPr>
        <w:t xml:space="preserve">in HC 13081/12, </w:t>
      </w:r>
      <w:r>
        <w:rPr>
          <w:rFonts w:ascii="Times New Roman" w:hAnsi="Times New Roman" w:cs="Times New Roman"/>
          <w:sz w:val="24"/>
          <w:szCs w:val="24"/>
        </w:rPr>
        <w:t xml:space="preserve">against the respondent in 2012 and the matter was set down for pre-trial on 10 September 2014. Both parties defaulted and the matter was struck off the roll. </w:t>
      </w:r>
      <w:r w:rsidR="008E0847">
        <w:rPr>
          <w:rFonts w:ascii="Times New Roman" w:hAnsi="Times New Roman" w:cs="Times New Roman"/>
          <w:sz w:val="24"/>
          <w:szCs w:val="24"/>
        </w:rPr>
        <w:t xml:space="preserve">The applicant waited until September 2019 to set the matter down for pre-trial, whereupon respondent drew his attention to Practice Direction 3/2013 regarding the procedure to follow where matters have been struck off. </w:t>
      </w:r>
      <w:r w:rsidR="00A51E01">
        <w:rPr>
          <w:rFonts w:ascii="Times New Roman" w:hAnsi="Times New Roman" w:cs="Times New Roman"/>
          <w:sz w:val="24"/>
          <w:szCs w:val="24"/>
        </w:rPr>
        <w:t>However,</w:t>
      </w:r>
      <w:r w:rsidR="008E0847">
        <w:rPr>
          <w:rFonts w:ascii="Times New Roman" w:hAnsi="Times New Roman" w:cs="Times New Roman"/>
          <w:sz w:val="24"/>
          <w:szCs w:val="24"/>
        </w:rPr>
        <w:t xml:space="preserve"> applicant proceeded to seek set down </w:t>
      </w:r>
      <w:r w:rsidR="00EA4526">
        <w:rPr>
          <w:rFonts w:ascii="Times New Roman" w:hAnsi="Times New Roman" w:cs="Times New Roman"/>
          <w:sz w:val="24"/>
          <w:szCs w:val="24"/>
        </w:rPr>
        <w:t xml:space="preserve">for pre-trial </w:t>
      </w:r>
      <w:r w:rsidR="008E0847">
        <w:rPr>
          <w:rFonts w:ascii="Times New Roman" w:hAnsi="Times New Roman" w:cs="Times New Roman"/>
          <w:sz w:val="24"/>
          <w:szCs w:val="24"/>
        </w:rPr>
        <w:t>and to file this application, arguing that since his matter had been struck off when it was not fatally defective, it was not necessary to seek its reinstatement</w:t>
      </w:r>
      <w:r w:rsidR="00001B00">
        <w:rPr>
          <w:rFonts w:ascii="Times New Roman" w:hAnsi="Times New Roman" w:cs="Times New Roman"/>
          <w:sz w:val="24"/>
          <w:szCs w:val="24"/>
        </w:rPr>
        <w:t xml:space="preserve"> as his matter does not fall within the purview of Practice Direction 3/2013</w:t>
      </w:r>
      <w:r w:rsidR="008E0847">
        <w:rPr>
          <w:rFonts w:ascii="Times New Roman" w:hAnsi="Times New Roman" w:cs="Times New Roman"/>
          <w:sz w:val="24"/>
          <w:szCs w:val="24"/>
        </w:rPr>
        <w:t>.</w:t>
      </w:r>
    </w:p>
    <w:p w:rsidR="00001B00" w:rsidRDefault="00001B00"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commencement of the hearing, respondent sought condonation of late filing of heads of argument which I granted with the consent of the applicant.</w:t>
      </w:r>
    </w:p>
    <w:p w:rsidR="00001B00" w:rsidRPr="00B27628" w:rsidRDefault="00001B00" w:rsidP="00A51E01">
      <w:pPr>
        <w:spacing w:after="0" w:line="360" w:lineRule="auto"/>
        <w:jc w:val="both"/>
        <w:rPr>
          <w:rFonts w:ascii="Times New Roman" w:hAnsi="Times New Roman" w:cs="Times New Roman"/>
          <w:i/>
          <w:sz w:val="24"/>
          <w:szCs w:val="24"/>
          <w:u w:val="single"/>
        </w:rPr>
      </w:pPr>
      <w:r>
        <w:rPr>
          <w:rFonts w:ascii="Times New Roman" w:hAnsi="Times New Roman" w:cs="Times New Roman"/>
          <w:sz w:val="24"/>
          <w:szCs w:val="24"/>
          <w:u w:val="single"/>
        </w:rPr>
        <w:t>Parties’ submissions</w:t>
      </w:r>
      <w:r w:rsidR="00B27628">
        <w:rPr>
          <w:rFonts w:ascii="Times New Roman" w:hAnsi="Times New Roman" w:cs="Times New Roman"/>
          <w:sz w:val="24"/>
          <w:szCs w:val="24"/>
          <w:u w:val="single"/>
        </w:rPr>
        <w:t xml:space="preserve"> </w:t>
      </w:r>
      <w:r w:rsidR="00B27628">
        <w:rPr>
          <w:rFonts w:ascii="Times New Roman" w:hAnsi="Times New Roman" w:cs="Times New Roman"/>
          <w:i/>
          <w:sz w:val="24"/>
          <w:szCs w:val="24"/>
          <w:u w:val="single"/>
        </w:rPr>
        <w:t>in limine</w:t>
      </w:r>
    </w:p>
    <w:p w:rsidR="00B27628" w:rsidRDefault="00EA4526" w:rsidP="00B2762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Respondent</w:t>
      </w:r>
      <w:r w:rsidR="00B27628">
        <w:rPr>
          <w:rFonts w:ascii="Times New Roman" w:hAnsi="Times New Roman" w:cs="Times New Roman"/>
          <w:sz w:val="24"/>
          <w:szCs w:val="24"/>
        </w:rPr>
        <w:t xml:space="preserve"> submits that she should not be compelled to file pre-trial conference papers as, firstly, the application is fatally defective as it does not conform to r230 as it is not in form </w:t>
      </w:r>
      <w:r w:rsidR="00B27628">
        <w:rPr>
          <w:rFonts w:ascii="Times New Roman" w:hAnsi="Times New Roman" w:cs="Times New Roman"/>
          <w:sz w:val="24"/>
          <w:szCs w:val="24"/>
        </w:rPr>
        <w:lastRenderedPageBreak/>
        <w:t xml:space="preserve">29B. For this submission, she relies on </w:t>
      </w:r>
      <w:r w:rsidR="0069284B">
        <w:rPr>
          <w:rFonts w:ascii="Times New Roman" w:hAnsi="Times New Roman" w:cs="Times New Roman"/>
          <w:i/>
          <w:sz w:val="24"/>
          <w:szCs w:val="24"/>
        </w:rPr>
        <w:t xml:space="preserve">Zimbabwe Open University </w:t>
      </w:r>
      <w:r w:rsidR="0069284B" w:rsidRPr="00A51E01">
        <w:rPr>
          <w:rFonts w:ascii="Times New Roman" w:hAnsi="Times New Roman" w:cs="Times New Roman"/>
          <w:sz w:val="24"/>
          <w:szCs w:val="24"/>
        </w:rPr>
        <w:t xml:space="preserve">v </w:t>
      </w:r>
      <w:r w:rsidR="0069284B">
        <w:rPr>
          <w:rFonts w:ascii="Times New Roman" w:hAnsi="Times New Roman" w:cs="Times New Roman"/>
          <w:i/>
          <w:sz w:val="24"/>
          <w:szCs w:val="24"/>
        </w:rPr>
        <w:t>Ma</w:t>
      </w:r>
      <w:r w:rsidR="00B27628" w:rsidRPr="00E731F1">
        <w:rPr>
          <w:rFonts w:ascii="Times New Roman" w:hAnsi="Times New Roman" w:cs="Times New Roman"/>
          <w:i/>
          <w:sz w:val="24"/>
          <w:szCs w:val="24"/>
        </w:rPr>
        <w:t>zomb</w:t>
      </w:r>
      <w:r w:rsidR="0069284B">
        <w:rPr>
          <w:rFonts w:ascii="Times New Roman" w:hAnsi="Times New Roman" w:cs="Times New Roman"/>
          <w:i/>
          <w:sz w:val="24"/>
          <w:szCs w:val="24"/>
        </w:rPr>
        <w:t>w</w:t>
      </w:r>
      <w:r w:rsidR="00B27628" w:rsidRPr="00E731F1">
        <w:rPr>
          <w:rFonts w:ascii="Times New Roman" w:hAnsi="Times New Roman" w:cs="Times New Roman"/>
          <w:i/>
          <w:sz w:val="24"/>
          <w:szCs w:val="24"/>
        </w:rPr>
        <w:t>e</w:t>
      </w:r>
      <w:r w:rsidR="00B27628">
        <w:rPr>
          <w:rStyle w:val="FootnoteReference"/>
          <w:rFonts w:ascii="Times New Roman" w:hAnsi="Times New Roman"/>
          <w:i/>
          <w:sz w:val="24"/>
          <w:szCs w:val="24"/>
        </w:rPr>
        <w:footnoteReference w:id="1"/>
      </w:r>
      <w:r w:rsidR="00B27628" w:rsidRPr="00E731F1">
        <w:rPr>
          <w:lang w:val="en-US"/>
        </w:rPr>
        <w:t xml:space="preserve"> </w:t>
      </w:r>
      <w:r w:rsidR="00B27628" w:rsidRPr="00E731F1">
        <w:rPr>
          <w:rFonts w:ascii="Times New Roman" w:hAnsi="Times New Roman" w:cs="Times New Roman"/>
          <w:sz w:val="24"/>
          <w:szCs w:val="24"/>
          <w:lang w:val="en-US"/>
        </w:rPr>
        <w:t>and</w:t>
      </w:r>
      <w:r w:rsidR="00B27628" w:rsidRPr="00E731F1">
        <w:rPr>
          <w:rFonts w:ascii="Times New Roman" w:hAnsi="Times New Roman" w:cs="Times New Roman"/>
          <w:i/>
          <w:sz w:val="24"/>
          <w:szCs w:val="24"/>
          <w:lang w:val="en-US"/>
        </w:rPr>
        <w:t xml:space="preserve"> Jambo </w:t>
      </w:r>
      <w:r w:rsidR="00B27628" w:rsidRPr="00A51E01">
        <w:rPr>
          <w:rFonts w:ascii="Times New Roman" w:hAnsi="Times New Roman" w:cs="Times New Roman"/>
          <w:sz w:val="24"/>
          <w:szCs w:val="24"/>
          <w:lang w:val="en-US"/>
        </w:rPr>
        <w:t>v</w:t>
      </w:r>
      <w:r w:rsidR="00B27628" w:rsidRPr="00E731F1">
        <w:rPr>
          <w:rFonts w:ascii="Times New Roman" w:hAnsi="Times New Roman" w:cs="Times New Roman"/>
          <w:i/>
          <w:sz w:val="24"/>
          <w:szCs w:val="24"/>
          <w:lang w:val="en-US"/>
        </w:rPr>
        <w:t xml:space="preserve"> Church of the Province of Central Africa</w:t>
      </w:r>
      <w:r w:rsidR="00B27628">
        <w:rPr>
          <w:rStyle w:val="FootnoteReference"/>
          <w:rFonts w:ascii="Times New Roman" w:hAnsi="Times New Roman"/>
          <w:i/>
          <w:sz w:val="24"/>
          <w:szCs w:val="24"/>
          <w:lang w:val="en-US"/>
        </w:rPr>
        <w:footnoteReference w:id="2"/>
      </w:r>
      <w:r w:rsidR="00B27628">
        <w:rPr>
          <w:rFonts w:ascii="Times New Roman" w:hAnsi="Times New Roman" w:cs="Times New Roman"/>
          <w:sz w:val="24"/>
          <w:szCs w:val="24"/>
          <w:lang w:val="en-US"/>
        </w:rPr>
        <w:t>. The defect was drawn to the applicant’s attention but no remedial action was taken, hence the application is a nullity.</w:t>
      </w:r>
      <w:r w:rsidR="00B27628">
        <w:rPr>
          <w:rStyle w:val="FootnoteReference"/>
          <w:rFonts w:ascii="Times New Roman" w:hAnsi="Times New Roman"/>
          <w:sz w:val="24"/>
          <w:szCs w:val="24"/>
          <w:lang w:val="en-US"/>
        </w:rPr>
        <w:footnoteReference w:id="3"/>
      </w:r>
    </w:p>
    <w:p w:rsidR="00B27628" w:rsidRDefault="00B27628" w:rsidP="00B276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w:t>
      </w:r>
      <w:r w:rsidR="00EE7B8A">
        <w:rPr>
          <w:rFonts w:ascii="Times New Roman" w:hAnsi="Times New Roman" w:cs="Times New Roman"/>
          <w:sz w:val="24"/>
          <w:szCs w:val="24"/>
        </w:rPr>
        <w:t xml:space="preserve">applicant submits that, </w:t>
      </w:r>
      <w:r>
        <w:rPr>
          <w:rFonts w:ascii="Times New Roman" w:hAnsi="Times New Roman" w:cs="Times New Roman"/>
          <w:sz w:val="24"/>
          <w:szCs w:val="24"/>
        </w:rPr>
        <w:t xml:space="preserve">there </w:t>
      </w:r>
      <w:r w:rsidR="00EE7B8A">
        <w:rPr>
          <w:rFonts w:ascii="Times New Roman" w:hAnsi="Times New Roman" w:cs="Times New Roman"/>
          <w:sz w:val="24"/>
          <w:szCs w:val="24"/>
        </w:rPr>
        <w:t>i</w:t>
      </w:r>
      <w:r>
        <w:rPr>
          <w:rFonts w:ascii="Times New Roman" w:hAnsi="Times New Roman" w:cs="Times New Roman"/>
          <w:sz w:val="24"/>
          <w:szCs w:val="24"/>
        </w:rPr>
        <w:t>s</w:t>
      </w:r>
      <w:r w:rsidR="00EE7B8A">
        <w:rPr>
          <w:rFonts w:ascii="Times New Roman" w:hAnsi="Times New Roman" w:cs="Times New Roman"/>
          <w:sz w:val="24"/>
          <w:szCs w:val="24"/>
        </w:rPr>
        <w:t>,</w:t>
      </w:r>
      <w:r>
        <w:rPr>
          <w:rFonts w:ascii="Times New Roman" w:hAnsi="Times New Roman" w:cs="Times New Roman"/>
          <w:sz w:val="24"/>
          <w:szCs w:val="24"/>
        </w:rPr>
        <w:t xml:space="preserve"> in any case no action before the court,</w:t>
      </w:r>
      <w:r w:rsidR="00EE7B8A">
        <w:rPr>
          <w:rFonts w:ascii="Times New Roman" w:hAnsi="Times New Roman" w:cs="Times New Roman"/>
          <w:sz w:val="24"/>
          <w:szCs w:val="24"/>
        </w:rPr>
        <w:t xml:space="preserve"> HC 13081/2012</w:t>
      </w:r>
      <w:r>
        <w:rPr>
          <w:rFonts w:ascii="Times New Roman" w:hAnsi="Times New Roman" w:cs="Times New Roman"/>
          <w:sz w:val="24"/>
          <w:szCs w:val="24"/>
        </w:rPr>
        <w:t xml:space="preserve"> having been struck off the roll on 10 September 2014, and no congruent application having been made to reinstate it. The matter was struck off the roll when practice direction 3/2013 was already in use and the difference between the terms had been clarified. In fact, applicant did apply for reinstatement on 12 July 2019, but withdrew that application on 9 October 2019. </w:t>
      </w:r>
    </w:p>
    <w:p w:rsidR="00B27628" w:rsidRDefault="00B27628" w:rsidP="00B276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the persistence of the applicant to insist on a defective application predicated on non-existent action, respondent prays for an order of costs on the scale of legal practitioner and client</w:t>
      </w:r>
      <w:r w:rsidR="00EE7B8A">
        <w:rPr>
          <w:rFonts w:ascii="Times New Roman" w:hAnsi="Times New Roman" w:cs="Times New Roman"/>
          <w:sz w:val="24"/>
          <w:szCs w:val="24"/>
        </w:rPr>
        <w:t>.</w:t>
      </w:r>
    </w:p>
    <w:p w:rsidR="00B27628" w:rsidRDefault="00B27628" w:rsidP="00D47206">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For his part, a</w:t>
      </w:r>
      <w:r w:rsidR="00001B00">
        <w:rPr>
          <w:rFonts w:ascii="Times New Roman" w:hAnsi="Times New Roman" w:cs="Times New Roman"/>
          <w:sz w:val="24"/>
          <w:szCs w:val="24"/>
        </w:rPr>
        <w:t xml:space="preserve">pplicant submits that Practice Direction 3/2013 seeks to ensure uniform use of the terms “struck off the roll”, “postponed </w:t>
      </w:r>
      <w:r w:rsidR="00001B00" w:rsidRPr="00001B00">
        <w:rPr>
          <w:rFonts w:ascii="Times New Roman" w:hAnsi="Times New Roman" w:cs="Times New Roman"/>
          <w:i/>
          <w:sz w:val="24"/>
          <w:szCs w:val="24"/>
        </w:rPr>
        <w:t>sine die</w:t>
      </w:r>
      <w:r w:rsidR="00001B00">
        <w:rPr>
          <w:rFonts w:ascii="Times New Roman" w:hAnsi="Times New Roman" w:cs="Times New Roman"/>
          <w:i/>
          <w:sz w:val="24"/>
          <w:szCs w:val="24"/>
        </w:rPr>
        <w:t>”</w:t>
      </w:r>
      <w:r w:rsidR="00001B00">
        <w:rPr>
          <w:rFonts w:ascii="Times New Roman" w:hAnsi="Times New Roman" w:cs="Times New Roman"/>
          <w:sz w:val="24"/>
          <w:szCs w:val="24"/>
        </w:rPr>
        <w:t xml:space="preserve">, and “removed from the roll”. He argues that paragraphs 3, 4 and 5 of the </w:t>
      </w:r>
      <w:r>
        <w:rPr>
          <w:rFonts w:ascii="Times New Roman" w:hAnsi="Times New Roman" w:cs="Times New Roman"/>
          <w:sz w:val="24"/>
          <w:szCs w:val="24"/>
        </w:rPr>
        <w:t>Practice</w:t>
      </w:r>
      <w:r w:rsidR="00001B00">
        <w:rPr>
          <w:rFonts w:ascii="Times New Roman" w:hAnsi="Times New Roman" w:cs="Times New Roman"/>
          <w:sz w:val="24"/>
          <w:szCs w:val="24"/>
        </w:rPr>
        <w:t xml:space="preserve"> direction only apply to matters which are fatally defective. </w:t>
      </w:r>
      <w:r w:rsidR="00A51E01">
        <w:rPr>
          <w:rFonts w:ascii="Times New Roman" w:hAnsi="Times New Roman" w:cs="Times New Roman"/>
          <w:sz w:val="24"/>
          <w:szCs w:val="24"/>
        </w:rPr>
        <w:t>Therefore,</w:t>
      </w:r>
      <w:r w:rsidR="00001B00">
        <w:rPr>
          <w:rFonts w:ascii="Times New Roman" w:hAnsi="Times New Roman" w:cs="Times New Roman"/>
          <w:sz w:val="24"/>
          <w:szCs w:val="24"/>
        </w:rPr>
        <w:t xml:space="preserve"> the order of the court that the matter was struck off the roll </w:t>
      </w:r>
      <w:r w:rsidR="000F46E7">
        <w:rPr>
          <w:rFonts w:ascii="Times New Roman" w:hAnsi="Times New Roman" w:cs="Times New Roman"/>
          <w:sz w:val="24"/>
          <w:szCs w:val="24"/>
        </w:rPr>
        <w:t xml:space="preserve">does not fall within the purview of the </w:t>
      </w:r>
      <w:r w:rsidR="00EE7B8A">
        <w:rPr>
          <w:rFonts w:ascii="Times New Roman" w:hAnsi="Times New Roman" w:cs="Times New Roman"/>
          <w:sz w:val="24"/>
          <w:szCs w:val="24"/>
        </w:rPr>
        <w:t>p</w:t>
      </w:r>
      <w:r>
        <w:rPr>
          <w:rFonts w:ascii="Times New Roman" w:hAnsi="Times New Roman" w:cs="Times New Roman"/>
          <w:sz w:val="24"/>
          <w:szCs w:val="24"/>
        </w:rPr>
        <w:t>ractice</w:t>
      </w:r>
      <w:r w:rsidR="000F46E7">
        <w:rPr>
          <w:rFonts w:ascii="Times New Roman" w:hAnsi="Times New Roman" w:cs="Times New Roman"/>
          <w:sz w:val="24"/>
          <w:szCs w:val="24"/>
        </w:rPr>
        <w:t xml:space="preserve"> direction</w:t>
      </w:r>
      <w:r>
        <w:rPr>
          <w:rFonts w:ascii="Times New Roman" w:hAnsi="Times New Roman" w:cs="Times New Roman"/>
          <w:sz w:val="24"/>
          <w:szCs w:val="24"/>
        </w:rPr>
        <w:t xml:space="preserve"> as it was predicated on default of appearance</w:t>
      </w:r>
      <w:r w:rsidR="000F46E7">
        <w:rPr>
          <w:rFonts w:ascii="Times New Roman" w:hAnsi="Times New Roman" w:cs="Times New Roman"/>
          <w:sz w:val="24"/>
          <w:szCs w:val="24"/>
        </w:rPr>
        <w:t xml:space="preserve">. Condonation for non-conformation with the rules and reinstatement are thus not necessary as “struck off the roll” in this case was in effect “removal from the roll”. </w:t>
      </w:r>
      <w:r w:rsidR="00E731F1">
        <w:rPr>
          <w:rFonts w:ascii="Times New Roman" w:hAnsi="Times New Roman" w:cs="Times New Roman"/>
          <w:sz w:val="24"/>
          <w:szCs w:val="24"/>
        </w:rPr>
        <w:t xml:space="preserve">He relies on </w:t>
      </w:r>
      <w:r w:rsidR="00E731F1" w:rsidRPr="00A251D7">
        <w:rPr>
          <w:rFonts w:ascii="Times New Roman" w:hAnsi="Times New Roman" w:cs="Times New Roman"/>
          <w:i/>
          <w:sz w:val="24"/>
          <w:szCs w:val="24"/>
        </w:rPr>
        <w:t xml:space="preserve">Bobby Maparanyanga </w:t>
      </w:r>
      <w:r w:rsidR="00E731F1" w:rsidRPr="00A51E01">
        <w:rPr>
          <w:rFonts w:ascii="Times New Roman" w:hAnsi="Times New Roman" w:cs="Times New Roman"/>
          <w:sz w:val="24"/>
          <w:szCs w:val="24"/>
        </w:rPr>
        <w:t>v</w:t>
      </w:r>
      <w:r w:rsidR="00E731F1" w:rsidRPr="00A251D7">
        <w:rPr>
          <w:rFonts w:ascii="Times New Roman" w:hAnsi="Times New Roman" w:cs="Times New Roman"/>
          <w:i/>
          <w:sz w:val="24"/>
          <w:szCs w:val="24"/>
        </w:rPr>
        <w:t xml:space="preserve"> Brian Pernell Van S</w:t>
      </w:r>
      <w:r w:rsidR="00A251D7" w:rsidRPr="00A251D7">
        <w:rPr>
          <w:rFonts w:ascii="Times New Roman" w:hAnsi="Times New Roman" w:cs="Times New Roman"/>
          <w:i/>
          <w:sz w:val="24"/>
          <w:szCs w:val="24"/>
        </w:rPr>
        <w:t>chalkwik</w:t>
      </w:r>
      <w:r w:rsidR="00A251D7">
        <w:rPr>
          <w:rStyle w:val="FootnoteReference"/>
          <w:rFonts w:ascii="Times New Roman" w:hAnsi="Times New Roman"/>
          <w:i/>
          <w:sz w:val="24"/>
          <w:szCs w:val="24"/>
        </w:rPr>
        <w:footnoteReference w:id="4"/>
      </w:r>
      <w:r w:rsidR="00A251D7">
        <w:rPr>
          <w:rFonts w:ascii="Times New Roman" w:hAnsi="Times New Roman" w:cs="Times New Roman"/>
          <w:sz w:val="24"/>
          <w:szCs w:val="24"/>
        </w:rPr>
        <w:t xml:space="preserve"> and distinguishes </w:t>
      </w:r>
      <w:r w:rsidR="00A251D7" w:rsidRPr="00B27628">
        <w:rPr>
          <w:rFonts w:ascii="Times New Roman" w:hAnsi="Times New Roman" w:cs="Times New Roman"/>
          <w:i/>
          <w:sz w:val="24"/>
          <w:szCs w:val="24"/>
        </w:rPr>
        <w:t xml:space="preserve">Matanhire </w:t>
      </w:r>
      <w:r w:rsidR="00A251D7" w:rsidRPr="00A51E01">
        <w:rPr>
          <w:rFonts w:ascii="Times New Roman" w:hAnsi="Times New Roman" w:cs="Times New Roman"/>
          <w:sz w:val="24"/>
          <w:szCs w:val="24"/>
        </w:rPr>
        <w:t>v</w:t>
      </w:r>
      <w:r w:rsidR="00A251D7" w:rsidRPr="00B27628">
        <w:rPr>
          <w:rFonts w:ascii="Times New Roman" w:hAnsi="Times New Roman" w:cs="Times New Roman"/>
          <w:i/>
          <w:sz w:val="24"/>
          <w:szCs w:val="24"/>
        </w:rPr>
        <w:t xml:space="preserve"> BP &amp; Shell Marketing Services Pvt Ltd</w:t>
      </w:r>
      <w:r w:rsidR="00A251D7">
        <w:rPr>
          <w:rStyle w:val="FootnoteReference"/>
          <w:rFonts w:ascii="Times New Roman" w:hAnsi="Times New Roman"/>
          <w:sz w:val="24"/>
          <w:szCs w:val="24"/>
        </w:rPr>
        <w:footnoteReference w:id="5"/>
      </w:r>
      <w:r>
        <w:rPr>
          <w:rFonts w:ascii="Times New Roman" w:hAnsi="Times New Roman" w:cs="Times New Roman"/>
          <w:i/>
          <w:sz w:val="24"/>
          <w:szCs w:val="24"/>
        </w:rPr>
        <w:t>.</w:t>
      </w:r>
    </w:p>
    <w:p w:rsidR="00001B00" w:rsidRDefault="00B27628" w:rsidP="00D47206">
      <w:pPr>
        <w:spacing w:after="0" w:line="360" w:lineRule="auto"/>
        <w:ind w:firstLine="720"/>
        <w:jc w:val="both"/>
        <w:rPr>
          <w:rFonts w:ascii="Times New Roman" w:hAnsi="Times New Roman" w:cs="Times New Roman"/>
          <w:sz w:val="24"/>
          <w:szCs w:val="24"/>
        </w:rPr>
      </w:pPr>
      <w:r w:rsidRPr="00B27628">
        <w:rPr>
          <w:rFonts w:ascii="Times New Roman" w:hAnsi="Times New Roman" w:cs="Times New Roman"/>
          <w:sz w:val="24"/>
          <w:szCs w:val="24"/>
        </w:rPr>
        <w:t xml:space="preserve">With regard to the </w:t>
      </w:r>
      <w:r>
        <w:rPr>
          <w:rFonts w:ascii="Times New Roman" w:hAnsi="Times New Roman" w:cs="Times New Roman"/>
          <w:sz w:val="24"/>
          <w:szCs w:val="24"/>
        </w:rPr>
        <w:t>first point</w:t>
      </w:r>
      <w:r w:rsidRPr="000F46E7">
        <w:rPr>
          <w:rFonts w:ascii="Times New Roman" w:hAnsi="Times New Roman" w:cs="Times New Roman"/>
          <w:i/>
          <w:sz w:val="24"/>
          <w:szCs w:val="24"/>
        </w:rPr>
        <w:t xml:space="preserve"> in limine</w:t>
      </w:r>
      <w:r>
        <w:rPr>
          <w:rFonts w:ascii="Times New Roman" w:hAnsi="Times New Roman" w:cs="Times New Roman"/>
          <w:sz w:val="24"/>
          <w:szCs w:val="24"/>
        </w:rPr>
        <w:t xml:space="preserve"> that the application is fatally defective for want of the proper form</w:t>
      </w:r>
      <w:r w:rsidRPr="00B27628">
        <w:rPr>
          <w:rFonts w:ascii="Times New Roman" w:hAnsi="Times New Roman" w:cs="Times New Roman"/>
          <w:sz w:val="24"/>
          <w:szCs w:val="24"/>
        </w:rPr>
        <w:t xml:space="preserve">, </w:t>
      </w:r>
      <w:r>
        <w:rPr>
          <w:rFonts w:ascii="Times New Roman" w:hAnsi="Times New Roman" w:cs="Times New Roman"/>
          <w:sz w:val="24"/>
          <w:szCs w:val="24"/>
        </w:rPr>
        <w:t>the applicant makes no meaningful submissions, either in his heads of argument or orally</w:t>
      </w:r>
      <w:r w:rsidRPr="00B27628">
        <w:rPr>
          <w:rFonts w:ascii="Times New Roman" w:hAnsi="Times New Roman" w:cs="Times New Roman"/>
          <w:sz w:val="24"/>
          <w:szCs w:val="24"/>
        </w:rPr>
        <w:t xml:space="preserve"> s</w:t>
      </w:r>
      <w:r w:rsidR="00E731F1">
        <w:rPr>
          <w:rFonts w:ascii="Times New Roman" w:hAnsi="Times New Roman" w:cs="Times New Roman"/>
          <w:sz w:val="24"/>
          <w:szCs w:val="24"/>
        </w:rPr>
        <w:t xml:space="preserve">ave to </w:t>
      </w:r>
      <w:r>
        <w:rPr>
          <w:rFonts w:ascii="Times New Roman" w:hAnsi="Times New Roman" w:cs="Times New Roman"/>
          <w:sz w:val="24"/>
          <w:szCs w:val="24"/>
        </w:rPr>
        <w:t xml:space="preserve">baldly </w:t>
      </w:r>
      <w:r w:rsidR="00E731F1">
        <w:rPr>
          <w:rFonts w:ascii="Times New Roman" w:hAnsi="Times New Roman" w:cs="Times New Roman"/>
          <w:sz w:val="24"/>
          <w:szCs w:val="24"/>
        </w:rPr>
        <w:t>state that the application is properly before the court as it complies with r241</w:t>
      </w:r>
      <w:r>
        <w:rPr>
          <w:rFonts w:ascii="Times New Roman" w:hAnsi="Times New Roman" w:cs="Times New Roman"/>
          <w:sz w:val="24"/>
          <w:szCs w:val="24"/>
        </w:rPr>
        <w:t>.</w:t>
      </w:r>
    </w:p>
    <w:p w:rsidR="008E0847" w:rsidRPr="008E0847" w:rsidRDefault="008E0847" w:rsidP="00A51E01">
      <w:pPr>
        <w:spacing w:after="0" w:line="360" w:lineRule="auto"/>
        <w:jc w:val="both"/>
        <w:rPr>
          <w:rFonts w:ascii="Times New Roman" w:hAnsi="Times New Roman" w:cs="Times New Roman"/>
          <w:sz w:val="24"/>
          <w:szCs w:val="24"/>
          <w:u w:val="single"/>
        </w:rPr>
      </w:pPr>
      <w:r w:rsidRPr="008E0847">
        <w:rPr>
          <w:rFonts w:ascii="Times New Roman" w:hAnsi="Times New Roman" w:cs="Times New Roman"/>
          <w:sz w:val="24"/>
          <w:szCs w:val="24"/>
          <w:u w:val="single"/>
        </w:rPr>
        <w:t>Analysis</w:t>
      </w:r>
    </w:p>
    <w:p w:rsidR="00E2516B" w:rsidRDefault="00E2516B"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is purportedly a chamber application to compel respondent to file documents in HC 13081/2012. </w:t>
      </w:r>
      <w:r w:rsidR="00A51E01">
        <w:rPr>
          <w:rFonts w:ascii="Times New Roman" w:hAnsi="Times New Roman" w:cs="Times New Roman"/>
          <w:sz w:val="24"/>
          <w:szCs w:val="24"/>
        </w:rPr>
        <w:t>Therefore,</w:t>
      </w:r>
      <w:r>
        <w:rPr>
          <w:rFonts w:ascii="Times New Roman" w:hAnsi="Times New Roman" w:cs="Times New Roman"/>
          <w:sz w:val="24"/>
          <w:szCs w:val="24"/>
        </w:rPr>
        <w:t xml:space="preserve"> it requires to be served on the respondent. Such a </w:t>
      </w:r>
      <w:r>
        <w:rPr>
          <w:rFonts w:ascii="Times New Roman" w:hAnsi="Times New Roman" w:cs="Times New Roman"/>
          <w:sz w:val="24"/>
          <w:szCs w:val="24"/>
        </w:rPr>
        <w:lastRenderedPageBreak/>
        <w:t xml:space="preserve">chamber application must be made in terms of </w:t>
      </w:r>
      <w:r w:rsidR="00D669E7">
        <w:rPr>
          <w:rFonts w:ascii="Times New Roman" w:hAnsi="Times New Roman" w:cs="Times New Roman"/>
          <w:sz w:val="24"/>
          <w:szCs w:val="24"/>
        </w:rPr>
        <w:t xml:space="preserve">the proviso to </w:t>
      </w:r>
      <w:r>
        <w:rPr>
          <w:rFonts w:ascii="Times New Roman" w:hAnsi="Times New Roman" w:cs="Times New Roman"/>
          <w:sz w:val="24"/>
          <w:szCs w:val="24"/>
        </w:rPr>
        <w:t>r241, in which case it must be in Form 29 with appropriate modifications. F</w:t>
      </w:r>
      <w:r w:rsidR="0069284B">
        <w:rPr>
          <w:rFonts w:ascii="Times New Roman" w:hAnsi="Times New Roman" w:cs="Times New Roman"/>
          <w:sz w:val="24"/>
          <w:szCs w:val="24"/>
        </w:rPr>
        <w:t xml:space="preserve">orm 29 requires that a party’s attention must be drawn to the procedural rights available to it, including that he </w:t>
      </w:r>
      <w:r>
        <w:rPr>
          <w:rFonts w:ascii="Times New Roman" w:hAnsi="Times New Roman" w:cs="Times New Roman"/>
          <w:sz w:val="24"/>
          <w:szCs w:val="24"/>
        </w:rPr>
        <w:t>must be given notice as to when he must file opposing papers</w:t>
      </w:r>
      <w:r w:rsidR="00EA4526">
        <w:rPr>
          <w:rFonts w:ascii="Times New Roman" w:hAnsi="Times New Roman" w:cs="Times New Roman"/>
          <w:sz w:val="24"/>
          <w:szCs w:val="24"/>
        </w:rPr>
        <w:t>.</w:t>
      </w:r>
      <w:r>
        <w:rPr>
          <w:rFonts w:ascii="Times New Roman" w:hAnsi="Times New Roman" w:cs="Times New Roman"/>
          <w:sz w:val="24"/>
          <w:szCs w:val="24"/>
        </w:rPr>
        <w:t xml:space="preserve"> The notice of application by the applicant does not conform to </w:t>
      </w:r>
      <w:r w:rsidR="00EA4526">
        <w:rPr>
          <w:rFonts w:ascii="Times New Roman" w:hAnsi="Times New Roman" w:cs="Times New Roman"/>
          <w:sz w:val="24"/>
          <w:szCs w:val="24"/>
        </w:rPr>
        <w:t>Form 29.</w:t>
      </w:r>
      <w:r w:rsidR="00D669E7">
        <w:rPr>
          <w:rFonts w:ascii="Times New Roman" w:hAnsi="Times New Roman" w:cs="Times New Roman"/>
          <w:sz w:val="24"/>
          <w:szCs w:val="24"/>
        </w:rPr>
        <w:t xml:space="preserve"> Rather, applicant appears to have used form</w:t>
      </w:r>
      <w:r>
        <w:rPr>
          <w:rFonts w:ascii="Times New Roman" w:hAnsi="Times New Roman" w:cs="Times New Roman"/>
          <w:sz w:val="24"/>
          <w:szCs w:val="24"/>
        </w:rPr>
        <w:t xml:space="preserve"> 29</w:t>
      </w:r>
      <w:r w:rsidR="00D669E7">
        <w:rPr>
          <w:rFonts w:ascii="Times New Roman" w:hAnsi="Times New Roman" w:cs="Times New Roman"/>
          <w:sz w:val="24"/>
          <w:szCs w:val="24"/>
        </w:rPr>
        <w:t xml:space="preserve">B, which </w:t>
      </w:r>
      <w:r w:rsidR="00EA4526">
        <w:rPr>
          <w:rFonts w:ascii="Times New Roman" w:hAnsi="Times New Roman" w:cs="Times New Roman"/>
          <w:sz w:val="24"/>
          <w:szCs w:val="24"/>
        </w:rPr>
        <w:t>though</w:t>
      </w:r>
      <w:r w:rsidR="00D669E7">
        <w:rPr>
          <w:rFonts w:ascii="Times New Roman" w:hAnsi="Times New Roman" w:cs="Times New Roman"/>
          <w:sz w:val="24"/>
          <w:szCs w:val="24"/>
        </w:rPr>
        <w:t xml:space="preserve"> inappropriate</w:t>
      </w:r>
      <w:r w:rsidR="00EA4526">
        <w:rPr>
          <w:rFonts w:ascii="Times New Roman" w:hAnsi="Times New Roman" w:cs="Times New Roman"/>
          <w:sz w:val="24"/>
          <w:szCs w:val="24"/>
        </w:rPr>
        <w:t xml:space="preserve"> does not render the proceedings fatal according to the principles in </w:t>
      </w:r>
      <w:r w:rsidR="0069284B">
        <w:rPr>
          <w:rFonts w:ascii="Times New Roman" w:hAnsi="Times New Roman" w:cs="Times New Roman"/>
          <w:i/>
          <w:sz w:val="24"/>
          <w:szCs w:val="24"/>
        </w:rPr>
        <w:t>Zimbabwe Open University v Ma</w:t>
      </w:r>
      <w:r w:rsidR="00EA4526" w:rsidRPr="00E731F1">
        <w:rPr>
          <w:rFonts w:ascii="Times New Roman" w:hAnsi="Times New Roman" w:cs="Times New Roman"/>
          <w:i/>
          <w:sz w:val="24"/>
          <w:szCs w:val="24"/>
        </w:rPr>
        <w:t>zomb</w:t>
      </w:r>
      <w:r w:rsidR="0069284B">
        <w:rPr>
          <w:rFonts w:ascii="Times New Roman" w:hAnsi="Times New Roman" w:cs="Times New Roman"/>
          <w:i/>
          <w:sz w:val="24"/>
          <w:szCs w:val="24"/>
        </w:rPr>
        <w:t>w</w:t>
      </w:r>
      <w:r w:rsidR="00EA4526" w:rsidRPr="00E731F1">
        <w:rPr>
          <w:rFonts w:ascii="Times New Roman" w:hAnsi="Times New Roman" w:cs="Times New Roman"/>
          <w:i/>
          <w:sz w:val="24"/>
          <w:szCs w:val="24"/>
        </w:rPr>
        <w:t>e</w:t>
      </w:r>
      <w:r w:rsidR="00EE7B8A">
        <w:rPr>
          <w:rFonts w:ascii="Times New Roman" w:hAnsi="Times New Roman" w:cs="Times New Roman"/>
          <w:sz w:val="24"/>
          <w:szCs w:val="24"/>
        </w:rPr>
        <w:t xml:space="preserve"> (supra)</w:t>
      </w:r>
      <w:r w:rsidR="00D669E7">
        <w:rPr>
          <w:rFonts w:ascii="Times New Roman" w:hAnsi="Times New Roman" w:cs="Times New Roman"/>
          <w:sz w:val="24"/>
          <w:szCs w:val="24"/>
        </w:rPr>
        <w:t xml:space="preserve">. </w:t>
      </w:r>
      <w:r w:rsidR="0069284B">
        <w:rPr>
          <w:rFonts w:ascii="Times New Roman" w:hAnsi="Times New Roman" w:cs="Times New Roman"/>
          <w:sz w:val="24"/>
          <w:szCs w:val="24"/>
        </w:rPr>
        <w:t xml:space="preserve">While the form used does not set out the procedural rights to which respondent’s attention must be drawn, it does set out the grounds of the application. The court has discretion, in terms of r4C, to condone the use of the wrong form </w:t>
      </w:r>
      <w:r w:rsidR="00EE7B8A">
        <w:rPr>
          <w:rFonts w:ascii="Times New Roman" w:hAnsi="Times New Roman" w:cs="Times New Roman"/>
          <w:sz w:val="24"/>
          <w:szCs w:val="24"/>
        </w:rPr>
        <w:t>where</w:t>
      </w:r>
      <w:r w:rsidR="0069284B">
        <w:rPr>
          <w:rFonts w:ascii="Times New Roman" w:hAnsi="Times New Roman" w:cs="Times New Roman"/>
          <w:sz w:val="24"/>
          <w:szCs w:val="24"/>
        </w:rPr>
        <w:t xml:space="preserve"> no prejudice has been suffered by the respondent therefrom. </w:t>
      </w:r>
      <w:r w:rsidR="00EE7B8A">
        <w:rPr>
          <w:rFonts w:ascii="Times New Roman" w:hAnsi="Times New Roman" w:cs="Times New Roman"/>
          <w:sz w:val="24"/>
          <w:szCs w:val="24"/>
        </w:rPr>
        <w:t xml:space="preserve">Respondent has not shown that she suffered any prejudice from the use of the wrong form, has suffered no prejudice. </w:t>
      </w:r>
      <w:r w:rsidR="0069284B">
        <w:rPr>
          <w:rFonts w:ascii="Times New Roman" w:hAnsi="Times New Roman" w:cs="Times New Roman"/>
          <w:sz w:val="24"/>
          <w:szCs w:val="24"/>
        </w:rPr>
        <w:t xml:space="preserve">The </w:t>
      </w:r>
      <w:r w:rsidR="00D669E7">
        <w:rPr>
          <w:rFonts w:ascii="Times New Roman" w:hAnsi="Times New Roman" w:cs="Times New Roman"/>
          <w:sz w:val="24"/>
          <w:szCs w:val="24"/>
        </w:rPr>
        <w:t xml:space="preserve">first point </w:t>
      </w:r>
      <w:r w:rsidR="00D669E7" w:rsidRPr="00D669E7">
        <w:rPr>
          <w:rFonts w:ascii="Times New Roman" w:hAnsi="Times New Roman" w:cs="Times New Roman"/>
          <w:i/>
          <w:sz w:val="24"/>
          <w:szCs w:val="24"/>
        </w:rPr>
        <w:t>in limine</w:t>
      </w:r>
      <w:r w:rsidR="00D669E7">
        <w:rPr>
          <w:rFonts w:ascii="Times New Roman" w:hAnsi="Times New Roman" w:cs="Times New Roman"/>
          <w:sz w:val="24"/>
          <w:szCs w:val="24"/>
        </w:rPr>
        <w:t xml:space="preserve"> must</w:t>
      </w:r>
      <w:r w:rsidR="0069284B">
        <w:rPr>
          <w:rFonts w:ascii="Times New Roman" w:hAnsi="Times New Roman" w:cs="Times New Roman"/>
          <w:sz w:val="24"/>
          <w:szCs w:val="24"/>
        </w:rPr>
        <w:t xml:space="preserve"> thus fail</w:t>
      </w:r>
      <w:r w:rsidR="00D669E7">
        <w:rPr>
          <w:rFonts w:ascii="Times New Roman" w:hAnsi="Times New Roman" w:cs="Times New Roman"/>
          <w:sz w:val="24"/>
          <w:szCs w:val="24"/>
        </w:rPr>
        <w:t>.</w:t>
      </w:r>
    </w:p>
    <w:p w:rsidR="0069284B" w:rsidRDefault="00D669E7" w:rsidP="00A51E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respect to the second point </w:t>
      </w:r>
      <w:r w:rsidRPr="00D669E7">
        <w:rPr>
          <w:rFonts w:ascii="Times New Roman" w:hAnsi="Times New Roman" w:cs="Times New Roman"/>
          <w:i/>
          <w:sz w:val="24"/>
          <w:szCs w:val="24"/>
        </w:rPr>
        <w:t>in limine</w:t>
      </w:r>
      <w:r>
        <w:rPr>
          <w:rFonts w:ascii="Times New Roman" w:hAnsi="Times New Roman" w:cs="Times New Roman"/>
          <w:sz w:val="24"/>
          <w:szCs w:val="24"/>
        </w:rPr>
        <w:t>, p</w:t>
      </w:r>
      <w:r w:rsidR="00B27628">
        <w:rPr>
          <w:rFonts w:ascii="Times New Roman" w:hAnsi="Times New Roman" w:cs="Times New Roman"/>
          <w:sz w:val="24"/>
          <w:szCs w:val="24"/>
        </w:rPr>
        <w:t>aragraphs 2-5 of Practice Direction 3/2013</w:t>
      </w:r>
      <w:r w:rsidR="00A61D22">
        <w:rPr>
          <w:rFonts w:ascii="Times New Roman" w:hAnsi="Times New Roman" w:cs="Times New Roman"/>
          <w:sz w:val="24"/>
          <w:szCs w:val="24"/>
        </w:rPr>
        <w:t xml:space="preserve"> which was published on 29 November 2013</w:t>
      </w:r>
      <w:r w:rsidR="00B27628">
        <w:rPr>
          <w:rFonts w:ascii="Times New Roman" w:hAnsi="Times New Roman" w:cs="Times New Roman"/>
          <w:sz w:val="24"/>
          <w:szCs w:val="24"/>
        </w:rPr>
        <w:t xml:space="preserve"> provides as follows: </w:t>
      </w:r>
      <w:r w:rsidR="008E0847">
        <w:rPr>
          <w:rFonts w:ascii="Times New Roman" w:hAnsi="Times New Roman" w:cs="Times New Roman"/>
          <w:sz w:val="24"/>
          <w:szCs w:val="24"/>
        </w:rPr>
        <w:t xml:space="preserve"> </w:t>
      </w:r>
    </w:p>
    <w:p w:rsidR="00B27628" w:rsidRPr="0015588C" w:rsidRDefault="00B27628" w:rsidP="00EE7B8A">
      <w:pPr>
        <w:spacing w:after="0" w:line="240" w:lineRule="auto"/>
        <w:ind w:firstLine="720"/>
        <w:jc w:val="center"/>
        <w:rPr>
          <w:rFonts w:ascii="Times New Roman" w:hAnsi="Times New Roman" w:cs="Times New Roman"/>
          <w:b/>
        </w:rPr>
      </w:pPr>
      <w:r w:rsidRPr="0015588C">
        <w:rPr>
          <w:rFonts w:ascii="Times New Roman" w:hAnsi="Times New Roman" w:cs="Times New Roman"/>
        </w:rPr>
        <w:t>“</w:t>
      </w:r>
      <w:r w:rsidRPr="0015588C">
        <w:rPr>
          <w:rFonts w:ascii="Times New Roman" w:hAnsi="Times New Roman" w:cs="Times New Roman"/>
          <w:b/>
        </w:rPr>
        <w:t>General Note</w:t>
      </w:r>
    </w:p>
    <w:p w:rsidR="00EE7B8A" w:rsidRDefault="00EE7B8A" w:rsidP="00A51E01">
      <w:pPr>
        <w:spacing w:after="0" w:line="240" w:lineRule="auto"/>
        <w:ind w:left="1440" w:hanging="720"/>
        <w:rPr>
          <w:rFonts w:ascii="Times New Roman" w:hAnsi="Times New Roman" w:cs="Times New Roman"/>
        </w:rPr>
      </w:pPr>
      <w:r>
        <w:rPr>
          <w:rFonts w:ascii="Times New Roman" w:hAnsi="Times New Roman" w:cs="Times New Roman"/>
        </w:rPr>
        <w:t>1…..</w:t>
      </w:r>
    </w:p>
    <w:p w:rsidR="00A61D22" w:rsidRPr="0015588C" w:rsidRDefault="00B27628" w:rsidP="00A51E01">
      <w:pPr>
        <w:spacing w:after="0" w:line="240" w:lineRule="auto"/>
        <w:ind w:left="1440" w:hanging="720"/>
        <w:rPr>
          <w:rFonts w:ascii="Times New Roman" w:hAnsi="Times New Roman" w:cs="Times New Roman"/>
        </w:rPr>
      </w:pPr>
      <w:r w:rsidRPr="0015588C">
        <w:rPr>
          <w:rFonts w:ascii="Times New Roman" w:hAnsi="Times New Roman" w:cs="Times New Roman"/>
        </w:rPr>
        <w:t>2.</w:t>
      </w:r>
      <w:r w:rsidRPr="0015588C">
        <w:rPr>
          <w:rFonts w:ascii="Times New Roman" w:hAnsi="Times New Roman" w:cs="Times New Roman"/>
        </w:rPr>
        <w:tab/>
        <w:t>With a view to ensuring the uniform use and application of the terms</w:t>
      </w:r>
      <w:r w:rsidR="00A61D22" w:rsidRPr="0015588C">
        <w:rPr>
          <w:rFonts w:ascii="Times New Roman" w:hAnsi="Times New Roman" w:cs="Times New Roman"/>
        </w:rPr>
        <w:t xml:space="preserve"> ‘struck off the roll’; </w:t>
      </w:r>
      <w:r w:rsidR="00A51E01">
        <w:rPr>
          <w:rFonts w:ascii="Times New Roman" w:hAnsi="Times New Roman" w:cs="Times New Roman"/>
        </w:rPr>
        <w:t>‘</w:t>
      </w:r>
      <w:r w:rsidR="00A61D22" w:rsidRPr="0015588C">
        <w:rPr>
          <w:rFonts w:ascii="Times New Roman" w:hAnsi="Times New Roman" w:cs="Times New Roman"/>
        </w:rPr>
        <w:t xml:space="preserve">postponed </w:t>
      </w:r>
      <w:r w:rsidR="00A61D22" w:rsidRPr="0015588C">
        <w:rPr>
          <w:rFonts w:ascii="Times New Roman" w:hAnsi="Times New Roman" w:cs="Times New Roman"/>
          <w:i/>
        </w:rPr>
        <w:t>sine die’</w:t>
      </w:r>
      <w:r w:rsidR="00A61D22" w:rsidRPr="0015588C">
        <w:rPr>
          <w:rFonts w:ascii="Times New Roman" w:hAnsi="Times New Roman" w:cs="Times New Roman"/>
        </w:rPr>
        <w:t xml:space="preserve"> and ‘removed from the roll’, the following changes to the current practice </w:t>
      </w:r>
      <w:r w:rsidR="00A61D22" w:rsidRPr="0015588C">
        <w:rPr>
          <w:rFonts w:ascii="Times New Roman" w:hAnsi="Times New Roman" w:cs="Times New Roman"/>
          <w:u w:val="single"/>
        </w:rPr>
        <w:t>takes effect from 1 January 2014.</w:t>
      </w:r>
      <w:r w:rsidR="00A61D22" w:rsidRPr="0015588C">
        <w:rPr>
          <w:rFonts w:ascii="Times New Roman" w:hAnsi="Times New Roman" w:cs="Times New Roman"/>
        </w:rPr>
        <w:t xml:space="preserve"> (my emphasis)</w:t>
      </w:r>
    </w:p>
    <w:p w:rsidR="00A61D22" w:rsidRPr="0015588C" w:rsidRDefault="00A61D22" w:rsidP="00A51E01">
      <w:pPr>
        <w:spacing w:after="0" w:line="240" w:lineRule="auto"/>
        <w:ind w:left="720"/>
        <w:jc w:val="center"/>
        <w:rPr>
          <w:rFonts w:ascii="Times New Roman" w:hAnsi="Times New Roman" w:cs="Times New Roman"/>
          <w:b/>
        </w:rPr>
      </w:pPr>
      <w:r w:rsidRPr="0015588C">
        <w:rPr>
          <w:rFonts w:ascii="Times New Roman" w:hAnsi="Times New Roman" w:cs="Times New Roman"/>
          <w:b/>
        </w:rPr>
        <w:t>Struck off the roll</w:t>
      </w:r>
    </w:p>
    <w:p w:rsidR="00A61D22" w:rsidRPr="0015588C" w:rsidRDefault="00A61D22" w:rsidP="00A51E01">
      <w:pPr>
        <w:spacing w:after="0" w:line="240" w:lineRule="auto"/>
        <w:ind w:left="1440" w:hanging="720"/>
        <w:rPr>
          <w:rFonts w:ascii="Times New Roman" w:hAnsi="Times New Roman" w:cs="Times New Roman"/>
        </w:rPr>
      </w:pPr>
      <w:r w:rsidRPr="0015588C">
        <w:rPr>
          <w:rFonts w:ascii="Times New Roman" w:hAnsi="Times New Roman" w:cs="Times New Roman"/>
        </w:rPr>
        <w:t>3.</w:t>
      </w:r>
      <w:r w:rsidRPr="0015588C">
        <w:rPr>
          <w:rFonts w:ascii="Times New Roman" w:hAnsi="Times New Roman" w:cs="Times New Roman"/>
        </w:rPr>
        <w:tab/>
        <w:t>The term shall be used to effectively dispose of matters which are fatally defective and should not have been enrolled in that form in the first place.</w:t>
      </w:r>
    </w:p>
    <w:p w:rsidR="0015588C" w:rsidRPr="0015588C" w:rsidRDefault="00A61D22" w:rsidP="00A51E01">
      <w:pPr>
        <w:spacing w:after="0" w:line="240" w:lineRule="auto"/>
        <w:ind w:left="1440" w:hanging="720"/>
        <w:rPr>
          <w:rFonts w:ascii="Times New Roman" w:hAnsi="Times New Roman" w:cs="Times New Roman"/>
        </w:rPr>
      </w:pPr>
      <w:r w:rsidRPr="0015588C">
        <w:rPr>
          <w:rFonts w:ascii="Times New Roman" w:hAnsi="Times New Roman" w:cs="Times New Roman"/>
        </w:rPr>
        <w:t>4.</w:t>
      </w:r>
      <w:r w:rsidR="00A51E01">
        <w:rPr>
          <w:rFonts w:ascii="Times New Roman" w:hAnsi="Times New Roman" w:cs="Times New Roman"/>
        </w:rPr>
        <w:tab/>
      </w:r>
      <w:r w:rsidRPr="0015588C">
        <w:rPr>
          <w:rFonts w:ascii="Times New Roman" w:hAnsi="Times New Roman" w:cs="Times New Roman"/>
        </w:rPr>
        <w:t xml:space="preserve">In accordance with the decision in </w:t>
      </w:r>
      <w:r w:rsidRPr="0015588C">
        <w:rPr>
          <w:rFonts w:ascii="Times New Roman" w:hAnsi="Times New Roman" w:cs="Times New Roman"/>
          <w:i/>
        </w:rPr>
        <w:t xml:space="preserve">Matanhire </w:t>
      </w:r>
      <w:r w:rsidR="00A51E01">
        <w:rPr>
          <w:rFonts w:ascii="Times New Roman" w:hAnsi="Times New Roman" w:cs="Times New Roman"/>
        </w:rPr>
        <w:t>v</w:t>
      </w:r>
      <w:r w:rsidRPr="0015588C">
        <w:rPr>
          <w:rFonts w:ascii="Times New Roman" w:hAnsi="Times New Roman" w:cs="Times New Roman"/>
          <w:i/>
        </w:rPr>
        <w:t xml:space="preserve"> BP &amp; Shell Marketing Services (Pvt) Ltd</w:t>
      </w:r>
      <w:r w:rsidRPr="0015588C">
        <w:rPr>
          <w:rFonts w:ascii="Times New Roman" w:hAnsi="Times New Roman" w:cs="Times New Roman"/>
        </w:rPr>
        <w:t xml:space="preserve"> 2004 (2) ZLR 147 (S) and </w:t>
      </w:r>
      <w:r w:rsidRPr="0015588C">
        <w:rPr>
          <w:rFonts w:ascii="Times New Roman" w:hAnsi="Times New Roman" w:cs="Times New Roman"/>
          <w:i/>
        </w:rPr>
        <w:t xml:space="preserve">S </w:t>
      </w:r>
      <w:r w:rsidR="00A51E01">
        <w:rPr>
          <w:rFonts w:ascii="Times New Roman" w:hAnsi="Times New Roman" w:cs="Times New Roman"/>
        </w:rPr>
        <w:t>v</w:t>
      </w:r>
      <w:r w:rsidRPr="0015588C">
        <w:rPr>
          <w:rFonts w:ascii="Times New Roman" w:hAnsi="Times New Roman" w:cs="Times New Roman"/>
          <w:i/>
        </w:rPr>
        <w:t xml:space="preserve"> Ncube</w:t>
      </w:r>
      <w:r w:rsidRPr="0015588C">
        <w:rPr>
          <w:rFonts w:ascii="Times New Roman" w:hAnsi="Times New Roman" w:cs="Times New Roman"/>
        </w:rPr>
        <w:t xml:space="preserve"> 1990 (2) ZLR 303 (SC), if a Court issues an </w:t>
      </w:r>
      <w:r w:rsidR="0069284B" w:rsidRPr="0015588C">
        <w:rPr>
          <w:rFonts w:ascii="Times New Roman" w:hAnsi="Times New Roman" w:cs="Times New Roman"/>
        </w:rPr>
        <w:t>order</w:t>
      </w:r>
      <w:r w:rsidRPr="0015588C">
        <w:rPr>
          <w:rFonts w:ascii="Times New Roman" w:hAnsi="Times New Roman" w:cs="Times New Roman"/>
        </w:rPr>
        <w:t xml:space="preserve"> that a matter is struck off the roll, the effect is that such a matter is no longer before the Court</w:t>
      </w:r>
      <w:r w:rsidRPr="0015588C">
        <w:rPr>
          <w:rStyle w:val="FootnoteReference"/>
          <w:rFonts w:ascii="Times New Roman" w:hAnsi="Times New Roman"/>
        </w:rPr>
        <w:footnoteReference w:id="6"/>
      </w:r>
      <w:r w:rsidR="0015588C" w:rsidRPr="0015588C">
        <w:rPr>
          <w:rFonts w:ascii="Times New Roman" w:hAnsi="Times New Roman" w:cs="Times New Roman"/>
        </w:rPr>
        <w:t>.</w:t>
      </w:r>
    </w:p>
    <w:p w:rsidR="0015588C" w:rsidRPr="0015588C" w:rsidRDefault="0015588C" w:rsidP="00A51E01">
      <w:pPr>
        <w:spacing w:after="0" w:line="240" w:lineRule="auto"/>
        <w:ind w:left="1440" w:hanging="720"/>
        <w:rPr>
          <w:rFonts w:ascii="Times New Roman" w:hAnsi="Times New Roman" w:cs="Times New Roman"/>
        </w:rPr>
      </w:pPr>
      <w:r w:rsidRPr="0015588C">
        <w:rPr>
          <w:rFonts w:ascii="Times New Roman" w:hAnsi="Times New Roman" w:cs="Times New Roman"/>
        </w:rPr>
        <w:t>5.</w:t>
      </w:r>
      <w:r w:rsidRPr="0015588C">
        <w:rPr>
          <w:rFonts w:ascii="Times New Roman" w:hAnsi="Times New Roman" w:cs="Times New Roman"/>
        </w:rPr>
        <w:tab/>
        <w:t>Where a matter has been struck off the roll for failure by a party to abide by the Rules of the Court, the party will have thirty (30) days within which to rectify the defect, failing which the matter will be deemed to have been abandoned.</w:t>
      </w:r>
    </w:p>
    <w:p w:rsidR="0015588C" w:rsidRPr="0015588C" w:rsidRDefault="0015588C" w:rsidP="00A51E01">
      <w:pPr>
        <w:spacing w:after="0" w:line="240" w:lineRule="auto"/>
        <w:ind w:left="1440"/>
        <w:rPr>
          <w:rFonts w:ascii="Times New Roman" w:hAnsi="Times New Roman" w:cs="Times New Roman"/>
        </w:rPr>
      </w:pPr>
      <w:r w:rsidRPr="0015588C">
        <w:rPr>
          <w:rFonts w:ascii="Times New Roman" w:hAnsi="Times New Roman" w:cs="Times New Roman"/>
        </w:rPr>
        <w:t>Provided that a Judge may on application and for good cause shown, reinstate the matter, on such terms as he deems fit.”</w:t>
      </w:r>
    </w:p>
    <w:p w:rsidR="0015588C" w:rsidRDefault="0015588C" w:rsidP="00A51E01">
      <w:pPr>
        <w:spacing w:after="0" w:line="240" w:lineRule="auto"/>
        <w:rPr>
          <w:rFonts w:ascii="Times New Roman" w:hAnsi="Times New Roman" w:cs="Times New Roman"/>
          <w:sz w:val="24"/>
          <w:szCs w:val="24"/>
        </w:rPr>
      </w:pPr>
    </w:p>
    <w:p w:rsidR="0015588C" w:rsidRDefault="0015588C" w:rsidP="0015588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import of these provisions</w:t>
      </w:r>
      <w:r w:rsidR="0069284B">
        <w:rPr>
          <w:rFonts w:ascii="Times New Roman" w:hAnsi="Times New Roman" w:cs="Times New Roman"/>
          <w:sz w:val="24"/>
          <w:szCs w:val="24"/>
        </w:rPr>
        <w:t>,</w:t>
      </w:r>
      <w:r>
        <w:rPr>
          <w:rFonts w:ascii="Times New Roman" w:hAnsi="Times New Roman" w:cs="Times New Roman"/>
          <w:sz w:val="24"/>
          <w:szCs w:val="24"/>
        </w:rPr>
        <w:t xml:space="preserve"> in my view</w:t>
      </w:r>
      <w:r w:rsidR="0069284B">
        <w:rPr>
          <w:rFonts w:ascii="Times New Roman" w:hAnsi="Times New Roman" w:cs="Times New Roman"/>
          <w:sz w:val="24"/>
          <w:szCs w:val="24"/>
        </w:rPr>
        <w:t>,</w:t>
      </w:r>
      <w:r>
        <w:rPr>
          <w:rFonts w:ascii="Times New Roman" w:hAnsi="Times New Roman" w:cs="Times New Roman"/>
          <w:sz w:val="24"/>
          <w:szCs w:val="24"/>
        </w:rPr>
        <w:t xml:space="preserve"> is that:</w:t>
      </w:r>
    </w:p>
    <w:p w:rsidR="0015588C" w:rsidRDefault="0015588C" w:rsidP="0015588C">
      <w:pPr>
        <w:pStyle w:val="ListParagraph"/>
        <w:numPr>
          <w:ilvl w:val="0"/>
          <w:numId w:val="4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With effect from 1 January 2014, a judge </w:t>
      </w:r>
      <w:r w:rsidR="00EE7B8A">
        <w:rPr>
          <w:rFonts w:ascii="Times New Roman" w:hAnsi="Times New Roman" w:cs="Times New Roman"/>
          <w:sz w:val="24"/>
          <w:szCs w:val="24"/>
        </w:rPr>
        <w:t>sh</w:t>
      </w:r>
      <w:r>
        <w:rPr>
          <w:rFonts w:ascii="Times New Roman" w:hAnsi="Times New Roman" w:cs="Times New Roman"/>
          <w:sz w:val="24"/>
          <w:szCs w:val="24"/>
        </w:rPr>
        <w:t>ould not strike a matter o</w:t>
      </w:r>
      <w:r w:rsidR="00EE7B8A">
        <w:rPr>
          <w:rFonts w:ascii="Times New Roman" w:hAnsi="Times New Roman" w:cs="Times New Roman"/>
          <w:sz w:val="24"/>
          <w:szCs w:val="24"/>
        </w:rPr>
        <w:t>ff the roll unless the matter i</w:t>
      </w:r>
      <w:r>
        <w:rPr>
          <w:rFonts w:ascii="Times New Roman" w:hAnsi="Times New Roman" w:cs="Times New Roman"/>
          <w:sz w:val="24"/>
          <w:szCs w:val="24"/>
        </w:rPr>
        <w:t xml:space="preserve">s </w:t>
      </w:r>
      <w:r w:rsidR="00A86C96">
        <w:rPr>
          <w:rFonts w:ascii="Times New Roman" w:hAnsi="Times New Roman" w:cs="Times New Roman"/>
          <w:sz w:val="24"/>
          <w:szCs w:val="24"/>
        </w:rPr>
        <w:t>so fatally defective as to be a nullity.</w:t>
      </w:r>
    </w:p>
    <w:p w:rsidR="0015588C" w:rsidRDefault="0015588C" w:rsidP="0015588C">
      <w:pPr>
        <w:pStyle w:val="ListParagraph"/>
        <w:numPr>
          <w:ilvl w:val="0"/>
          <w:numId w:val="41"/>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Once an order striking a matter off the roll has been made, r</w:t>
      </w:r>
      <w:r w:rsidR="00EE7B8A">
        <w:rPr>
          <w:rFonts w:ascii="Times New Roman" w:hAnsi="Times New Roman" w:cs="Times New Roman"/>
          <w:sz w:val="24"/>
          <w:szCs w:val="24"/>
        </w:rPr>
        <w:t>ightly or wrongly, the matter i</w:t>
      </w:r>
      <w:r>
        <w:rPr>
          <w:rFonts w:ascii="Times New Roman" w:hAnsi="Times New Roman" w:cs="Times New Roman"/>
          <w:sz w:val="24"/>
          <w:szCs w:val="24"/>
        </w:rPr>
        <w:t>s no longer before the court</w:t>
      </w:r>
      <w:r w:rsidR="00A86C96">
        <w:rPr>
          <w:rFonts w:ascii="Times New Roman" w:hAnsi="Times New Roman" w:cs="Times New Roman"/>
          <w:sz w:val="24"/>
          <w:szCs w:val="24"/>
        </w:rPr>
        <w:t xml:space="preserve">. Only where the matter has been struck off by reason of non-conformity with the rules shall the matter be set down after </w:t>
      </w:r>
      <w:r>
        <w:rPr>
          <w:rFonts w:ascii="Times New Roman" w:hAnsi="Times New Roman" w:cs="Times New Roman"/>
          <w:sz w:val="24"/>
          <w:szCs w:val="24"/>
        </w:rPr>
        <w:t>an order for its re-enrolment has been obtained.</w:t>
      </w:r>
    </w:p>
    <w:p w:rsidR="00EE7B8A" w:rsidRDefault="0015588C" w:rsidP="00EE7B8A">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Such an interpretation is in line with the decisions in </w:t>
      </w:r>
      <w:r w:rsidRPr="00F20253">
        <w:rPr>
          <w:rFonts w:ascii="Times New Roman" w:hAnsi="Times New Roman" w:cs="Times New Roman"/>
          <w:i/>
          <w:sz w:val="24"/>
          <w:szCs w:val="24"/>
        </w:rPr>
        <w:t>Matanhire</w:t>
      </w:r>
      <w:r>
        <w:rPr>
          <w:rFonts w:ascii="Times New Roman" w:hAnsi="Times New Roman" w:cs="Times New Roman"/>
          <w:sz w:val="24"/>
          <w:szCs w:val="24"/>
        </w:rPr>
        <w:t xml:space="preserve"> (</w:t>
      </w:r>
      <w:r w:rsidRPr="00A51E01">
        <w:rPr>
          <w:rFonts w:ascii="Times New Roman" w:hAnsi="Times New Roman" w:cs="Times New Roman"/>
          <w:i/>
          <w:sz w:val="24"/>
          <w:szCs w:val="24"/>
        </w:rPr>
        <w:t>supra</w:t>
      </w:r>
      <w:r>
        <w:rPr>
          <w:rFonts w:ascii="Times New Roman" w:hAnsi="Times New Roman" w:cs="Times New Roman"/>
          <w:sz w:val="24"/>
          <w:szCs w:val="24"/>
        </w:rPr>
        <w:t xml:space="preserve">) and S </w:t>
      </w:r>
      <w:r w:rsidR="00A51E01">
        <w:rPr>
          <w:rFonts w:ascii="Times New Roman" w:hAnsi="Times New Roman" w:cs="Times New Roman"/>
          <w:sz w:val="24"/>
          <w:szCs w:val="24"/>
        </w:rPr>
        <w:t>v</w:t>
      </w:r>
      <w:r>
        <w:rPr>
          <w:rFonts w:ascii="Times New Roman" w:hAnsi="Times New Roman" w:cs="Times New Roman"/>
          <w:sz w:val="24"/>
          <w:szCs w:val="24"/>
        </w:rPr>
        <w:t xml:space="preserve"> </w:t>
      </w:r>
      <w:r w:rsidRPr="00F20253">
        <w:rPr>
          <w:rFonts w:ascii="Times New Roman" w:hAnsi="Times New Roman" w:cs="Times New Roman"/>
          <w:i/>
          <w:sz w:val="24"/>
          <w:szCs w:val="24"/>
        </w:rPr>
        <w:t>Ncube</w:t>
      </w:r>
      <w:r>
        <w:rPr>
          <w:rFonts w:ascii="Times New Roman" w:hAnsi="Times New Roman" w:cs="Times New Roman"/>
          <w:sz w:val="24"/>
          <w:szCs w:val="24"/>
        </w:rPr>
        <w:t xml:space="preserve">. </w:t>
      </w:r>
      <w:r w:rsidR="00F20253">
        <w:rPr>
          <w:rFonts w:ascii="Times New Roman" w:hAnsi="Times New Roman" w:cs="Times New Roman"/>
          <w:sz w:val="24"/>
          <w:szCs w:val="24"/>
        </w:rPr>
        <w:t xml:space="preserve">However, </w:t>
      </w:r>
      <w:r w:rsidR="00F20253" w:rsidRPr="00F20253">
        <w:rPr>
          <w:rFonts w:ascii="Times New Roman" w:hAnsi="Times New Roman" w:cs="Times New Roman"/>
          <w:i/>
          <w:sz w:val="24"/>
          <w:szCs w:val="24"/>
        </w:rPr>
        <w:t>in casu</w:t>
      </w:r>
      <w:r w:rsidR="00F20253">
        <w:rPr>
          <w:rFonts w:ascii="Times New Roman" w:hAnsi="Times New Roman" w:cs="Times New Roman"/>
          <w:sz w:val="24"/>
          <w:szCs w:val="24"/>
        </w:rPr>
        <w:t>, the fly in the ointment is that the matter was not struck o</w:t>
      </w:r>
      <w:r w:rsidR="00A86C96">
        <w:rPr>
          <w:rFonts w:ascii="Times New Roman" w:hAnsi="Times New Roman" w:cs="Times New Roman"/>
          <w:sz w:val="24"/>
          <w:szCs w:val="24"/>
        </w:rPr>
        <w:t>f</w:t>
      </w:r>
      <w:r w:rsidR="00F20253">
        <w:rPr>
          <w:rFonts w:ascii="Times New Roman" w:hAnsi="Times New Roman" w:cs="Times New Roman"/>
          <w:sz w:val="24"/>
          <w:szCs w:val="24"/>
        </w:rPr>
        <w:t>f the roll because it was fatally defective</w:t>
      </w:r>
      <w:r w:rsidR="00A86C96">
        <w:rPr>
          <w:rFonts w:ascii="Times New Roman" w:hAnsi="Times New Roman" w:cs="Times New Roman"/>
          <w:sz w:val="24"/>
          <w:szCs w:val="24"/>
        </w:rPr>
        <w:t xml:space="preserve"> or was not in conformity with the rules</w:t>
      </w:r>
      <w:r w:rsidR="00F20253">
        <w:rPr>
          <w:rFonts w:ascii="Times New Roman" w:hAnsi="Times New Roman" w:cs="Times New Roman"/>
          <w:sz w:val="24"/>
          <w:szCs w:val="24"/>
        </w:rPr>
        <w:t>. It was struck off the roll for non-appearance</w:t>
      </w:r>
      <w:r w:rsidR="007A6E3C">
        <w:rPr>
          <w:rFonts w:ascii="Times New Roman" w:hAnsi="Times New Roman" w:cs="Times New Roman"/>
          <w:sz w:val="24"/>
          <w:szCs w:val="24"/>
        </w:rPr>
        <w:t xml:space="preserve"> of both parties</w:t>
      </w:r>
      <w:r w:rsidR="00F20253">
        <w:rPr>
          <w:rFonts w:ascii="Times New Roman" w:hAnsi="Times New Roman" w:cs="Times New Roman"/>
          <w:sz w:val="24"/>
          <w:szCs w:val="24"/>
        </w:rPr>
        <w:t xml:space="preserve"> on the date of hearing. Regardless, the order striking the matter off the roll remains extant. It cannot be ignored</w:t>
      </w:r>
      <w:r w:rsidR="00EE7B8A">
        <w:rPr>
          <w:rFonts w:ascii="Times New Roman" w:hAnsi="Times New Roman" w:cs="Times New Roman"/>
          <w:sz w:val="24"/>
          <w:szCs w:val="24"/>
        </w:rPr>
        <w:t xml:space="preserve"> merely</w:t>
      </w:r>
      <w:r w:rsidR="00F20253">
        <w:rPr>
          <w:rFonts w:ascii="Times New Roman" w:hAnsi="Times New Roman" w:cs="Times New Roman"/>
          <w:sz w:val="24"/>
          <w:szCs w:val="24"/>
        </w:rPr>
        <w:t xml:space="preserve"> because it flies against the rationale in the practi</w:t>
      </w:r>
      <w:r w:rsidR="007A6E3C">
        <w:rPr>
          <w:rFonts w:ascii="Times New Roman" w:hAnsi="Times New Roman" w:cs="Times New Roman"/>
          <w:sz w:val="24"/>
          <w:szCs w:val="24"/>
        </w:rPr>
        <w:t>c</w:t>
      </w:r>
      <w:r w:rsidR="00F20253">
        <w:rPr>
          <w:rFonts w:ascii="Times New Roman" w:hAnsi="Times New Roman" w:cs="Times New Roman"/>
          <w:sz w:val="24"/>
          <w:szCs w:val="24"/>
        </w:rPr>
        <w:t xml:space="preserve">e direction. </w:t>
      </w:r>
    </w:p>
    <w:p w:rsidR="007A6E3C" w:rsidRDefault="00F20253" w:rsidP="00EE7B8A">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w:t>
      </w:r>
      <w:r w:rsidR="00EE7B8A">
        <w:rPr>
          <w:rFonts w:ascii="Times New Roman" w:hAnsi="Times New Roman" w:cs="Times New Roman"/>
          <w:sz w:val="24"/>
          <w:szCs w:val="24"/>
        </w:rPr>
        <w:t xml:space="preserve">t is trite that an order of court remains valid and enforceable, whether or not it is erroneous, until it is varied or set aside. I </w:t>
      </w:r>
      <w:r>
        <w:rPr>
          <w:rFonts w:ascii="Times New Roman" w:hAnsi="Times New Roman" w:cs="Times New Roman"/>
          <w:sz w:val="24"/>
          <w:szCs w:val="24"/>
        </w:rPr>
        <w:t>cannot</w:t>
      </w:r>
      <w:r w:rsidR="00EE7B8A">
        <w:rPr>
          <w:rFonts w:ascii="Times New Roman" w:hAnsi="Times New Roman" w:cs="Times New Roman"/>
          <w:sz w:val="24"/>
          <w:szCs w:val="24"/>
        </w:rPr>
        <w:t>, therefore,</w:t>
      </w:r>
      <w:r>
        <w:rPr>
          <w:rFonts w:ascii="Times New Roman" w:hAnsi="Times New Roman" w:cs="Times New Roman"/>
          <w:sz w:val="24"/>
          <w:szCs w:val="24"/>
        </w:rPr>
        <w:t xml:space="preserve"> agree with the applicant that I should ignore the order or interpret it to mean “removed from the roll”. This order was made </w:t>
      </w:r>
      <w:r w:rsidR="007A6E3C">
        <w:rPr>
          <w:rFonts w:ascii="Times New Roman" w:hAnsi="Times New Roman" w:cs="Times New Roman"/>
          <w:sz w:val="24"/>
          <w:szCs w:val="24"/>
        </w:rPr>
        <w:t xml:space="preserve">on </w:t>
      </w:r>
      <w:r>
        <w:rPr>
          <w:rFonts w:ascii="Times New Roman" w:hAnsi="Times New Roman" w:cs="Times New Roman"/>
          <w:sz w:val="24"/>
          <w:szCs w:val="24"/>
        </w:rPr>
        <w:t xml:space="preserve">10 September 2015, more than eight months after the practise direction clarifying how the terms are to be applied was made. I cannot pretend or assume that the order was meant to read “removed from the roll” rather than exactly what it is. In any event, even if I accept that the order was erroneously made then the recourse is not to ignore it or to pretend that it is not what it is. The proper recourse for the applicant, once this challenge was drawn to his attention, was to seek correction or variation of the order. </w:t>
      </w:r>
    </w:p>
    <w:p w:rsidR="00FE1B35" w:rsidRDefault="00EE7B8A" w:rsidP="0015588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the circumstances, </w:t>
      </w:r>
      <w:r w:rsidR="00FE1B35">
        <w:rPr>
          <w:rFonts w:ascii="Times New Roman" w:hAnsi="Times New Roman" w:cs="Times New Roman"/>
          <w:sz w:val="24"/>
          <w:szCs w:val="24"/>
        </w:rPr>
        <w:t xml:space="preserve">I do not consider the </w:t>
      </w:r>
      <w:r w:rsidR="00FE1B35" w:rsidRPr="00A51E01">
        <w:rPr>
          <w:rFonts w:ascii="Times New Roman" w:hAnsi="Times New Roman" w:cs="Times New Roman"/>
          <w:i/>
          <w:sz w:val="24"/>
          <w:szCs w:val="24"/>
        </w:rPr>
        <w:t>Bobby Maparanyanga</w:t>
      </w:r>
      <w:r w:rsidR="00FE1B35">
        <w:rPr>
          <w:rFonts w:ascii="Times New Roman" w:hAnsi="Times New Roman" w:cs="Times New Roman"/>
          <w:sz w:val="24"/>
          <w:szCs w:val="24"/>
        </w:rPr>
        <w:t xml:space="preserve"> (</w:t>
      </w:r>
      <w:r w:rsidR="00FE1B35" w:rsidRPr="00A51E01">
        <w:rPr>
          <w:rFonts w:ascii="Times New Roman" w:hAnsi="Times New Roman" w:cs="Times New Roman"/>
          <w:i/>
          <w:sz w:val="24"/>
          <w:szCs w:val="24"/>
        </w:rPr>
        <w:t>supra</w:t>
      </w:r>
      <w:r w:rsidR="00FE1B35">
        <w:rPr>
          <w:rFonts w:ascii="Times New Roman" w:hAnsi="Times New Roman" w:cs="Times New Roman"/>
          <w:sz w:val="24"/>
          <w:szCs w:val="24"/>
        </w:rPr>
        <w:t>) case to be apposite. The decision therein was before the promulgation of Practice Direction 3/2013. At that time, the terms “struck off the roll” and “removed from the roll” where used interchangeably as if they had the same effect and consequences. This was the very reason why the practice direction was made, to remove the confusion created by using the terms as if they meant the same thing. Any order of “striking off” made after 1 January 2014 had to relate to matters no longer before the court for being fatally defective for failure to comply with the rules. An order of striking off in any other case consequently was an order granted in error.</w:t>
      </w:r>
    </w:p>
    <w:p w:rsidR="007A6E3C" w:rsidRDefault="007A6E3C" w:rsidP="0015588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the ordinary course of events, I would have </w:t>
      </w:r>
      <w:r w:rsidRPr="007A6E3C">
        <w:rPr>
          <w:rFonts w:ascii="Times New Roman" w:hAnsi="Times New Roman" w:cs="Times New Roman"/>
          <w:i/>
          <w:sz w:val="24"/>
          <w:szCs w:val="24"/>
        </w:rPr>
        <w:t xml:space="preserve">mero motu </w:t>
      </w:r>
      <w:r>
        <w:rPr>
          <w:rFonts w:ascii="Times New Roman" w:hAnsi="Times New Roman" w:cs="Times New Roman"/>
          <w:sz w:val="24"/>
          <w:szCs w:val="24"/>
        </w:rPr>
        <w:t>rescinded the order as it is patently not in conformity with the practice direction. However, the conduct of the applicant requires that he make an application to explain his apparent lack of diligence:</w:t>
      </w:r>
    </w:p>
    <w:p w:rsidR="007A6E3C" w:rsidRDefault="007A6E3C" w:rsidP="007A6E3C">
      <w:pPr>
        <w:pStyle w:val="ListParagraph"/>
        <w:numPr>
          <w:ilvl w:val="0"/>
          <w:numId w:val="42"/>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He sat back from 2014 until 2019 instead of pursuing his matter and offers no explanation for his inaction.</w:t>
      </w:r>
    </w:p>
    <w:p w:rsidR="007A6E3C" w:rsidRDefault="007A6E3C" w:rsidP="007A6E3C">
      <w:pPr>
        <w:pStyle w:val="ListParagraph"/>
        <w:numPr>
          <w:ilvl w:val="0"/>
          <w:numId w:val="42"/>
        </w:numPr>
        <w:spacing w:after="0" w:line="360" w:lineRule="auto"/>
        <w:rPr>
          <w:rFonts w:ascii="Times New Roman" w:hAnsi="Times New Roman" w:cs="Times New Roman"/>
          <w:sz w:val="24"/>
          <w:szCs w:val="24"/>
        </w:rPr>
      </w:pPr>
      <w:r>
        <w:rPr>
          <w:rFonts w:ascii="Times New Roman" w:hAnsi="Times New Roman" w:cs="Times New Roman"/>
          <w:sz w:val="24"/>
          <w:szCs w:val="24"/>
        </w:rPr>
        <w:t>He offers no explanation why he withdrew the application for re-instatement he made in 2019.</w:t>
      </w:r>
    </w:p>
    <w:p w:rsidR="007A6E3C" w:rsidRDefault="007A6E3C" w:rsidP="007A6E3C">
      <w:pPr>
        <w:pStyle w:val="ListParagraph"/>
        <w:numPr>
          <w:ilvl w:val="0"/>
          <w:numId w:val="42"/>
        </w:numPr>
        <w:spacing w:after="0" w:line="360" w:lineRule="auto"/>
        <w:rPr>
          <w:rFonts w:ascii="Times New Roman" w:hAnsi="Times New Roman" w:cs="Times New Roman"/>
          <w:sz w:val="24"/>
          <w:szCs w:val="24"/>
        </w:rPr>
      </w:pPr>
      <w:r>
        <w:rPr>
          <w:rFonts w:ascii="Times New Roman" w:hAnsi="Times New Roman" w:cs="Times New Roman"/>
          <w:sz w:val="24"/>
          <w:szCs w:val="24"/>
        </w:rPr>
        <w:t>His attention having been drawn to the status of his matter in HC 13081/2012 pursuant to it having been struck off the roll, he made no attempt to seek appropriate rectification but ill advisably insisted on proceeding with this application.</w:t>
      </w:r>
    </w:p>
    <w:p w:rsidR="00EC1B83" w:rsidRDefault="007A6E3C" w:rsidP="0015588C">
      <w:pPr>
        <w:spacing w:after="0" w:line="360" w:lineRule="auto"/>
        <w:ind w:firstLine="720"/>
        <w:rPr>
          <w:rFonts w:ascii="Times New Roman" w:hAnsi="Times New Roman" w:cs="Times New Roman"/>
          <w:sz w:val="24"/>
          <w:szCs w:val="24"/>
        </w:rPr>
      </w:pPr>
      <w:r w:rsidRPr="007A6E3C">
        <w:rPr>
          <w:rFonts w:ascii="Times New Roman" w:hAnsi="Times New Roman" w:cs="Times New Roman"/>
          <w:sz w:val="24"/>
          <w:szCs w:val="24"/>
        </w:rPr>
        <w:t xml:space="preserve"> </w:t>
      </w:r>
      <w:r w:rsidR="00DA4E3D" w:rsidRPr="007A6E3C">
        <w:rPr>
          <w:rFonts w:ascii="Times New Roman" w:hAnsi="Times New Roman" w:cs="Times New Roman"/>
          <w:sz w:val="24"/>
          <w:szCs w:val="24"/>
        </w:rPr>
        <w:t>A</w:t>
      </w:r>
      <w:r w:rsidR="00F20253" w:rsidRPr="007A6E3C">
        <w:rPr>
          <w:rFonts w:ascii="Times New Roman" w:hAnsi="Times New Roman" w:cs="Times New Roman"/>
          <w:sz w:val="24"/>
          <w:szCs w:val="24"/>
        </w:rPr>
        <w:t>s matters stand</w:t>
      </w:r>
      <w:r>
        <w:rPr>
          <w:rFonts w:ascii="Times New Roman" w:hAnsi="Times New Roman" w:cs="Times New Roman"/>
          <w:sz w:val="24"/>
          <w:szCs w:val="24"/>
        </w:rPr>
        <w:t xml:space="preserve"> therefore</w:t>
      </w:r>
      <w:r w:rsidR="00F20253" w:rsidRPr="007A6E3C">
        <w:rPr>
          <w:rFonts w:ascii="Times New Roman" w:hAnsi="Times New Roman" w:cs="Times New Roman"/>
          <w:sz w:val="24"/>
          <w:szCs w:val="24"/>
        </w:rPr>
        <w:t xml:space="preserve">, the order </w:t>
      </w:r>
      <w:r>
        <w:rPr>
          <w:rFonts w:ascii="Times New Roman" w:hAnsi="Times New Roman" w:cs="Times New Roman"/>
          <w:sz w:val="24"/>
          <w:szCs w:val="24"/>
        </w:rPr>
        <w:t xml:space="preserve">striking his matter off the roll </w:t>
      </w:r>
      <w:r w:rsidR="00F20253" w:rsidRPr="007A6E3C">
        <w:rPr>
          <w:rFonts w:ascii="Times New Roman" w:hAnsi="Times New Roman" w:cs="Times New Roman"/>
          <w:sz w:val="24"/>
          <w:szCs w:val="24"/>
        </w:rPr>
        <w:t>has not been corrected or varied. The matter remains struck off the roll.</w:t>
      </w:r>
      <w:r w:rsidR="00DD074F">
        <w:rPr>
          <w:rFonts w:ascii="Times New Roman" w:hAnsi="Times New Roman" w:cs="Times New Roman"/>
          <w:sz w:val="24"/>
          <w:szCs w:val="24"/>
        </w:rPr>
        <w:t xml:space="preserve"> There is thus no matter before the court. </w:t>
      </w:r>
      <w:r w:rsidR="00F20253">
        <w:rPr>
          <w:rFonts w:ascii="Times New Roman" w:hAnsi="Times New Roman" w:cs="Times New Roman"/>
          <w:sz w:val="24"/>
          <w:szCs w:val="24"/>
        </w:rPr>
        <w:t xml:space="preserve">In the circumstances </w:t>
      </w:r>
      <w:r w:rsidR="00EC1B83">
        <w:rPr>
          <w:rFonts w:ascii="Times New Roman" w:hAnsi="Times New Roman" w:cs="Times New Roman"/>
          <w:sz w:val="24"/>
          <w:szCs w:val="24"/>
        </w:rPr>
        <w:t xml:space="preserve">I cannot grant </w:t>
      </w:r>
      <w:r w:rsidR="00F20253">
        <w:rPr>
          <w:rFonts w:ascii="Times New Roman" w:hAnsi="Times New Roman" w:cs="Times New Roman"/>
          <w:sz w:val="24"/>
          <w:szCs w:val="24"/>
        </w:rPr>
        <w:t xml:space="preserve">an order compelling the filing of pre-trial papers in a matter which remains struck off the </w:t>
      </w:r>
      <w:r w:rsidR="00EC1B83">
        <w:rPr>
          <w:rFonts w:ascii="Times New Roman" w:hAnsi="Times New Roman" w:cs="Times New Roman"/>
          <w:sz w:val="24"/>
          <w:szCs w:val="24"/>
        </w:rPr>
        <w:t>roll and is not before the court.</w:t>
      </w:r>
    </w:p>
    <w:p w:rsidR="00EC1B83" w:rsidRDefault="00EC1B83" w:rsidP="0015588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 must agree with respondent that the persistence of the applicant in this matter was clearly unreasonable and showed a wanton disregard of the rules or at worst, an unforgiveable lack of diligence. Applicant caused respondent to incur unwarranted costs by proceeding on the wrong premise in circumstances where due notice had been given of the difficulties endemic to its chosen course of action. It is thus only fair that respondent be awarded her costs on the legal practitioner and client scale.</w:t>
      </w:r>
    </w:p>
    <w:p w:rsidR="00EC1B83" w:rsidRPr="00EC1B83" w:rsidRDefault="00EC1B83" w:rsidP="00A51E01">
      <w:pPr>
        <w:spacing w:after="0" w:line="360" w:lineRule="auto"/>
        <w:jc w:val="both"/>
        <w:rPr>
          <w:rFonts w:ascii="Times New Roman" w:hAnsi="Times New Roman" w:cs="Times New Roman"/>
          <w:b/>
          <w:sz w:val="24"/>
          <w:szCs w:val="24"/>
        </w:rPr>
      </w:pPr>
      <w:r w:rsidRPr="00EC1B83">
        <w:rPr>
          <w:rFonts w:ascii="Times New Roman" w:hAnsi="Times New Roman" w:cs="Times New Roman"/>
          <w:b/>
          <w:sz w:val="24"/>
          <w:szCs w:val="24"/>
        </w:rPr>
        <w:t>Disposition</w:t>
      </w:r>
    </w:p>
    <w:p w:rsidR="00F371E2" w:rsidRDefault="00AE01AC" w:rsidP="00CB1D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w:t>
      </w:r>
      <w:r w:rsidR="00EC1B83">
        <w:rPr>
          <w:rFonts w:ascii="Times New Roman" w:hAnsi="Times New Roman" w:cs="Times New Roman"/>
          <w:sz w:val="24"/>
          <w:szCs w:val="24"/>
        </w:rPr>
        <w:t xml:space="preserve"> the application is dismissed with costs on the scale of legal practitioner and client</w:t>
      </w:r>
      <w:r w:rsidR="006F50AA">
        <w:rPr>
          <w:rFonts w:ascii="Times New Roman" w:hAnsi="Times New Roman" w:cs="Times New Roman"/>
          <w:sz w:val="24"/>
          <w:szCs w:val="24"/>
        </w:rPr>
        <w:t>.</w:t>
      </w:r>
    </w:p>
    <w:p w:rsidR="00894F4F" w:rsidRDefault="00894F4F" w:rsidP="00894F4F">
      <w:pPr>
        <w:pStyle w:val="ListParagraph"/>
        <w:spacing w:after="0" w:line="360" w:lineRule="auto"/>
        <w:ind w:left="1080"/>
        <w:jc w:val="both"/>
        <w:rPr>
          <w:rFonts w:ascii="Times New Roman" w:hAnsi="Times New Roman" w:cs="Times New Roman"/>
          <w:sz w:val="24"/>
          <w:szCs w:val="24"/>
        </w:rPr>
      </w:pPr>
    </w:p>
    <w:p w:rsidR="00A51E01" w:rsidRPr="00894F4F" w:rsidRDefault="00A51E01" w:rsidP="00894F4F">
      <w:pPr>
        <w:pStyle w:val="ListParagraph"/>
        <w:spacing w:after="0" w:line="360" w:lineRule="auto"/>
        <w:ind w:left="1080"/>
        <w:jc w:val="both"/>
        <w:rPr>
          <w:rFonts w:ascii="Times New Roman" w:hAnsi="Times New Roman" w:cs="Times New Roman"/>
          <w:sz w:val="24"/>
          <w:szCs w:val="24"/>
        </w:rPr>
      </w:pPr>
    </w:p>
    <w:p w:rsidR="00585BA6" w:rsidRPr="00585BA6" w:rsidRDefault="000D228E"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Mess</w:t>
      </w:r>
      <w:r w:rsidR="00A8164E">
        <w:rPr>
          <w:rFonts w:ascii="Times New Roman" w:hAnsi="Times New Roman" w:cs="Times New Roman"/>
          <w:i/>
          <w:sz w:val="24"/>
          <w:szCs w:val="24"/>
        </w:rPr>
        <w:t>r</w:t>
      </w:r>
      <w:r>
        <w:rPr>
          <w:rFonts w:ascii="Times New Roman" w:hAnsi="Times New Roman" w:cs="Times New Roman"/>
          <w:i/>
          <w:sz w:val="24"/>
          <w:szCs w:val="24"/>
        </w:rPr>
        <w:t xml:space="preserve">s </w:t>
      </w:r>
      <w:r w:rsidR="00EC1B83">
        <w:rPr>
          <w:rFonts w:ascii="Times New Roman" w:hAnsi="Times New Roman" w:cs="Times New Roman"/>
          <w:i/>
          <w:sz w:val="24"/>
          <w:szCs w:val="24"/>
        </w:rPr>
        <w:t>L.T. Muringani Law Practice</w:t>
      </w:r>
      <w:r w:rsidR="00585BA6">
        <w:rPr>
          <w:rFonts w:ascii="Times New Roman" w:hAnsi="Times New Roman" w:cs="Times New Roman"/>
          <w:i/>
          <w:sz w:val="24"/>
          <w:szCs w:val="24"/>
        </w:rPr>
        <w:t xml:space="preserve">, </w:t>
      </w:r>
      <w:r w:rsidR="00585BA6">
        <w:rPr>
          <w:rFonts w:ascii="Times New Roman" w:hAnsi="Times New Roman" w:cs="Times New Roman"/>
          <w:sz w:val="24"/>
          <w:szCs w:val="24"/>
        </w:rPr>
        <w:t>applicant</w:t>
      </w:r>
      <w:r w:rsidR="009753AB">
        <w:rPr>
          <w:rFonts w:ascii="Times New Roman" w:hAnsi="Times New Roman" w:cs="Times New Roman"/>
          <w:sz w:val="24"/>
          <w:szCs w:val="24"/>
        </w:rPr>
        <w:t>’s legal practitioners</w:t>
      </w:r>
    </w:p>
    <w:p w:rsidR="001916DB" w:rsidRPr="00ED4FAA" w:rsidRDefault="00DB4B0A" w:rsidP="00192891">
      <w:pPr>
        <w:spacing w:after="0" w:line="240" w:lineRule="auto"/>
        <w:rPr>
          <w:rFonts w:ascii="Times New Roman" w:hAnsi="Times New Roman" w:cs="Times New Roman"/>
          <w:sz w:val="24"/>
          <w:szCs w:val="24"/>
          <w:lang w:val="fr-FR"/>
        </w:rPr>
      </w:pPr>
      <w:r w:rsidRPr="00ED4FAA">
        <w:rPr>
          <w:rFonts w:ascii="Times New Roman" w:hAnsi="Times New Roman" w:cs="Times New Roman"/>
          <w:i/>
          <w:sz w:val="24"/>
          <w:szCs w:val="24"/>
          <w:lang w:val="fr-FR"/>
        </w:rPr>
        <w:t>M</w:t>
      </w:r>
      <w:r w:rsidR="00EC1B83">
        <w:rPr>
          <w:rFonts w:ascii="Times New Roman" w:hAnsi="Times New Roman" w:cs="Times New Roman"/>
          <w:i/>
          <w:sz w:val="24"/>
          <w:szCs w:val="24"/>
          <w:lang w:val="fr-FR"/>
        </w:rPr>
        <w:t>es</w:t>
      </w:r>
      <w:r w:rsidRPr="00ED4FAA">
        <w:rPr>
          <w:rFonts w:ascii="Times New Roman" w:hAnsi="Times New Roman" w:cs="Times New Roman"/>
          <w:i/>
          <w:sz w:val="24"/>
          <w:szCs w:val="24"/>
          <w:lang w:val="fr-FR"/>
        </w:rPr>
        <w:t>s</w:t>
      </w:r>
      <w:r w:rsidR="00EC1B83">
        <w:rPr>
          <w:rFonts w:ascii="Times New Roman" w:hAnsi="Times New Roman" w:cs="Times New Roman"/>
          <w:i/>
          <w:sz w:val="24"/>
          <w:szCs w:val="24"/>
          <w:lang w:val="fr-FR"/>
        </w:rPr>
        <w:t xml:space="preserve">rs </w:t>
      </w:r>
      <w:r w:rsidR="008B1E96" w:rsidRPr="00ED4FAA">
        <w:rPr>
          <w:rFonts w:ascii="Times New Roman" w:hAnsi="Times New Roman" w:cs="Times New Roman"/>
          <w:i/>
          <w:sz w:val="24"/>
          <w:szCs w:val="24"/>
          <w:lang w:val="fr-FR"/>
        </w:rPr>
        <w:t>R</w:t>
      </w:r>
      <w:r w:rsidR="00EC1B83">
        <w:rPr>
          <w:rFonts w:ascii="Times New Roman" w:hAnsi="Times New Roman" w:cs="Times New Roman"/>
          <w:i/>
          <w:sz w:val="24"/>
          <w:szCs w:val="24"/>
          <w:lang w:val="fr-FR"/>
        </w:rPr>
        <w:t>ubaya &amp; Chatambudza</w:t>
      </w:r>
      <w:r w:rsidR="00855D51" w:rsidRPr="00ED4FAA">
        <w:rPr>
          <w:rFonts w:ascii="Times New Roman" w:hAnsi="Times New Roman" w:cs="Times New Roman"/>
          <w:i/>
          <w:sz w:val="24"/>
          <w:szCs w:val="24"/>
          <w:lang w:val="fr-FR"/>
        </w:rPr>
        <w:t>,</w:t>
      </w:r>
      <w:r w:rsidR="00585BA6" w:rsidRPr="00ED4FAA">
        <w:rPr>
          <w:rFonts w:ascii="Times New Roman" w:hAnsi="Times New Roman" w:cs="Times New Roman"/>
          <w:sz w:val="24"/>
          <w:szCs w:val="24"/>
          <w:lang w:val="fr-FR"/>
        </w:rPr>
        <w:t xml:space="preserve"> </w:t>
      </w:r>
      <w:r w:rsidR="00A51E01">
        <w:rPr>
          <w:rFonts w:ascii="Times New Roman" w:hAnsi="Times New Roman" w:cs="Times New Roman"/>
          <w:sz w:val="24"/>
          <w:szCs w:val="24"/>
          <w:lang w:val="fr-FR"/>
        </w:rPr>
        <w:t>resp</w:t>
      </w:r>
      <w:r w:rsidR="008538E5" w:rsidRPr="00ED4FAA">
        <w:rPr>
          <w:rFonts w:ascii="Times New Roman" w:hAnsi="Times New Roman" w:cs="Times New Roman"/>
          <w:sz w:val="24"/>
          <w:szCs w:val="24"/>
          <w:lang w:val="fr-FR"/>
        </w:rPr>
        <w:t>ondent</w:t>
      </w:r>
      <w:r w:rsidR="00EC1B83">
        <w:rPr>
          <w:rFonts w:ascii="Times New Roman" w:hAnsi="Times New Roman" w:cs="Times New Roman"/>
          <w:sz w:val="24"/>
          <w:szCs w:val="24"/>
          <w:lang w:val="fr-FR"/>
        </w:rPr>
        <w:t>’s legal pract</w:t>
      </w:r>
      <w:r w:rsidR="00155351">
        <w:rPr>
          <w:rFonts w:ascii="Times New Roman" w:hAnsi="Times New Roman" w:cs="Times New Roman"/>
          <w:sz w:val="24"/>
          <w:szCs w:val="24"/>
          <w:lang w:val="fr-FR"/>
        </w:rPr>
        <w:t>iti</w:t>
      </w:r>
      <w:r w:rsidR="00EC1B83">
        <w:rPr>
          <w:rFonts w:ascii="Times New Roman" w:hAnsi="Times New Roman" w:cs="Times New Roman"/>
          <w:sz w:val="24"/>
          <w:szCs w:val="24"/>
          <w:lang w:val="fr-FR"/>
        </w:rPr>
        <w:t>oners</w:t>
      </w:r>
    </w:p>
    <w:sectPr w:rsidR="001916DB" w:rsidRPr="00ED4FA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E4F" w:rsidRDefault="00F03E4F" w:rsidP="00A5344D">
      <w:pPr>
        <w:spacing w:after="0" w:line="240" w:lineRule="auto"/>
      </w:pPr>
      <w:r>
        <w:separator/>
      </w:r>
    </w:p>
  </w:endnote>
  <w:endnote w:type="continuationSeparator" w:id="0">
    <w:p w:rsidR="00F03E4F" w:rsidRDefault="00F03E4F"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E4F" w:rsidRDefault="00F03E4F" w:rsidP="00A5344D">
      <w:pPr>
        <w:spacing w:after="0" w:line="240" w:lineRule="auto"/>
      </w:pPr>
      <w:r>
        <w:separator/>
      </w:r>
    </w:p>
  </w:footnote>
  <w:footnote w:type="continuationSeparator" w:id="0">
    <w:p w:rsidR="00F03E4F" w:rsidRDefault="00F03E4F" w:rsidP="00A5344D">
      <w:pPr>
        <w:spacing w:after="0" w:line="240" w:lineRule="auto"/>
      </w:pPr>
      <w:r>
        <w:continuationSeparator/>
      </w:r>
    </w:p>
  </w:footnote>
  <w:footnote w:id="1">
    <w:p w:rsidR="00B27628" w:rsidRPr="00E731F1" w:rsidRDefault="00B27628" w:rsidP="00B27628">
      <w:pPr>
        <w:pStyle w:val="FootnoteText"/>
        <w:rPr>
          <w:lang w:val="en-US"/>
        </w:rPr>
      </w:pPr>
      <w:r>
        <w:rPr>
          <w:rStyle w:val="FootnoteReference"/>
        </w:rPr>
        <w:footnoteRef/>
      </w:r>
      <w:r>
        <w:t xml:space="preserve"> </w:t>
      </w:r>
      <w:r>
        <w:rPr>
          <w:lang w:val="en-US"/>
        </w:rPr>
        <w:t xml:space="preserve">2009 (1) ZLR 100 @103 </w:t>
      </w:r>
    </w:p>
  </w:footnote>
  <w:footnote w:id="2">
    <w:p w:rsidR="00B27628" w:rsidRPr="00E731F1" w:rsidRDefault="00B27628" w:rsidP="00B27628">
      <w:pPr>
        <w:pStyle w:val="FootnoteText"/>
        <w:rPr>
          <w:lang w:val="en-US"/>
        </w:rPr>
      </w:pPr>
      <w:r>
        <w:rPr>
          <w:rStyle w:val="FootnoteReference"/>
        </w:rPr>
        <w:footnoteRef/>
      </w:r>
      <w:r>
        <w:t xml:space="preserve"> </w:t>
      </w:r>
      <w:r>
        <w:rPr>
          <w:lang w:val="en-US"/>
        </w:rPr>
        <w:t>HH329-13</w:t>
      </w:r>
    </w:p>
  </w:footnote>
  <w:footnote w:id="3">
    <w:p w:rsidR="00B27628" w:rsidRPr="00E731F1" w:rsidRDefault="00B27628" w:rsidP="00B27628">
      <w:pPr>
        <w:pStyle w:val="FootnoteText"/>
        <w:rPr>
          <w:lang w:val="en-US"/>
        </w:rPr>
      </w:pPr>
      <w:r>
        <w:rPr>
          <w:rStyle w:val="FootnoteReference"/>
        </w:rPr>
        <w:footnoteRef/>
      </w:r>
      <w:r>
        <w:t xml:space="preserve"> </w:t>
      </w:r>
      <w:r>
        <w:rPr>
          <w:lang w:val="en-US"/>
        </w:rPr>
        <w:t xml:space="preserve">See </w:t>
      </w:r>
      <w:r w:rsidRPr="00E731F1">
        <w:rPr>
          <w:i/>
          <w:lang w:val="en-US"/>
        </w:rPr>
        <w:t>Tamanikwa v Board President &amp; Ors</w:t>
      </w:r>
      <w:r>
        <w:rPr>
          <w:lang w:val="en-US"/>
        </w:rPr>
        <w:t xml:space="preserve"> HH676-15</w:t>
      </w:r>
    </w:p>
  </w:footnote>
  <w:footnote w:id="4">
    <w:p w:rsidR="00A251D7" w:rsidRPr="00A251D7" w:rsidRDefault="00A251D7">
      <w:pPr>
        <w:pStyle w:val="FootnoteText"/>
        <w:rPr>
          <w:lang w:val="en-US"/>
        </w:rPr>
      </w:pPr>
      <w:r>
        <w:rPr>
          <w:rStyle w:val="FootnoteReference"/>
        </w:rPr>
        <w:footnoteRef/>
      </w:r>
      <w:r>
        <w:t xml:space="preserve"> </w:t>
      </w:r>
      <w:r>
        <w:rPr>
          <w:lang w:val="en-US"/>
        </w:rPr>
        <w:t>SC64/20</w:t>
      </w:r>
      <w:r w:rsidR="00155351">
        <w:rPr>
          <w:lang w:val="en-US"/>
        </w:rPr>
        <w:t>0</w:t>
      </w:r>
      <w:r>
        <w:rPr>
          <w:lang w:val="en-US"/>
        </w:rPr>
        <w:t>2</w:t>
      </w:r>
    </w:p>
  </w:footnote>
  <w:footnote w:id="5">
    <w:p w:rsidR="00A251D7" w:rsidRPr="00A251D7" w:rsidRDefault="00A251D7">
      <w:pPr>
        <w:pStyle w:val="FootnoteText"/>
        <w:rPr>
          <w:lang w:val="en-US"/>
        </w:rPr>
      </w:pPr>
      <w:r>
        <w:rPr>
          <w:rStyle w:val="FootnoteReference"/>
        </w:rPr>
        <w:footnoteRef/>
      </w:r>
      <w:r>
        <w:t xml:space="preserve"> </w:t>
      </w:r>
      <w:r>
        <w:rPr>
          <w:lang w:val="en-US"/>
        </w:rPr>
        <w:t>2004 (2) ZLR 147 (SC)</w:t>
      </w:r>
    </w:p>
  </w:footnote>
  <w:footnote w:id="6">
    <w:p w:rsidR="00A61D22" w:rsidRPr="00A61D22" w:rsidRDefault="00A61D22">
      <w:pPr>
        <w:pStyle w:val="FootnoteText"/>
        <w:rPr>
          <w:lang w:val="en-US"/>
        </w:rPr>
      </w:pPr>
      <w:r>
        <w:rPr>
          <w:rStyle w:val="FootnoteReference"/>
        </w:rPr>
        <w:footnoteRef/>
      </w:r>
      <w:r>
        <w:t xml:space="preserve"> </w:t>
      </w:r>
      <w:r>
        <w:rPr>
          <w:lang w:val="en-US"/>
        </w:rPr>
        <w:t xml:space="preserve">Such a matter can only be re- enrolled following an application for which an appropriate Court is issued. The Registrar shall not re-set the matter without a Court order.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D60DED" w:rsidRDefault="00D60DED">
        <w:pPr>
          <w:pStyle w:val="Header"/>
          <w:jc w:val="right"/>
          <w:rPr>
            <w:noProof/>
          </w:rPr>
        </w:pPr>
        <w:r>
          <w:fldChar w:fldCharType="begin"/>
        </w:r>
        <w:r>
          <w:instrText xml:space="preserve"> PAGE   \* MERGEFORMAT </w:instrText>
        </w:r>
        <w:r>
          <w:fldChar w:fldCharType="separate"/>
        </w:r>
        <w:r w:rsidR="00F76367">
          <w:rPr>
            <w:noProof/>
          </w:rPr>
          <w:t>1</w:t>
        </w:r>
        <w:r>
          <w:rPr>
            <w:noProof/>
          </w:rPr>
          <w:fldChar w:fldCharType="end"/>
        </w:r>
      </w:p>
      <w:p w:rsidR="00A51E01" w:rsidRDefault="00A51E01">
        <w:pPr>
          <w:pStyle w:val="Header"/>
          <w:jc w:val="right"/>
          <w:rPr>
            <w:noProof/>
          </w:rPr>
        </w:pPr>
        <w:r>
          <w:rPr>
            <w:noProof/>
          </w:rPr>
          <w:t>HH</w:t>
        </w:r>
        <w:r w:rsidR="000E3FB4">
          <w:rPr>
            <w:noProof/>
          </w:rPr>
          <w:t xml:space="preserve"> 207-21</w:t>
        </w:r>
      </w:p>
      <w:p w:rsidR="00D60DED" w:rsidRDefault="00D60DED" w:rsidP="0081013D">
        <w:pPr>
          <w:pStyle w:val="Header"/>
          <w:jc w:val="right"/>
          <w:rPr>
            <w:noProof/>
          </w:rPr>
        </w:pPr>
        <w:r>
          <w:rPr>
            <w:noProof/>
          </w:rPr>
          <w:t xml:space="preserve">HC </w:t>
        </w:r>
        <w:r w:rsidR="00A61CD2">
          <w:rPr>
            <w:noProof/>
          </w:rPr>
          <w:t>2879/19</w:t>
        </w:r>
      </w:p>
      <w:p w:rsidR="00A61CD2" w:rsidRDefault="00A61CD2" w:rsidP="0081013D">
        <w:pPr>
          <w:pStyle w:val="Header"/>
          <w:jc w:val="right"/>
        </w:pPr>
        <w:r>
          <w:rPr>
            <w:noProof/>
          </w:rPr>
          <w:t>Ref HC 13081/12</w:t>
        </w:r>
      </w:p>
      <w:p w:rsidR="00D60DED" w:rsidRDefault="00F03E4F" w:rsidP="0054041B">
        <w:pPr>
          <w:pStyle w:val="Header"/>
          <w:jc w:val="right"/>
          <w:rPr>
            <w:noProof/>
          </w:rPr>
        </w:pPr>
      </w:p>
    </w:sdtContent>
  </w:sdt>
  <w:p w:rsidR="00D60DED" w:rsidRDefault="00D60DED">
    <w:pPr>
      <w:pStyle w:val="Header"/>
      <w:jc w:val="right"/>
      <w:rPr>
        <w:noProo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66B"/>
    <w:multiLevelType w:val="hybridMultilevel"/>
    <w:tmpl w:val="A2528F18"/>
    <w:lvl w:ilvl="0" w:tplc="107843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1D74016"/>
    <w:multiLevelType w:val="hybridMultilevel"/>
    <w:tmpl w:val="44BA0394"/>
    <w:lvl w:ilvl="0" w:tplc="598A5B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3CA19F8"/>
    <w:multiLevelType w:val="hybridMultilevel"/>
    <w:tmpl w:val="55646C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4821A56"/>
    <w:multiLevelType w:val="hybridMultilevel"/>
    <w:tmpl w:val="BB426D58"/>
    <w:lvl w:ilvl="0" w:tplc="58E0DD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0B450C2B"/>
    <w:multiLevelType w:val="hybridMultilevel"/>
    <w:tmpl w:val="71069418"/>
    <w:lvl w:ilvl="0" w:tplc="6D90B1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0C287C14"/>
    <w:multiLevelType w:val="hybridMultilevel"/>
    <w:tmpl w:val="28A81A9E"/>
    <w:lvl w:ilvl="0" w:tplc="A258859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1B1A72AC"/>
    <w:multiLevelType w:val="hybridMultilevel"/>
    <w:tmpl w:val="2596739A"/>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1" w15:restartNumberingAfterBreak="0">
    <w:nsid w:val="20A21957"/>
    <w:multiLevelType w:val="hybridMultilevel"/>
    <w:tmpl w:val="79EA8452"/>
    <w:lvl w:ilvl="0" w:tplc="A600C6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216736E0"/>
    <w:multiLevelType w:val="hybridMultilevel"/>
    <w:tmpl w:val="BAA62C04"/>
    <w:lvl w:ilvl="0" w:tplc="D4B0E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2BAE727A"/>
    <w:multiLevelType w:val="hybridMultilevel"/>
    <w:tmpl w:val="99A82FFC"/>
    <w:lvl w:ilvl="0" w:tplc="A24E356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3155370C"/>
    <w:multiLevelType w:val="hybridMultilevel"/>
    <w:tmpl w:val="1856FB56"/>
    <w:lvl w:ilvl="0" w:tplc="0FF808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1A3B5C"/>
    <w:multiLevelType w:val="hybridMultilevel"/>
    <w:tmpl w:val="A3E873F8"/>
    <w:lvl w:ilvl="0" w:tplc="6EE6F9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3F9922B8"/>
    <w:multiLevelType w:val="hybridMultilevel"/>
    <w:tmpl w:val="4DF29006"/>
    <w:lvl w:ilvl="0" w:tplc="161A33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15:restartNumberingAfterBreak="0">
    <w:nsid w:val="46126648"/>
    <w:multiLevelType w:val="hybridMultilevel"/>
    <w:tmpl w:val="5AC25D0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4A154B15"/>
    <w:multiLevelType w:val="hybridMultilevel"/>
    <w:tmpl w:val="50C28544"/>
    <w:lvl w:ilvl="0" w:tplc="A7448E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4B886D6C"/>
    <w:multiLevelType w:val="hybridMultilevel"/>
    <w:tmpl w:val="24065AD0"/>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15:restartNumberingAfterBreak="0">
    <w:nsid w:val="4CDE1686"/>
    <w:multiLevelType w:val="hybridMultilevel"/>
    <w:tmpl w:val="54D627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4D75529B"/>
    <w:multiLevelType w:val="hybridMultilevel"/>
    <w:tmpl w:val="EBD857FC"/>
    <w:lvl w:ilvl="0" w:tplc="F63A8F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4FA1149B"/>
    <w:multiLevelType w:val="hybridMultilevel"/>
    <w:tmpl w:val="52F85DD8"/>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522808DD"/>
    <w:multiLevelType w:val="hybridMultilevel"/>
    <w:tmpl w:val="542EBDBE"/>
    <w:lvl w:ilvl="0" w:tplc="457E424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54273360"/>
    <w:multiLevelType w:val="hybridMultilevel"/>
    <w:tmpl w:val="EAA6A736"/>
    <w:lvl w:ilvl="0" w:tplc="161A33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5B970142"/>
    <w:multiLevelType w:val="hybridMultilevel"/>
    <w:tmpl w:val="3702D76E"/>
    <w:lvl w:ilvl="0" w:tplc="362E13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636555AE"/>
    <w:multiLevelType w:val="hybridMultilevel"/>
    <w:tmpl w:val="F55AFEAE"/>
    <w:lvl w:ilvl="0" w:tplc="A28C53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6DFB0428"/>
    <w:multiLevelType w:val="hybridMultilevel"/>
    <w:tmpl w:val="C33200B6"/>
    <w:lvl w:ilvl="0" w:tplc="4FB6858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9"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0" w15:restartNumberingAfterBreak="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9"/>
  </w:num>
  <w:num w:numId="2">
    <w:abstractNumId w:val="9"/>
  </w:num>
  <w:num w:numId="3">
    <w:abstractNumId w:val="5"/>
  </w:num>
  <w:num w:numId="4">
    <w:abstractNumId w:val="38"/>
  </w:num>
  <w:num w:numId="5">
    <w:abstractNumId w:val="39"/>
  </w:num>
  <w:num w:numId="6">
    <w:abstractNumId w:val="41"/>
  </w:num>
  <w:num w:numId="7">
    <w:abstractNumId w:val="19"/>
  </w:num>
  <w:num w:numId="8">
    <w:abstractNumId w:val="28"/>
  </w:num>
  <w:num w:numId="9">
    <w:abstractNumId w:val="37"/>
  </w:num>
  <w:num w:numId="10">
    <w:abstractNumId w:val="13"/>
  </w:num>
  <w:num w:numId="11">
    <w:abstractNumId w:val="33"/>
  </w:num>
  <w:num w:numId="12">
    <w:abstractNumId w:val="15"/>
  </w:num>
  <w:num w:numId="13">
    <w:abstractNumId w:val="26"/>
  </w:num>
  <w:num w:numId="14">
    <w:abstractNumId w:val="35"/>
  </w:num>
  <w:num w:numId="15">
    <w:abstractNumId w:val="40"/>
  </w:num>
  <w:num w:numId="16">
    <w:abstractNumId w:val="22"/>
  </w:num>
  <w:num w:numId="17">
    <w:abstractNumId w:val="6"/>
  </w:num>
  <w:num w:numId="18">
    <w:abstractNumId w:val="4"/>
  </w:num>
  <w:num w:numId="19">
    <w:abstractNumId w:val="21"/>
  </w:num>
  <w:num w:numId="20">
    <w:abstractNumId w:val="20"/>
  </w:num>
  <w:num w:numId="21">
    <w:abstractNumId w:val="25"/>
  </w:num>
  <w:num w:numId="22">
    <w:abstractNumId w:val="17"/>
  </w:num>
  <w:num w:numId="23">
    <w:abstractNumId w:val="36"/>
  </w:num>
  <w:num w:numId="24">
    <w:abstractNumId w:val="7"/>
  </w:num>
  <w:num w:numId="25">
    <w:abstractNumId w:val="23"/>
  </w:num>
  <w:num w:numId="26">
    <w:abstractNumId w:val="11"/>
  </w:num>
  <w:num w:numId="27">
    <w:abstractNumId w:val="34"/>
  </w:num>
  <w:num w:numId="28">
    <w:abstractNumId w:val="30"/>
  </w:num>
  <w:num w:numId="29">
    <w:abstractNumId w:val="14"/>
  </w:num>
  <w:num w:numId="30">
    <w:abstractNumId w:val="27"/>
  </w:num>
  <w:num w:numId="31">
    <w:abstractNumId w:val="3"/>
  </w:num>
  <w:num w:numId="32">
    <w:abstractNumId w:val="24"/>
  </w:num>
  <w:num w:numId="33">
    <w:abstractNumId w:val="32"/>
  </w:num>
  <w:num w:numId="34">
    <w:abstractNumId w:val="1"/>
  </w:num>
  <w:num w:numId="35">
    <w:abstractNumId w:val="8"/>
  </w:num>
  <w:num w:numId="36">
    <w:abstractNumId w:val="2"/>
  </w:num>
  <w:num w:numId="37">
    <w:abstractNumId w:val="0"/>
  </w:num>
  <w:num w:numId="38">
    <w:abstractNumId w:val="10"/>
  </w:num>
  <w:num w:numId="39">
    <w:abstractNumId w:val="18"/>
  </w:num>
  <w:num w:numId="40">
    <w:abstractNumId w:val="31"/>
  </w:num>
  <w:num w:numId="41">
    <w:abstractNumId w:val="12"/>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1B00"/>
    <w:rsid w:val="00002717"/>
    <w:rsid w:val="00002FFA"/>
    <w:rsid w:val="00006FE9"/>
    <w:rsid w:val="0001033C"/>
    <w:rsid w:val="00010DBB"/>
    <w:rsid w:val="00012D36"/>
    <w:rsid w:val="000147B5"/>
    <w:rsid w:val="00020429"/>
    <w:rsid w:val="00024C29"/>
    <w:rsid w:val="00025F45"/>
    <w:rsid w:val="00033073"/>
    <w:rsid w:val="0003388C"/>
    <w:rsid w:val="00036056"/>
    <w:rsid w:val="00040646"/>
    <w:rsid w:val="000414FE"/>
    <w:rsid w:val="00047385"/>
    <w:rsid w:val="00050CDA"/>
    <w:rsid w:val="00051357"/>
    <w:rsid w:val="00052F53"/>
    <w:rsid w:val="0005429F"/>
    <w:rsid w:val="00062188"/>
    <w:rsid w:val="000657F4"/>
    <w:rsid w:val="00065992"/>
    <w:rsid w:val="00071180"/>
    <w:rsid w:val="00072CCD"/>
    <w:rsid w:val="00073E16"/>
    <w:rsid w:val="00074CFF"/>
    <w:rsid w:val="00077AE9"/>
    <w:rsid w:val="000807CC"/>
    <w:rsid w:val="00080C6C"/>
    <w:rsid w:val="0008185F"/>
    <w:rsid w:val="00083CFF"/>
    <w:rsid w:val="000844DF"/>
    <w:rsid w:val="000862D5"/>
    <w:rsid w:val="00090BBF"/>
    <w:rsid w:val="00093427"/>
    <w:rsid w:val="00093544"/>
    <w:rsid w:val="0009405E"/>
    <w:rsid w:val="00095AAE"/>
    <w:rsid w:val="00096727"/>
    <w:rsid w:val="0009761F"/>
    <w:rsid w:val="000A02D0"/>
    <w:rsid w:val="000B46C2"/>
    <w:rsid w:val="000C02B4"/>
    <w:rsid w:val="000C1585"/>
    <w:rsid w:val="000C65B2"/>
    <w:rsid w:val="000D228E"/>
    <w:rsid w:val="000D6175"/>
    <w:rsid w:val="000D7361"/>
    <w:rsid w:val="000E23D9"/>
    <w:rsid w:val="000E3E6F"/>
    <w:rsid w:val="000E3FB4"/>
    <w:rsid w:val="000E426A"/>
    <w:rsid w:val="000E4F4E"/>
    <w:rsid w:val="000E5845"/>
    <w:rsid w:val="000E5EF2"/>
    <w:rsid w:val="000F46E7"/>
    <w:rsid w:val="000F6C31"/>
    <w:rsid w:val="001015A9"/>
    <w:rsid w:val="00112DE6"/>
    <w:rsid w:val="001136AE"/>
    <w:rsid w:val="0012003C"/>
    <w:rsid w:val="001225C0"/>
    <w:rsid w:val="00122EC5"/>
    <w:rsid w:val="00123797"/>
    <w:rsid w:val="00123FD7"/>
    <w:rsid w:val="001245CF"/>
    <w:rsid w:val="00132947"/>
    <w:rsid w:val="0013647D"/>
    <w:rsid w:val="00144F54"/>
    <w:rsid w:val="0014648F"/>
    <w:rsid w:val="00153236"/>
    <w:rsid w:val="001536DE"/>
    <w:rsid w:val="00155351"/>
    <w:rsid w:val="0015588C"/>
    <w:rsid w:val="0016137A"/>
    <w:rsid w:val="00165726"/>
    <w:rsid w:val="00165A09"/>
    <w:rsid w:val="0017321C"/>
    <w:rsid w:val="00174FCA"/>
    <w:rsid w:val="00176836"/>
    <w:rsid w:val="00183D71"/>
    <w:rsid w:val="0019018D"/>
    <w:rsid w:val="00190755"/>
    <w:rsid w:val="00191489"/>
    <w:rsid w:val="001916DB"/>
    <w:rsid w:val="00192891"/>
    <w:rsid w:val="001929C6"/>
    <w:rsid w:val="00196A4E"/>
    <w:rsid w:val="001A0486"/>
    <w:rsid w:val="001A4E4C"/>
    <w:rsid w:val="001A562F"/>
    <w:rsid w:val="001A7735"/>
    <w:rsid w:val="001C0ACE"/>
    <w:rsid w:val="001C5AA9"/>
    <w:rsid w:val="001D298A"/>
    <w:rsid w:val="001D481A"/>
    <w:rsid w:val="001E0BDC"/>
    <w:rsid w:val="001E416C"/>
    <w:rsid w:val="001E5B90"/>
    <w:rsid w:val="001F0CCD"/>
    <w:rsid w:val="001F2230"/>
    <w:rsid w:val="001F7BE4"/>
    <w:rsid w:val="00201157"/>
    <w:rsid w:val="0020159D"/>
    <w:rsid w:val="002020BF"/>
    <w:rsid w:val="00202A27"/>
    <w:rsid w:val="00206CEC"/>
    <w:rsid w:val="00216B3D"/>
    <w:rsid w:val="00226660"/>
    <w:rsid w:val="00226AF2"/>
    <w:rsid w:val="00231449"/>
    <w:rsid w:val="002319D6"/>
    <w:rsid w:val="002405FA"/>
    <w:rsid w:val="00240D57"/>
    <w:rsid w:val="0024197D"/>
    <w:rsid w:val="00242E6F"/>
    <w:rsid w:val="0025106C"/>
    <w:rsid w:val="0025507C"/>
    <w:rsid w:val="0025531A"/>
    <w:rsid w:val="002564A8"/>
    <w:rsid w:val="0026135C"/>
    <w:rsid w:val="0026207C"/>
    <w:rsid w:val="00262A8F"/>
    <w:rsid w:val="00264214"/>
    <w:rsid w:val="002652BC"/>
    <w:rsid w:val="00273F92"/>
    <w:rsid w:val="002831A9"/>
    <w:rsid w:val="00293728"/>
    <w:rsid w:val="00294321"/>
    <w:rsid w:val="0029584D"/>
    <w:rsid w:val="00296A0E"/>
    <w:rsid w:val="002A1BDC"/>
    <w:rsid w:val="002A4B44"/>
    <w:rsid w:val="002A6D8A"/>
    <w:rsid w:val="002B7E9A"/>
    <w:rsid w:val="002C08FB"/>
    <w:rsid w:val="002C1C65"/>
    <w:rsid w:val="002C47EF"/>
    <w:rsid w:val="002D0D37"/>
    <w:rsid w:val="002D62E1"/>
    <w:rsid w:val="002E0DD3"/>
    <w:rsid w:val="002E29B2"/>
    <w:rsid w:val="002E32EC"/>
    <w:rsid w:val="002E5B08"/>
    <w:rsid w:val="002E7C2E"/>
    <w:rsid w:val="002F2448"/>
    <w:rsid w:val="002F3DB8"/>
    <w:rsid w:val="00300971"/>
    <w:rsid w:val="0030663C"/>
    <w:rsid w:val="003071B4"/>
    <w:rsid w:val="00307496"/>
    <w:rsid w:val="00307F43"/>
    <w:rsid w:val="003165A1"/>
    <w:rsid w:val="00320282"/>
    <w:rsid w:val="00321664"/>
    <w:rsid w:val="0032169A"/>
    <w:rsid w:val="00321C3A"/>
    <w:rsid w:val="0032298B"/>
    <w:rsid w:val="00324047"/>
    <w:rsid w:val="003273C1"/>
    <w:rsid w:val="00330BE9"/>
    <w:rsid w:val="003402F1"/>
    <w:rsid w:val="00342680"/>
    <w:rsid w:val="0034450B"/>
    <w:rsid w:val="00345F6C"/>
    <w:rsid w:val="0034675B"/>
    <w:rsid w:val="00350A81"/>
    <w:rsid w:val="00350CA6"/>
    <w:rsid w:val="003517A9"/>
    <w:rsid w:val="00355C36"/>
    <w:rsid w:val="0036300A"/>
    <w:rsid w:val="00371DFB"/>
    <w:rsid w:val="00390475"/>
    <w:rsid w:val="00390E7B"/>
    <w:rsid w:val="0039582E"/>
    <w:rsid w:val="00397B6F"/>
    <w:rsid w:val="003A0AA1"/>
    <w:rsid w:val="003A6F9C"/>
    <w:rsid w:val="003B20BF"/>
    <w:rsid w:val="003B3903"/>
    <w:rsid w:val="003B3C42"/>
    <w:rsid w:val="003B5CC5"/>
    <w:rsid w:val="003C2681"/>
    <w:rsid w:val="003C44DA"/>
    <w:rsid w:val="003C5EE9"/>
    <w:rsid w:val="003C7662"/>
    <w:rsid w:val="003D00DF"/>
    <w:rsid w:val="003D0CE8"/>
    <w:rsid w:val="003D0FEC"/>
    <w:rsid w:val="003D2792"/>
    <w:rsid w:val="003D3E83"/>
    <w:rsid w:val="003D670B"/>
    <w:rsid w:val="003D7AE0"/>
    <w:rsid w:val="003E3361"/>
    <w:rsid w:val="003E5E20"/>
    <w:rsid w:val="003F2824"/>
    <w:rsid w:val="003F304A"/>
    <w:rsid w:val="003F3A45"/>
    <w:rsid w:val="003F643B"/>
    <w:rsid w:val="0040093B"/>
    <w:rsid w:val="0041452D"/>
    <w:rsid w:val="004203A1"/>
    <w:rsid w:val="004205D2"/>
    <w:rsid w:val="00425019"/>
    <w:rsid w:val="004265BA"/>
    <w:rsid w:val="004309C1"/>
    <w:rsid w:val="0043347A"/>
    <w:rsid w:val="00437D7D"/>
    <w:rsid w:val="00443D52"/>
    <w:rsid w:val="004445DA"/>
    <w:rsid w:val="004475E6"/>
    <w:rsid w:val="004500CB"/>
    <w:rsid w:val="00451135"/>
    <w:rsid w:val="004512E7"/>
    <w:rsid w:val="004529AB"/>
    <w:rsid w:val="00453BC6"/>
    <w:rsid w:val="004565D2"/>
    <w:rsid w:val="00460D28"/>
    <w:rsid w:val="00460F6B"/>
    <w:rsid w:val="00461967"/>
    <w:rsid w:val="004639FA"/>
    <w:rsid w:val="0047011C"/>
    <w:rsid w:val="00471446"/>
    <w:rsid w:val="00472D5B"/>
    <w:rsid w:val="004735E9"/>
    <w:rsid w:val="0047591B"/>
    <w:rsid w:val="00482DE2"/>
    <w:rsid w:val="00483ECA"/>
    <w:rsid w:val="00485DC3"/>
    <w:rsid w:val="004877F9"/>
    <w:rsid w:val="00491066"/>
    <w:rsid w:val="00494456"/>
    <w:rsid w:val="00495FDC"/>
    <w:rsid w:val="004A06CC"/>
    <w:rsid w:val="004A2D67"/>
    <w:rsid w:val="004C78B7"/>
    <w:rsid w:val="004C7B4C"/>
    <w:rsid w:val="004D1803"/>
    <w:rsid w:val="004D4139"/>
    <w:rsid w:val="004D6946"/>
    <w:rsid w:val="004E2EFD"/>
    <w:rsid w:val="004E4BA6"/>
    <w:rsid w:val="004E5EC6"/>
    <w:rsid w:val="004E6CC3"/>
    <w:rsid w:val="005019BD"/>
    <w:rsid w:val="005019E3"/>
    <w:rsid w:val="005023C5"/>
    <w:rsid w:val="00503A3D"/>
    <w:rsid w:val="005050EB"/>
    <w:rsid w:val="005066B5"/>
    <w:rsid w:val="0051094F"/>
    <w:rsid w:val="00513488"/>
    <w:rsid w:val="00516853"/>
    <w:rsid w:val="00517300"/>
    <w:rsid w:val="0052063C"/>
    <w:rsid w:val="005213E9"/>
    <w:rsid w:val="00521501"/>
    <w:rsid w:val="00524220"/>
    <w:rsid w:val="005300EE"/>
    <w:rsid w:val="005307F7"/>
    <w:rsid w:val="0053094D"/>
    <w:rsid w:val="00531623"/>
    <w:rsid w:val="0053181F"/>
    <w:rsid w:val="00532124"/>
    <w:rsid w:val="0053256A"/>
    <w:rsid w:val="0053312D"/>
    <w:rsid w:val="005375A5"/>
    <w:rsid w:val="0054041B"/>
    <w:rsid w:val="00540495"/>
    <w:rsid w:val="00542B0B"/>
    <w:rsid w:val="005432BC"/>
    <w:rsid w:val="00550CAB"/>
    <w:rsid w:val="00553215"/>
    <w:rsid w:val="00553418"/>
    <w:rsid w:val="00556EB9"/>
    <w:rsid w:val="00557430"/>
    <w:rsid w:val="00557E46"/>
    <w:rsid w:val="00565116"/>
    <w:rsid w:val="00566A1F"/>
    <w:rsid w:val="0057306E"/>
    <w:rsid w:val="00573C5E"/>
    <w:rsid w:val="0057413E"/>
    <w:rsid w:val="00585BA6"/>
    <w:rsid w:val="00586A2C"/>
    <w:rsid w:val="00587660"/>
    <w:rsid w:val="00592B58"/>
    <w:rsid w:val="00593FEE"/>
    <w:rsid w:val="00595728"/>
    <w:rsid w:val="00595F6A"/>
    <w:rsid w:val="005965EB"/>
    <w:rsid w:val="005A10F8"/>
    <w:rsid w:val="005A2C1C"/>
    <w:rsid w:val="005A63D6"/>
    <w:rsid w:val="005A6410"/>
    <w:rsid w:val="005B2D7F"/>
    <w:rsid w:val="005C213D"/>
    <w:rsid w:val="005C3F5C"/>
    <w:rsid w:val="005C6408"/>
    <w:rsid w:val="005C6A66"/>
    <w:rsid w:val="005D2DFA"/>
    <w:rsid w:val="005D41DC"/>
    <w:rsid w:val="005D4DAE"/>
    <w:rsid w:val="005D5F5F"/>
    <w:rsid w:val="005D6AE9"/>
    <w:rsid w:val="005E1FC3"/>
    <w:rsid w:val="005F01DA"/>
    <w:rsid w:val="005F5D5C"/>
    <w:rsid w:val="005F63AD"/>
    <w:rsid w:val="00607999"/>
    <w:rsid w:val="00610D6E"/>
    <w:rsid w:val="00611E35"/>
    <w:rsid w:val="00613729"/>
    <w:rsid w:val="00615161"/>
    <w:rsid w:val="006165D2"/>
    <w:rsid w:val="00617093"/>
    <w:rsid w:val="00623987"/>
    <w:rsid w:val="006247B8"/>
    <w:rsid w:val="0062597B"/>
    <w:rsid w:val="00626888"/>
    <w:rsid w:val="006302DD"/>
    <w:rsid w:val="006343F5"/>
    <w:rsid w:val="0064067B"/>
    <w:rsid w:val="00640901"/>
    <w:rsid w:val="00651153"/>
    <w:rsid w:val="00652464"/>
    <w:rsid w:val="00654C9B"/>
    <w:rsid w:val="006622DF"/>
    <w:rsid w:val="006651EB"/>
    <w:rsid w:val="00673887"/>
    <w:rsid w:val="00674C27"/>
    <w:rsid w:val="00676928"/>
    <w:rsid w:val="006802A1"/>
    <w:rsid w:val="0068380A"/>
    <w:rsid w:val="0069284B"/>
    <w:rsid w:val="0069383B"/>
    <w:rsid w:val="00694626"/>
    <w:rsid w:val="0069749B"/>
    <w:rsid w:val="00697720"/>
    <w:rsid w:val="00697D53"/>
    <w:rsid w:val="006A02F3"/>
    <w:rsid w:val="006A05B9"/>
    <w:rsid w:val="006A21E5"/>
    <w:rsid w:val="006A2509"/>
    <w:rsid w:val="006A2875"/>
    <w:rsid w:val="006A65B3"/>
    <w:rsid w:val="006B164B"/>
    <w:rsid w:val="006B2428"/>
    <w:rsid w:val="006B3F67"/>
    <w:rsid w:val="006B7F5C"/>
    <w:rsid w:val="006C20C8"/>
    <w:rsid w:val="006D3BEB"/>
    <w:rsid w:val="006D485A"/>
    <w:rsid w:val="006D6CDE"/>
    <w:rsid w:val="006D6E91"/>
    <w:rsid w:val="006D7AEF"/>
    <w:rsid w:val="006E4C89"/>
    <w:rsid w:val="006E5F5F"/>
    <w:rsid w:val="006E6AC6"/>
    <w:rsid w:val="006E6D32"/>
    <w:rsid w:val="006F290D"/>
    <w:rsid w:val="006F50AA"/>
    <w:rsid w:val="006F77FF"/>
    <w:rsid w:val="006F7DF0"/>
    <w:rsid w:val="00700560"/>
    <w:rsid w:val="0070258F"/>
    <w:rsid w:val="00705117"/>
    <w:rsid w:val="007079A8"/>
    <w:rsid w:val="0071197D"/>
    <w:rsid w:val="0071201C"/>
    <w:rsid w:val="00716063"/>
    <w:rsid w:val="00716AF5"/>
    <w:rsid w:val="007204EB"/>
    <w:rsid w:val="00720544"/>
    <w:rsid w:val="0072318E"/>
    <w:rsid w:val="0072321F"/>
    <w:rsid w:val="007275F2"/>
    <w:rsid w:val="0073687C"/>
    <w:rsid w:val="00737BDD"/>
    <w:rsid w:val="007455BE"/>
    <w:rsid w:val="0074620D"/>
    <w:rsid w:val="007513F4"/>
    <w:rsid w:val="00753C5C"/>
    <w:rsid w:val="00754C4C"/>
    <w:rsid w:val="0076341D"/>
    <w:rsid w:val="0076426B"/>
    <w:rsid w:val="00764563"/>
    <w:rsid w:val="00766DB1"/>
    <w:rsid w:val="007703F9"/>
    <w:rsid w:val="00774C0E"/>
    <w:rsid w:val="00775EC9"/>
    <w:rsid w:val="007768A8"/>
    <w:rsid w:val="007832B1"/>
    <w:rsid w:val="00783C63"/>
    <w:rsid w:val="007903D3"/>
    <w:rsid w:val="00791E9F"/>
    <w:rsid w:val="0079330E"/>
    <w:rsid w:val="007A0ADB"/>
    <w:rsid w:val="007A13DA"/>
    <w:rsid w:val="007A21CF"/>
    <w:rsid w:val="007A2882"/>
    <w:rsid w:val="007A3773"/>
    <w:rsid w:val="007A39E6"/>
    <w:rsid w:val="007A5BC0"/>
    <w:rsid w:val="007A6B0B"/>
    <w:rsid w:val="007A6E3C"/>
    <w:rsid w:val="007B21C3"/>
    <w:rsid w:val="007B342F"/>
    <w:rsid w:val="007B35B9"/>
    <w:rsid w:val="007B4B62"/>
    <w:rsid w:val="007B4B9D"/>
    <w:rsid w:val="007B6BCE"/>
    <w:rsid w:val="007B7D1C"/>
    <w:rsid w:val="007C15A7"/>
    <w:rsid w:val="007C2219"/>
    <w:rsid w:val="007C67FF"/>
    <w:rsid w:val="007D627B"/>
    <w:rsid w:val="007D7A7A"/>
    <w:rsid w:val="007D7E4B"/>
    <w:rsid w:val="007E4DDA"/>
    <w:rsid w:val="007E6049"/>
    <w:rsid w:val="0080069A"/>
    <w:rsid w:val="00800D9E"/>
    <w:rsid w:val="00804275"/>
    <w:rsid w:val="00806CB3"/>
    <w:rsid w:val="00807117"/>
    <w:rsid w:val="00807C07"/>
    <w:rsid w:val="0081013D"/>
    <w:rsid w:val="00811906"/>
    <w:rsid w:val="0081218F"/>
    <w:rsid w:val="00820BF8"/>
    <w:rsid w:val="00821DBB"/>
    <w:rsid w:val="00830D78"/>
    <w:rsid w:val="00831025"/>
    <w:rsid w:val="008322BA"/>
    <w:rsid w:val="00843C2C"/>
    <w:rsid w:val="00851174"/>
    <w:rsid w:val="0085357F"/>
    <w:rsid w:val="008538E5"/>
    <w:rsid w:val="00855D51"/>
    <w:rsid w:val="0086046E"/>
    <w:rsid w:val="00862C84"/>
    <w:rsid w:val="0086329F"/>
    <w:rsid w:val="00864E52"/>
    <w:rsid w:val="0086651B"/>
    <w:rsid w:val="008834AE"/>
    <w:rsid w:val="008837D8"/>
    <w:rsid w:val="00890585"/>
    <w:rsid w:val="00892080"/>
    <w:rsid w:val="008926B1"/>
    <w:rsid w:val="00894F4F"/>
    <w:rsid w:val="008A166C"/>
    <w:rsid w:val="008A73E6"/>
    <w:rsid w:val="008A7603"/>
    <w:rsid w:val="008A7B38"/>
    <w:rsid w:val="008A7CF2"/>
    <w:rsid w:val="008B04F7"/>
    <w:rsid w:val="008B0512"/>
    <w:rsid w:val="008B1E96"/>
    <w:rsid w:val="008B7F1F"/>
    <w:rsid w:val="008C08C3"/>
    <w:rsid w:val="008C48D1"/>
    <w:rsid w:val="008C6468"/>
    <w:rsid w:val="008C7F32"/>
    <w:rsid w:val="008D21A7"/>
    <w:rsid w:val="008D51A3"/>
    <w:rsid w:val="008D5B14"/>
    <w:rsid w:val="008D61E1"/>
    <w:rsid w:val="008E0847"/>
    <w:rsid w:val="008E508B"/>
    <w:rsid w:val="008F183D"/>
    <w:rsid w:val="008F79B4"/>
    <w:rsid w:val="00902F2A"/>
    <w:rsid w:val="009049A6"/>
    <w:rsid w:val="00904D2B"/>
    <w:rsid w:val="00905E99"/>
    <w:rsid w:val="00907296"/>
    <w:rsid w:val="009160A2"/>
    <w:rsid w:val="00920B5E"/>
    <w:rsid w:val="00921768"/>
    <w:rsid w:val="00921972"/>
    <w:rsid w:val="00924F5C"/>
    <w:rsid w:val="00930208"/>
    <w:rsid w:val="0093314F"/>
    <w:rsid w:val="00935391"/>
    <w:rsid w:val="009358C4"/>
    <w:rsid w:val="00936404"/>
    <w:rsid w:val="00940045"/>
    <w:rsid w:val="0094091C"/>
    <w:rsid w:val="00943046"/>
    <w:rsid w:val="009431C9"/>
    <w:rsid w:val="00943DCA"/>
    <w:rsid w:val="009440A9"/>
    <w:rsid w:val="00944AE6"/>
    <w:rsid w:val="00950A73"/>
    <w:rsid w:val="0095281D"/>
    <w:rsid w:val="00954F68"/>
    <w:rsid w:val="0096125E"/>
    <w:rsid w:val="009616C9"/>
    <w:rsid w:val="00963FF6"/>
    <w:rsid w:val="009642FC"/>
    <w:rsid w:val="00964440"/>
    <w:rsid w:val="00964A1D"/>
    <w:rsid w:val="00965DA1"/>
    <w:rsid w:val="0097294C"/>
    <w:rsid w:val="009730A7"/>
    <w:rsid w:val="009753AB"/>
    <w:rsid w:val="0098161D"/>
    <w:rsid w:val="00984237"/>
    <w:rsid w:val="009854EA"/>
    <w:rsid w:val="00985E35"/>
    <w:rsid w:val="00987997"/>
    <w:rsid w:val="00992A46"/>
    <w:rsid w:val="0099314D"/>
    <w:rsid w:val="00993CC3"/>
    <w:rsid w:val="00996296"/>
    <w:rsid w:val="009A06C1"/>
    <w:rsid w:val="009A1665"/>
    <w:rsid w:val="009A1CBE"/>
    <w:rsid w:val="009A724F"/>
    <w:rsid w:val="009A7E9C"/>
    <w:rsid w:val="009B4612"/>
    <w:rsid w:val="009B6A22"/>
    <w:rsid w:val="009B6C41"/>
    <w:rsid w:val="009B75E2"/>
    <w:rsid w:val="009C1242"/>
    <w:rsid w:val="009C63FE"/>
    <w:rsid w:val="009D21A8"/>
    <w:rsid w:val="009D24C0"/>
    <w:rsid w:val="009D53FA"/>
    <w:rsid w:val="009E3F68"/>
    <w:rsid w:val="009F602C"/>
    <w:rsid w:val="009F6E30"/>
    <w:rsid w:val="00A011B9"/>
    <w:rsid w:val="00A022AE"/>
    <w:rsid w:val="00A15025"/>
    <w:rsid w:val="00A157ED"/>
    <w:rsid w:val="00A21E6F"/>
    <w:rsid w:val="00A224BE"/>
    <w:rsid w:val="00A22C49"/>
    <w:rsid w:val="00A251D7"/>
    <w:rsid w:val="00A2642B"/>
    <w:rsid w:val="00A32902"/>
    <w:rsid w:val="00A33497"/>
    <w:rsid w:val="00A411CF"/>
    <w:rsid w:val="00A42911"/>
    <w:rsid w:val="00A43EE6"/>
    <w:rsid w:val="00A441C6"/>
    <w:rsid w:val="00A44BB3"/>
    <w:rsid w:val="00A465F8"/>
    <w:rsid w:val="00A46FB7"/>
    <w:rsid w:val="00A51E01"/>
    <w:rsid w:val="00A5344D"/>
    <w:rsid w:val="00A53E8D"/>
    <w:rsid w:val="00A574D3"/>
    <w:rsid w:val="00A61CD2"/>
    <w:rsid w:val="00A61D22"/>
    <w:rsid w:val="00A620DB"/>
    <w:rsid w:val="00A620E5"/>
    <w:rsid w:val="00A63DCC"/>
    <w:rsid w:val="00A643DE"/>
    <w:rsid w:val="00A66595"/>
    <w:rsid w:val="00A70274"/>
    <w:rsid w:val="00A71BC1"/>
    <w:rsid w:val="00A72477"/>
    <w:rsid w:val="00A74CDA"/>
    <w:rsid w:val="00A8089E"/>
    <w:rsid w:val="00A8164E"/>
    <w:rsid w:val="00A820E4"/>
    <w:rsid w:val="00A8553D"/>
    <w:rsid w:val="00A86C96"/>
    <w:rsid w:val="00A91397"/>
    <w:rsid w:val="00A93DB8"/>
    <w:rsid w:val="00AA1FB6"/>
    <w:rsid w:val="00AA3CD3"/>
    <w:rsid w:val="00AA75D1"/>
    <w:rsid w:val="00AB222B"/>
    <w:rsid w:val="00AB34A2"/>
    <w:rsid w:val="00AB6264"/>
    <w:rsid w:val="00AB6AD1"/>
    <w:rsid w:val="00AC0E9E"/>
    <w:rsid w:val="00AC368F"/>
    <w:rsid w:val="00AC5598"/>
    <w:rsid w:val="00AD30D7"/>
    <w:rsid w:val="00AE01AC"/>
    <w:rsid w:val="00AE1630"/>
    <w:rsid w:val="00AE6CC5"/>
    <w:rsid w:val="00AF0243"/>
    <w:rsid w:val="00AF6176"/>
    <w:rsid w:val="00B00361"/>
    <w:rsid w:val="00B0367B"/>
    <w:rsid w:val="00B13657"/>
    <w:rsid w:val="00B2441C"/>
    <w:rsid w:val="00B25DE2"/>
    <w:rsid w:val="00B27628"/>
    <w:rsid w:val="00B27F25"/>
    <w:rsid w:val="00B33832"/>
    <w:rsid w:val="00B3468F"/>
    <w:rsid w:val="00B34F7A"/>
    <w:rsid w:val="00B37BD6"/>
    <w:rsid w:val="00B453EE"/>
    <w:rsid w:val="00B6195C"/>
    <w:rsid w:val="00B61A93"/>
    <w:rsid w:val="00B61EB9"/>
    <w:rsid w:val="00B636DE"/>
    <w:rsid w:val="00B64122"/>
    <w:rsid w:val="00B773CF"/>
    <w:rsid w:val="00B92437"/>
    <w:rsid w:val="00BA44E5"/>
    <w:rsid w:val="00BA600E"/>
    <w:rsid w:val="00BB1D1B"/>
    <w:rsid w:val="00BB24DC"/>
    <w:rsid w:val="00BB65BA"/>
    <w:rsid w:val="00BC3355"/>
    <w:rsid w:val="00BC5EBB"/>
    <w:rsid w:val="00BE25F4"/>
    <w:rsid w:val="00BE633C"/>
    <w:rsid w:val="00BF1C88"/>
    <w:rsid w:val="00BF3061"/>
    <w:rsid w:val="00BF3FBA"/>
    <w:rsid w:val="00BF6A37"/>
    <w:rsid w:val="00BF6D6C"/>
    <w:rsid w:val="00C06E64"/>
    <w:rsid w:val="00C104A1"/>
    <w:rsid w:val="00C149E7"/>
    <w:rsid w:val="00C20587"/>
    <w:rsid w:val="00C210AF"/>
    <w:rsid w:val="00C260AE"/>
    <w:rsid w:val="00C34288"/>
    <w:rsid w:val="00C347AB"/>
    <w:rsid w:val="00C34E97"/>
    <w:rsid w:val="00C36767"/>
    <w:rsid w:val="00C41974"/>
    <w:rsid w:val="00C448D4"/>
    <w:rsid w:val="00C63838"/>
    <w:rsid w:val="00C65A52"/>
    <w:rsid w:val="00C66194"/>
    <w:rsid w:val="00C663EF"/>
    <w:rsid w:val="00C773D1"/>
    <w:rsid w:val="00C8080B"/>
    <w:rsid w:val="00C82DDA"/>
    <w:rsid w:val="00C82DE5"/>
    <w:rsid w:val="00C8309F"/>
    <w:rsid w:val="00C84DF1"/>
    <w:rsid w:val="00C874AC"/>
    <w:rsid w:val="00C90CC1"/>
    <w:rsid w:val="00CA0412"/>
    <w:rsid w:val="00CB0D71"/>
    <w:rsid w:val="00CB1B98"/>
    <w:rsid w:val="00CB1D00"/>
    <w:rsid w:val="00CB69D9"/>
    <w:rsid w:val="00CC0F35"/>
    <w:rsid w:val="00CC552A"/>
    <w:rsid w:val="00CD1665"/>
    <w:rsid w:val="00CD48C0"/>
    <w:rsid w:val="00CE58C2"/>
    <w:rsid w:val="00CF106B"/>
    <w:rsid w:val="00CF3143"/>
    <w:rsid w:val="00CF3A96"/>
    <w:rsid w:val="00CF6279"/>
    <w:rsid w:val="00D12F8B"/>
    <w:rsid w:val="00D1434C"/>
    <w:rsid w:val="00D20805"/>
    <w:rsid w:val="00D21C50"/>
    <w:rsid w:val="00D24ED2"/>
    <w:rsid w:val="00D2625C"/>
    <w:rsid w:val="00D26F91"/>
    <w:rsid w:val="00D3143A"/>
    <w:rsid w:val="00D3509E"/>
    <w:rsid w:val="00D35864"/>
    <w:rsid w:val="00D37968"/>
    <w:rsid w:val="00D409AF"/>
    <w:rsid w:val="00D40A47"/>
    <w:rsid w:val="00D43339"/>
    <w:rsid w:val="00D44ED3"/>
    <w:rsid w:val="00D47206"/>
    <w:rsid w:val="00D51414"/>
    <w:rsid w:val="00D518C5"/>
    <w:rsid w:val="00D54499"/>
    <w:rsid w:val="00D559FF"/>
    <w:rsid w:val="00D55DD3"/>
    <w:rsid w:val="00D60DED"/>
    <w:rsid w:val="00D611EB"/>
    <w:rsid w:val="00D669E7"/>
    <w:rsid w:val="00D67081"/>
    <w:rsid w:val="00D71A82"/>
    <w:rsid w:val="00D7717B"/>
    <w:rsid w:val="00D828DE"/>
    <w:rsid w:val="00D87187"/>
    <w:rsid w:val="00D93732"/>
    <w:rsid w:val="00D942D1"/>
    <w:rsid w:val="00D96EF2"/>
    <w:rsid w:val="00D97910"/>
    <w:rsid w:val="00DA4E3D"/>
    <w:rsid w:val="00DB1CBD"/>
    <w:rsid w:val="00DB4B0A"/>
    <w:rsid w:val="00DB5BB1"/>
    <w:rsid w:val="00DC27FF"/>
    <w:rsid w:val="00DC2A46"/>
    <w:rsid w:val="00DC6B9A"/>
    <w:rsid w:val="00DC77DA"/>
    <w:rsid w:val="00DD074F"/>
    <w:rsid w:val="00DD2C79"/>
    <w:rsid w:val="00DD718E"/>
    <w:rsid w:val="00DD77FF"/>
    <w:rsid w:val="00DE5C8D"/>
    <w:rsid w:val="00DE6A14"/>
    <w:rsid w:val="00DE793E"/>
    <w:rsid w:val="00DF7AE0"/>
    <w:rsid w:val="00E00A18"/>
    <w:rsid w:val="00E04C72"/>
    <w:rsid w:val="00E13D75"/>
    <w:rsid w:val="00E15273"/>
    <w:rsid w:val="00E16D07"/>
    <w:rsid w:val="00E2516B"/>
    <w:rsid w:val="00E2517A"/>
    <w:rsid w:val="00E35E50"/>
    <w:rsid w:val="00E4032E"/>
    <w:rsid w:val="00E41939"/>
    <w:rsid w:val="00E44D15"/>
    <w:rsid w:val="00E45F2C"/>
    <w:rsid w:val="00E475D6"/>
    <w:rsid w:val="00E5163E"/>
    <w:rsid w:val="00E545C9"/>
    <w:rsid w:val="00E54F54"/>
    <w:rsid w:val="00E55A95"/>
    <w:rsid w:val="00E5797F"/>
    <w:rsid w:val="00E6012A"/>
    <w:rsid w:val="00E60D95"/>
    <w:rsid w:val="00E612A9"/>
    <w:rsid w:val="00E66010"/>
    <w:rsid w:val="00E6615A"/>
    <w:rsid w:val="00E731F1"/>
    <w:rsid w:val="00E73E53"/>
    <w:rsid w:val="00E74A57"/>
    <w:rsid w:val="00E762FE"/>
    <w:rsid w:val="00E807BD"/>
    <w:rsid w:val="00E81599"/>
    <w:rsid w:val="00E81695"/>
    <w:rsid w:val="00E84641"/>
    <w:rsid w:val="00E85705"/>
    <w:rsid w:val="00E8667E"/>
    <w:rsid w:val="00E90BDA"/>
    <w:rsid w:val="00E90CDA"/>
    <w:rsid w:val="00EA4526"/>
    <w:rsid w:val="00EA6510"/>
    <w:rsid w:val="00EB1BD4"/>
    <w:rsid w:val="00EB5837"/>
    <w:rsid w:val="00EB605A"/>
    <w:rsid w:val="00EC1B83"/>
    <w:rsid w:val="00EC66CA"/>
    <w:rsid w:val="00ED03C9"/>
    <w:rsid w:val="00ED34E4"/>
    <w:rsid w:val="00ED4FAA"/>
    <w:rsid w:val="00ED5E2E"/>
    <w:rsid w:val="00ED76B0"/>
    <w:rsid w:val="00EE147D"/>
    <w:rsid w:val="00EE1B58"/>
    <w:rsid w:val="00EE22C4"/>
    <w:rsid w:val="00EE412F"/>
    <w:rsid w:val="00EE658C"/>
    <w:rsid w:val="00EE779E"/>
    <w:rsid w:val="00EE7B8A"/>
    <w:rsid w:val="00EF231A"/>
    <w:rsid w:val="00EF3939"/>
    <w:rsid w:val="00EF3A9B"/>
    <w:rsid w:val="00EF658B"/>
    <w:rsid w:val="00F00E80"/>
    <w:rsid w:val="00F03E4F"/>
    <w:rsid w:val="00F07DCB"/>
    <w:rsid w:val="00F13658"/>
    <w:rsid w:val="00F20253"/>
    <w:rsid w:val="00F2739C"/>
    <w:rsid w:val="00F31E66"/>
    <w:rsid w:val="00F31ED6"/>
    <w:rsid w:val="00F34FA3"/>
    <w:rsid w:val="00F36CD7"/>
    <w:rsid w:val="00F371E2"/>
    <w:rsid w:val="00F37665"/>
    <w:rsid w:val="00F40BC8"/>
    <w:rsid w:val="00F41839"/>
    <w:rsid w:val="00F43CCD"/>
    <w:rsid w:val="00F43F31"/>
    <w:rsid w:val="00F44250"/>
    <w:rsid w:val="00F44265"/>
    <w:rsid w:val="00F44398"/>
    <w:rsid w:val="00F52AD4"/>
    <w:rsid w:val="00F53C8A"/>
    <w:rsid w:val="00F5426A"/>
    <w:rsid w:val="00F55A63"/>
    <w:rsid w:val="00F634F8"/>
    <w:rsid w:val="00F6679B"/>
    <w:rsid w:val="00F66DD6"/>
    <w:rsid w:val="00F7027B"/>
    <w:rsid w:val="00F74946"/>
    <w:rsid w:val="00F74C5F"/>
    <w:rsid w:val="00F76367"/>
    <w:rsid w:val="00F768EA"/>
    <w:rsid w:val="00F802A1"/>
    <w:rsid w:val="00F903E5"/>
    <w:rsid w:val="00F92802"/>
    <w:rsid w:val="00F97227"/>
    <w:rsid w:val="00FA0532"/>
    <w:rsid w:val="00FA5BAB"/>
    <w:rsid w:val="00FA6187"/>
    <w:rsid w:val="00FB1CD5"/>
    <w:rsid w:val="00FC146E"/>
    <w:rsid w:val="00FC336F"/>
    <w:rsid w:val="00FC5220"/>
    <w:rsid w:val="00FC6FD9"/>
    <w:rsid w:val="00FD3454"/>
    <w:rsid w:val="00FD7503"/>
    <w:rsid w:val="00FE1B35"/>
    <w:rsid w:val="00FE218C"/>
    <w:rsid w:val="00FE34F2"/>
    <w:rsid w:val="00FF09BB"/>
    <w:rsid w:val="00FF1B85"/>
    <w:rsid w:val="00FF2803"/>
    <w:rsid w:val="00FF5F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332CDD-C63C-4724-BA8B-24EA1B11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NoSpacing">
    <w:name w:val="No Spacing"/>
    <w:uiPriority w:val="1"/>
    <w:qFormat/>
    <w:rsid w:val="0032298B"/>
    <w:pPr>
      <w:spacing w:after="0" w:line="240" w:lineRule="auto"/>
    </w:pPr>
  </w:style>
  <w:style w:type="paragraph" w:styleId="BalloonText">
    <w:name w:val="Balloon Text"/>
    <w:basedOn w:val="Normal"/>
    <w:link w:val="BalloonTextChar"/>
    <w:uiPriority w:val="99"/>
    <w:semiHidden/>
    <w:unhideWhenUsed/>
    <w:rsid w:val="00EE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2C4"/>
    <w:rPr>
      <w:rFonts w:ascii="Tahoma" w:hAnsi="Tahoma" w:cs="Tahoma"/>
      <w:sz w:val="16"/>
      <w:szCs w:val="16"/>
    </w:rPr>
  </w:style>
  <w:style w:type="character" w:styleId="CommentReference">
    <w:name w:val="annotation reference"/>
    <w:basedOn w:val="DefaultParagraphFont"/>
    <w:uiPriority w:val="99"/>
    <w:semiHidden/>
    <w:unhideWhenUsed/>
    <w:rsid w:val="00C448D4"/>
    <w:rPr>
      <w:sz w:val="16"/>
      <w:szCs w:val="16"/>
    </w:rPr>
  </w:style>
  <w:style w:type="paragraph" w:styleId="CommentText">
    <w:name w:val="annotation text"/>
    <w:basedOn w:val="Normal"/>
    <w:link w:val="CommentTextChar"/>
    <w:uiPriority w:val="99"/>
    <w:semiHidden/>
    <w:unhideWhenUsed/>
    <w:rsid w:val="00C448D4"/>
    <w:pPr>
      <w:spacing w:line="240" w:lineRule="auto"/>
    </w:pPr>
    <w:rPr>
      <w:sz w:val="20"/>
      <w:szCs w:val="20"/>
    </w:rPr>
  </w:style>
  <w:style w:type="character" w:customStyle="1" w:styleId="CommentTextChar">
    <w:name w:val="Comment Text Char"/>
    <w:basedOn w:val="DefaultParagraphFont"/>
    <w:link w:val="CommentText"/>
    <w:uiPriority w:val="99"/>
    <w:semiHidden/>
    <w:rsid w:val="00C448D4"/>
    <w:rPr>
      <w:sz w:val="20"/>
      <w:szCs w:val="20"/>
    </w:rPr>
  </w:style>
  <w:style w:type="paragraph" w:styleId="CommentSubject">
    <w:name w:val="annotation subject"/>
    <w:basedOn w:val="CommentText"/>
    <w:next w:val="CommentText"/>
    <w:link w:val="CommentSubjectChar"/>
    <w:uiPriority w:val="99"/>
    <w:semiHidden/>
    <w:unhideWhenUsed/>
    <w:rsid w:val="00C448D4"/>
    <w:rPr>
      <w:b/>
      <w:bCs/>
    </w:rPr>
  </w:style>
  <w:style w:type="character" w:customStyle="1" w:styleId="CommentSubjectChar">
    <w:name w:val="Comment Subject Char"/>
    <w:basedOn w:val="CommentTextChar"/>
    <w:link w:val="CommentSubject"/>
    <w:uiPriority w:val="99"/>
    <w:semiHidden/>
    <w:rsid w:val="00C448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53136">
      <w:bodyDiv w:val="1"/>
      <w:marLeft w:val="0"/>
      <w:marRight w:val="0"/>
      <w:marTop w:val="0"/>
      <w:marBottom w:val="0"/>
      <w:divBdr>
        <w:top w:val="none" w:sz="0" w:space="0" w:color="auto"/>
        <w:left w:val="none" w:sz="0" w:space="0" w:color="auto"/>
        <w:bottom w:val="none" w:sz="0" w:space="0" w:color="auto"/>
        <w:right w:val="none" w:sz="0" w:space="0" w:color="auto"/>
      </w:divBdr>
    </w:div>
    <w:div w:id="18830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9DC19-AC0D-46CF-8CFC-51490D80A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1582</Words>
  <Characters>9019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JSC</cp:lastModifiedBy>
  <cp:revision>2</cp:revision>
  <cp:lastPrinted>2021-04-23T13:07:00Z</cp:lastPrinted>
  <dcterms:created xsi:type="dcterms:W3CDTF">2021-04-30T08:57:00Z</dcterms:created>
  <dcterms:modified xsi:type="dcterms:W3CDTF">2021-04-30T08:57:00Z</dcterms:modified>
</cp:coreProperties>
</file>