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1" w:type="dxa"/>
        <w:tblBorders>
          <w:bottom w:val="single" w:sz="6" w:space="0" w:color="auto"/>
        </w:tblBorders>
        <w:tblLayout w:type="fixed"/>
        <w:tblLook w:val="0000" w:firstRow="0" w:lastRow="0" w:firstColumn="0" w:lastColumn="0" w:noHBand="0" w:noVBand="0"/>
      </w:tblPr>
      <w:tblGrid>
        <w:gridCol w:w="3896"/>
        <w:gridCol w:w="1491"/>
        <w:gridCol w:w="4394"/>
      </w:tblGrid>
      <w:tr w:rsidR="005A4D7A" w:rsidTr="009C18C8">
        <w:trPr>
          <w:trHeight w:val="70"/>
        </w:trPr>
        <w:tc>
          <w:tcPr>
            <w:tcW w:w="3896" w:type="dxa"/>
            <w:tcBorders>
              <w:bottom w:val="nil"/>
            </w:tcBorders>
          </w:tcPr>
          <w:p w:rsidR="005A4D7A" w:rsidRDefault="005A4D7A" w:rsidP="009A35C7">
            <w:pPr>
              <w:tabs>
                <w:tab w:val="left" w:pos="1134"/>
                <w:tab w:val="left" w:pos="1276"/>
                <w:tab w:val="left" w:pos="1560"/>
                <w:tab w:val="center" w:pos="4395"/>
                <w:tab w:val="right" w:pos="8505"/>
              </w:tabs>
              <w:spacing w:line="360" w:lineRule="auto"/>
              <w:jc w:val="both"/>
              <w:rPr>
                <w:b/>
                <w:sz w:val="22"/>
              </w:rPr>
            </w:pPr>
            <w:bookmarkStart w:id="0" w:name="_GoBack"/>
            <w:bookmarkEnd w:id="0"/>
          </w:p>
        </w:tc>
        <w:tc>
          <w:tcPr>
            <w:tcW w:w="1491" w:type="dxa"/>
            <w:tcBorders>
              <w:bottom w:val="nil"/>
            </w:tcBorders>
          </w:tcPr>
          <w:p w:rsidR="005A4D7A" w:rsidRDefault="005A4D7A" w:rsidP="009A35C7">
            <w:pPr>
              <w:tabs>
                <w:tab w:val="center" w:pos="4395"/>
                <w:tab w:val="right" w:pos="8505"/>
              </w:tabs>
              <w:spacing w:line="360" w:lineRule="auto"/>
              <w:jc w:val="both"/>
              <w:rPr>
                <w:sz w:val="19"/>
              </w:rPr>
            </w:pPr>
          </w:p>
        </w:tc>
        <w:tc>
          <w:tcPr>
            <w:tcW w:w="4394" w:type="dxa"/>
            <w:tcBorders>
              <w:bottom w:val="nil"/>
            </w:tcBorders>
          </w:tcPr>
          <w:p w:rsidR="005A4D7A" w:rsidRDefault="005A4D7A" w:rsidP="009A35C7">
            <w:pPr>
              <w:tabs>
                <w:tab w:val="center" w:pos="4395"/>
                <w:tab w:val="right" w:pos="8505"/>
              </w:tabs>
              <w:spacing w:line="360" w:lineRule="auto"/>
              <w:jc w:val="both"/>
              <w:rPr>
                <w:b/>
                <w:sz w:val="19"/>
              </w:rPr>
            </w:pPr>
          </w:p>
        </w:tc>
      </w:tr>
    </w:tbl>
    <w:p w:rsidR="002912A6" w:rsidRDefault="00F823FD" w:rsidP="00472847">
      <w:pPr>
        <w:jc w:val="both"/>
      </w:pPr>
      <w:r>
        <w:t>KHANYISA</w:t>
      </w:r>
      <w:r w:rsidR="003F702F">
        <w:t xml:space="preserve"> MINERALS (PRIVATE) LIMITED</w:t>
      </w:r>
    </w:p>
    <w:p w:rsidR="00602A43" w:rsidRPr="003F65A1" w:rsidRDefault="00602A43" w:rsidP="00472847">
      <w:pPr>
        <w:jc w:val="both"/>
        <w:rPr>
          <w:sz w:val="12"/>
          <w:szCs w:val="12"/>
        </w:rPr>
      </w:pPr>
    </w:p>
    <w:p w:rsidR="002912A6" w:rsidRDefault="00FE791A" w:rsidP="00804E6A">
      <w:pPr>
        <w:jc w:val="both"/>
      </w:pPr>
      <w:r>
        <w:t xml:space="preserve">versus </w:t>
      </w:r>
    </w:p>
    <w:p w:rsidR="00472847" w:rsidRPr="00643A19" w:rsidRDefault="00472847" w:rsidP="009A35C7">
      <w:pPr>
        <w:jc w:val="both"/>
        <w:rPr>
          <w:sz w:val="12"/>
          <w:szCs w:val="12"/>
        </w:rPr>
      </w:pPr>
    </w:p>
    <w:p w:rsidR="002912A6" w:rsidRDefault="00797852" w:rsidP="009A35C7">
      <w:pPr>
        <w:jc w:val="both"/>
      </w:pPr>
      <w:r>
        <w:t>CROWBURG RESOURCES (PRIVATE) LIMITED</w:t>
      </w:r>
      <w:r w:rsidR="00D37BA5">
        <w:t xml:space="preserve"> </w:t>
      </w:r>
    </w:p>
    <w:p w:rsidR="00DC67DE" w:rsidRPr="00D37BA5" w:rsidRDefault="00DC67DE" w:rsidP="009A35C7">
      <w:pPr>
        <w:jc w:val="both"/>
        <w:rPr>
          <w:sz w:val="8"/>
          <w:szCs w:val="8"/>
        </w:rPr>
      </w:pPr>
    </w:p>
    <w:p w:rsidR="007217CC" w:rsidRDefault="00797852" w:rsidP="00804E6A">
      <w:pPr>
        <w:jc w:val="both"/>
      </w:pPr>
      <w:r>
        <w:t xml:space="preserve">MINISTER OF MINES </w:t>
      </w:r>
      <w:r w:rsidR="00232D81">
        <w:t>AND MINING DEVELOPMENT N.O.</w:t>
      </w:r>
    </w:p>
    <w:p w:rsidR="00402E0D" w:rsidRPr="00204D0D" w:rsidRDefault="00402E0D" w:rsidP="00804E6A">
      <w:pPr>
        <w:jc w:val="both"/>
        <w:rPr>
          <w:sz w:val="4"/>
          <w:szCs w:val="4"/>
        </w:rPr>
      </w:pPr>
    </w:p>
    <w:p w:rsidR="004A5D81" w:rsidRDefault="00402E0D" w:rsidP="00804E6A">
      <w:pPr>
        <w:jc w:val="both"/>
      </w:pPr>
      <w:r>
        <w:t xml:space="preserve">THE PROVINCIAL MINING DIRECTOR </w:t>
      </w:r>
      <w:r w:rsidR="004A5D81">
        <w:t>MATABELELAND SOUTH N.O</w:t>
      </w:r>
    </w:p>
    <w:p w:rsidR="00204D0D" w:rsidRPr="00BC5FF4" w:rsidRDefault="00204D0D" w:rsidP="00804E6A">
      <w:pPr>
        <w:jc w:val="both"/>
        <w:rPr>
          <w:sz w:val="6"/>
          <w:szCs w:val="6"/>
        </w:rPr>
      </w:pPr>
    </w:p>
    <w:p w:rsidR="00204D0D" w:rsidRDefault="00204D0D" w:rsidP="00804E6A">
      <w:pPr>
        <w:jc w:val="both"/>
      </w:pPr>
      <w:r>
        <w:t>DOLLAR TANTALUM MINING (PRIVATE) LIMITED</w:t>
      </w:r>
    </w:p>
    <w:p w:rsidR="00BC5FF4" w:rsidRPr="004A300E" w:rsidRDefault="00BC5FF4" w:rsidP="00804E6A">
      <w:pPr>
        <w:jc w:val="both"/>
        <w:rPr>
          <w:sz w:val="6"/>
          <w:szCs w:val="6"/>
        </w:rPr>
      </w:pPr>
    </w:p>
    <w:p w:rsidR="00BC5FF4" w:rsidRDefault="00BC5FF4" w:rsidP="00804E6A">
      <w:pPr>
        <w:jc w:val="both"/>
      </w:pPr>
      <w:r>
        <w:t xml:space="preserve">RICHARD BRIAN </w:t>
      </w:r>
      <w:r w:rsidR="006E2910">
        <w:t>DOLLAR</w:t>
      </w:r>
    </w:p>
    <w:p w:rsidR="007217CC" w:rsidRDefault="007217CC" w:rsidP="00804E6A">
      <w:pPr>
        <w:jc w:val="both"/>
      </w:pPr>
    </w:p>
    <w:p w:rsidR="007217CC" w:rsidRDefault="007217CC" w:rsidP="00804E6A">
      <w:pPr>
        <w:jc w:val="both"/>
      </w:pPr>
    </w:p>
    <w:p w:rsidR="005A4D7A" w:rsidRDefault="005A4D7A" w:rsidP="009A35C7">
      <w:pPr>
        <w:jc w:val="both"/>
      </w:pPr>
      <w:r>
        <w:t>HIGH COURT OF ZIMBABWE</w:t>
      </w:r>
    </w:p>
    <w:p w:rsidR="005A4D7A" w:rsidRDefault="00A831D8" w:rsidP="009A35C7">
      <w:pPr>
        <w:jc w:val="both"/>
      </w:pPr>
      <w:r>
        <w:t>CHINAMORA</w:t>
      </w:r>
      <w:r w:rsidR="005A4D7A">
        <w:t xml:space="preserve"> J</w:t>
      </w:r>
    </w:p>
    <w:p w:rsidR="005A4D7A" w:rsidRDefault="008011DF" w:rsidP="009A35C7">
      <w:pPr>
        <w:jc w:val="both"/>
      </w:pPr>
      <w:r>
        <w:t>HARARE</w:t>
      </w:r>
      <w:r w:rsidR="00475B64">
        <w:t>,</w:t>
      </w:r>
      <w:r>
        <w:t xml:space="preserve"> 29 June </w:t>
      </w:r>
      <w:r w:rsidR="00475B64">
        <w:t>&amp;</w:t>
      </w:r>
      <w:r>
        <w:t xml:space="preserve"> 30 June </w:t>
      </w:r>
      <w:r w:rsidR="00A8595C">
        <w:t>2021</w:t>
      </w:r>
      <w:r>
        <w:t>, 7 July 2021</w:t>
      </w:r>
      <w:r w:rsidR="00C835A5">
        <w:t xml:space="preserve"> </w:t>
      </w:r>
      <w:r w:rsidR="00475B64">
        <w:t xml:space="preserve">&amp; </w:t>
      </w:r>
      <w:r w:rsidR="001D3C6C">
        <w:t>21</w:t>
      </w:r>
      <w:r w:rsidR="00070460">
        <w:t xml:space="preserve"> July 2022</w:t>
      </w:r>
    </w:p>
    <w:p w:rsidR="00AA20FE" w:rsidRDefault="00AA20FE" w:rsidP="009A35C7">
      <w:pPr>
        <w:spacing w:line="360" w:lineRule="auto"/>
        <w:jc w:val="both"/>
        <w:rPr>
          <w:b/>
        </w:rPr>
      </w:pPr>
    </w:p>
    <w:p w:rsidR="005A4D7A" w:rsidRPr="009A017B" w:rsidRDefault="00E8444F" w:rsidP="009A35C7">
      <w:pPr>
        <w:spacing w:line="360" w:lineRule="auto"/>
        <w:jc w:val="both"/>
        <w:rPr>
          <w:b/>
        </w:rPr>
      </w:pPr>
      <w:r>
        <w:rPr>
          <w:b/>
        </w:rPr>
        <w:t>Condonation of late filing of court application for rescission of judgment</w:t>
      </w:r>
    </w:p>
    <w:p w:rsidR="005A4D7A" w:rsidRPr="00A91D52" w:rsidRDefault="005A4D7A" w:rsidP="009A35C7">
      <w:pPr>
        <w:spacing w:line="360" w:lineRule="auto"/>
        <w:jc w:val="both"/>
        <w:rPr>
          <w:sz w:val="4"/>
          <w:szCs w:val="4"/>
        </w:rPr>
      </w:pPr>
    </w:p>
    <w:p w:rsidR="00C277F1" w:rsidRDefault="00C277F1" w:rsidP="00C835A5">
      <w:pPr>
        <w:jc w:val="both"/>
        <w:rPr>
          <w:i/>
        </w:rPr>
      </w:pPr>
    </w:p>
    <w:p w:rsidR="00C277F1" w:rsidRDefault="00C277F1" w:rsidP="00C835A5">
      <w:pPr>
        <w:jc w:val="both"/>
        <w:rPr>
          <w:i/>
        </w:rPr>
      </w:pPr>
    </w:p>
    <w:p w:rsidR="00C835A5" w:rsidRDefault="005F558B" w:rsidP="00C835A5">
      <w:pPr>
        <w:jc w:val="both"/>
      </w:pPr>
      <w:r>
        <w:rPr>
          <w:i/>
        </w:rPr>
        <w:t>Ms T Mukwesha</w:t>
      </w:r>
      <w:r w:rsidR="00CE42F4">
        <w:t xml:space="preserve">, </w:t>
      </w:r>
      <w:r w:rsidR="00FD00F3">
        <w:t xml:space="preserve">for the </w:t>
      </w:r>
      <w:r w:rsidR="00CE42F4">
        <w:t>applicant</w:t>
      </w:r>
    </w:p>
    <w:p w:rsidR="004D0E53" w:rsidRDefault="005F558B" w:rsidP="00C835A5">
      <w:pPr>
        <w:jc w:val="both"/>
      </w:pPr>
      <w:r>
        <w:rPr>
          <w:i/>
        </w:rPr>
        <w:t>Adv E Donzvambeva</w:t>
      </w:r>
      <w:r w:rsidR="004B652A">
        <w:t xml:space="preserve">, for the </w:t>
      </w:r>
      <w:r w:rsidR="00C835A5">
        <w:t>respondent</w:t>
      </w:r>
    </w:p>
    <w:p w:rsidR="00475B64" w:rsidRDefault="00475B64" w:rsidP="00D442D8">
      <w:pPr>
        <w:spacing w:after="120" w:line="360" w:lineRule="auto"/>
        <w:jc w:val="both"/>
      </w:pPr>
    </w:p>
    <w:p w:rsidR="00C45974" w:rsidRPr="00475B64" w:rsidRDefault="004169FF" w:rsidP="00D442D8">
      <w:pPr>
        <w:spacing w:after="120" w:line="360" w:lineRule="auto"/>
        <w:jc w:val="both"/>
        <w:rPr>
          <w:b/>
          <w:bCs/>
        </w:rPr>
      </w:pPr>
      <w:r w:rsidRPr="00475B64">
        <w:rPr>
          <w:b/>
          <w:bCs/>
        </w:rPr>
        <w:t>CHINAMORA</w:t>
      </w:r>
      <w:r w:rsidR="005A4D7A" w:rsidRPr="00475B64">
        <w:rPr>
          <w:b/>
          <w:bCs/>
        </w:rPr>
        <w:t xml:space="preserve"> J: </w:t>
      </w:r>
    </w:p>
    <w:p w:rsidR="00C45974" w:rsidRPr="00C45974" w:rsidRDefault="00C45974" w:rsidP="00B01F42">
      <w:pPr>
        <w:spacing w:line="360" w:lineRule="auto"/>
        <w:jc w:val="both"/>
        <w:rPr>
          <w:b/>
        </w:rPr>
      </w:pPr>
      <w:r w:rsidRPr="00C45974">
        <w:rPr>
          <w:b/>
        </w:rPr>
        <w:t>Introduction:</w:t>
      </w:r>
    </w:p>
    <w:p w:rsidR="00CA68DA" w:rsidRDefault="00797CDD" w:rsidP="004B10DD">
      <w:pPr>
        <w:spacing w:line="360" w:lineRule="auto"/>
        <w:ind w:firstLine="720"/>
        <w:jc w:val="both"/>
      </w:pPr>
      <w:r>
        <w:t>I have before me</w:t>
      </w:r>
      <w:r w:rsidR="003F6A14">
        <w:t xml:space="preserve"> </w:t>
      </w:r>
      <w:r w:rsidR="006E3B9F">
        <w:t>an application</w:t>
      </w:r>
      <w:r w:rsidR="00C37FD5">
        <w:t xml:space="preserve"> for late filing of an application for rescission of judgment under </w:t>
      </w:r>
      <w:r w:rsidR="00C83401">
        <w:t>HC 1651/20.</w:t>
      </w:r>
      <w:r w:rsidR="008C18B6">
        <w:t xml:space="preserve"> </w:t>
      </w:r>
      <w:r w:rsidR="00624108">
        <w:t xml:space="preserve">The application is made in terms of </w:t>
      </w:r>
      <w:r w:rsidR="00ED7008">
        <w:t>r</w:t>
      </w:r>
      <w:r w:rsidR="00624108">
        <w:t xml:space="preserve"> 63 of the old High Court Rules, 1971</w:t>
      </w:r>
      <w:r w:rsidR="00C277F1">
        <w:t xml:space="preserve">. </w:t>
      </w:r>
      <w:r w:rsidR="008C18B6">
        <w:t xml:space="preserve">The said judgment was a dismissal for want of prosecution entered against the applicant </w:t>
      </w:r>
      <w:r w:rsidR="0070468D">
        <w:t>on 28 May 2020.</w:t>
      </w:r>
      <w:r w:rsidR="00345619">
        <w:t xml:space="preserve"> What happened is that, on 16 October 2018, the applicant filed an application to set aside </w:t>
      </w:r>
      <w:r w:rsidR="00E01518">
        <w:t xml:space="preserve">an order obtained under HC 8522/19. </w:t>
      </w:r>
      <w:r w:rsidR="00475B64">
        <w:t xml:space="preserve"> </w:t>
      </w:r>
      <w:r w:rsidR="003A59E6">
        <w:t xml:space="preserve">The basis of the application and relief sought was that the applicant had not been cited </w:t>
      </w:r>
      <w:r w:rsidR="00951853">
        <w:t>as a party in those proceedings, despite the applicant being an affected party.</w:t>
      </w:r>
      <w:r w:rsidR="00F14534">
        <w:t xml:space="preserve"> </w:t>
      </w:r>
      <w:r w:rsidR="00475B64">
        <w:t xml:space="preserve"> </w:t>
      </w:r>
      <w:r w:rsidR="00F14534">
        <w:t xml:space="preserve">The applicant was barred for failure to file an answering affidavit in HC </w:t>
      </w:r>
      <w:r w:rsidR="00933BF7">
        <w:t>8522/19, and a default judgment was entered against him as a result.</w:t>
      </w:r>
      <w:r w:rsidR="00F7307C">
        <w:t xml:space="preserve"> </w:t>
      </w:r>
      <w:r w:rsidR="00475B64">
        <w:t xml:space="preserve"> </w:t>
      </w:r>
      <w:r w:rsidR="00F7307C">
        <w:t>A delay ensued in applying for rescission of the default judgment.</w:t>
      </w:r>
      <w:r w:rsidR="004F4A59">
        <w:t xml:space="preserve"> It is the applicant’s contention</w:t>
      </w:r>
      <w:r w:rsidR="004E1AF5">
        <w:t xml:space="preserve"> that </w:t>
      </w:r>
      <w:r w:rsidR="00A151A9">
        <w:t xml:space="preserve">good and sufficient grounds </w:t>
      </w:r>
      <w:r w:rsidR="004E1AF5">
        <w:t xml:space="preserve">exist for </w:t>
      </w:r>
      <w:r w:rsidR="00A151A9">
        <w:t>condonation to be granted.</w:t>
      </w:r>
      <w:r w:rsidR="00124639">
        <w:t xml:space="preserve"> </w:t>
      </w:r>
      <w:r w:rsidR="00475B64">
        <w:t xml:space="preserve"> </w:t>
      </w:r>
      <w:r w:rsidR="00124639">
        <w:t xml:space="preserve">The application is opposed by the </w:t>
      </w:r>
      <w:r w:rsidR="00ED7008">
        <w:t>first</w:t>
      </w:r>
      <w:r w:rsidR="00124639">
        <w:t xml:space="preserve"> Respondent.</w:t>
      </w:r>
    </w:p>
    <w:p w:rsidR="007F6E50" w:rsidRDefault="007F6E50" w:rsidP="004B10DD">
      <w:pPr>
        <w:spacing w:line="360" w:lineRule="auto"/>
        <w:ind w:firstLine="720"/>
        <w:jc w:val="both"/>
      </w:pPr>
      <w:r>
        <w:lastRenderedPageBreak/>
        <w:t xml:space="preserve">The application under HC 8522/19 was made in terms of </w:t>
      </w:r>
      <w:r w:rsidR="00ED7008">
        <w:t>r</w:t>
      </w:r>
      <w:r>
        <w:t xml:space="preserve"> 449 (1) (a) of the old High Court Rules based on two (2) grounds, namely:</w:t>
      </w:r>
    </w:p>
    <w:p w:rsidR="00842B72" w:rsidRPr="00842B72" w:rsidRDefault="00842B72" w:rsidP="004B10DD">
      <w:pPr>
        <w:spacing w:line="360" w:lineRule="auto"/>
        <w:ind w:firstLine="720"/>
        <w:jc w:val="both"/>
        <w:rPr>
          <w:sz w:val="8"/>
          <w:szCs w:val="8"/>
        </w:rPr>
      </w:pPr>
    </w:p>
    <w:p w:rsidR="00842B72" w:rsidRDefault="00842B72" w:rsidP="00842B72">
      <w:pPr>
        <w:pStyle w:val="ListParagraph"/>
        <w:numPr>
          <w:ilvl w:val="0"/>
          <w:numId w:val="15"/>
        </w:numPr>
        <w:spacing w:line="360" w:lineRule="auto"/>
        <w:jc w:val="both"/>
      </w:pPr>
      <w:r>
        <w:t>The order was erroneously granted in the absence of the applicant, who is a</w:t>
      </w:r>
      <w:r w:rsidR="00764953">
        <w:t>n</w:t>
      </w:r>
      <w:r>
        <w:t xml:space="preserve"> interested party and whose rights were affected by the order concerned.</w:t>
      </w:r>
    </w:p>
    <w:p w:rsidR="00703FEE" w:rsidRPr="00703FEE" w:rsidRDefault="00703FEE" w:rsidP="00703FEE">
      <w:pPr>
        <w:pStyle w:val="ListParagraph"/>
        <w:spacing w:line="360" w:lineRule="auto"/>
        <w:ind w:left="1080"/>
        <w:jc w:val="both"/>
        <w:rPr>
          <w:sz w:val="8"/>
          <w:szCs w:val="8"/>
        </w:rPr>
      </w:pPr>
    </w:p>
    <w:p w:rsidR="00842B72" w:rsidRDefault="00842B72" w:rsidP="00842B72">
      <w:pPr>
        <w:pStyle w:val="ListParagraph"/>
        <w:numPr>
          <w:ilvl w:val="0"/>
          <w:numId w:val="15"/>
        </w:numPr>
        <w:spacing w:line="360" w:lineRule="auto"/>
        <w:jc w:val="both"/>
      </w:pPr>
      <w:r>
        <w:t xml:space="preserve">The said order was granted in error since the party who obtained the relief was not the one who held the claims that were forfeited by the </w:t>
      </w:r>
      <w:r w:rsidR="00ED7008">
        <w:t xml:space="preserve">second </w:t>
      </w:r>
      <w:r>
        <w:t xml:space="preserve">and </w:t>
      </w:r>
      <w:r w:rsidR="00ED7008">
        <w:t xml:space="preserve">third </w:t>
      </w:r>
      <w:r>
        <w:t>respondents.</w:t>
      </w:r>
      <w:r w:rsidR="001C332C">
        <w:t xml:space="preserve"> The applicant argued that the claims were registered in the names of the </w:t>
      </w:r>
      <w:r w:rsidR="00ED7008">
        <w:t xml:space="preserve">fourth </w:t>
      </w:r>
      <w:r w:rsidR="001C332C">
        <w:t xml:space="preserve">and </w:t>
      </w:r>
      <w:r w:rsidR="00ED7008">
        <w:t xml:space="preserve">fifth </w:t>
      </w:r>
      <w:r w:rsidR="001C332C">
        <w:t xml:space="preserve">respondents. </w:t>
      </w:r>
      <w:r w:rsidR="00ED7008">
        <w:t xml:space="preserve"> </w:t>
      </w:r>
      <w:r w:rsidR="001C332C">
        <w:t xml:space="preserve">As such, contended the applicant, the first respondent had no </w:t>
      </w:r>
      <w:r w:rsidR="001C332C" w:rsidRPr="0057614E">
        <w:rPr>
          <w:i/>
        </w:rPr>
        <w:t>locus standi</w:t>
      </w:r>
      <w:r w:rsidR="001C332C">
        <w:t xml:space="preserve"> to institute proceedings fo</w:t>
      </w:r>
      <w:r w:rsidR="008108DE">
        <w:t xml:space="preserve">r reversal of forfeiture of </w:t>
      </w:r>
      <w:r w:rsidR="001C332C">
        <w:t>claims</w:t>
      </w:r>
      <w:r w:rsidR="008108DE">
        <w:t xml:space="preserve"> it did not own</w:t>
      </w:r>
      <w:r w:rsidR="001C332C">
        <w:t>.</w:t>
      </w:r>
    </w:p>
    <w:p w:rsidR="004D029B" w:rsidRPr="00AD361C" w:rsidRDefault="004D029B" w:rsidP="004D029B">
      <w:pPr>
        <w:spacing w:line="360" w:lineRule="auto"/>
        <w:jc w:val="both"/>
        <w:rPr>
          <w:sz w:val="18"/>
          <w:szCs w:val="18"/>
        </w:rPr>
      </w:pPr>
    </w:p>
    <w:p w:rsidR="00257079" w:rsidRDefault="004D029B" w:rsidP="00475B64">
      <w:pPr>
        <w:spacing w:line="360" w:lineRule="auto"/>
        <w:ind w:firstLine="720"/>
        <w:jc w:val="both"/>
      </w:pPr>
      <w:r>
        <w:t>The applicant submitted that it was the holder of the claims subject of the litigation in HC 8522/19</w:t>
      </w:r>
      <w:r w:rsidR="00FE7802">
        <w:t xml:space="preserve">, having acquired the claims after they were forfeited by the </w:t>
      </w:r>
      <w:r w:rsidR="00ED7008">
        <w:t>second</w:t>
      </w:r>
      <w:r w:rsidR="00FE7802">
        <w:t xml:space="preserve"> and </w:t>
      </w:r>
      <w:r w:rsidR="00ED7008">
        <w:t>third</w:t>
      </w:r>
      <w:r w:rsidR="00FE7802">
        <w:t xml:space="preserve"> respondents for failure by the </w:t>
      </w:r>
      <w:r w:rsidR="00ED7008">
        <w:t xml:space="preserve">fourth </w:t>
      </w:r>
      <w:r w:rsidR="00FE7802">
        <w:t xml:space="preserve">and </w:t>
      </w:r>
      <w:r w:rsidR="00ED7008">
        <w:t>fifth</w:t>
      </w:r>
      <w:r w:rsidR="00FE7802">
        <w:t xml:space="preserve"> respondents to renew their inspection certificates as required by the Mines and Minerals Act.</w:t>
      </w:r>
      <w:r w:rsidR="00CA646F">
        <w:t xml:space="preserve"> </w:t>
      </w:r>
      <w:r w:rsidR="00475B64">
        <w:t xml:space="preserve"> </w:t>
      </w:r>
      <w:r w:rsidR="00CA646F">
        <w:t>That being the case, the applicant contended that it had a right to be heard before a decision affecting its rights was made.</w:t>
      </w:r>
      <w:r w:rsidR="00AF7C6D">
        <w:t xml:space="preserve"> It further asserted that it has invested extensively in developing the claims and, in fact, acquired a loan for this purpose.</w:t>
      </w:r>
      <w:r w:rsidR="00BC79DF">
        <w:t xml:space="preserve"> </w:t>
      </w:r>
      <w:r w:rsidR="00475B64">
        <w:t xml:space="preserve"> </w:t>
      </w:r>
      <w:r w:rsidR="00BC79DF">
        <w:t>Additionally, the applicant argued that some international investors had invested in the mining project on the strength of the applicant’s mining registration certificates which it had lawfully obtained.</w:t>
      </w:r>
      <w:r w:rsidR="00A3543B">
        <w:t xml:space="preserve"> </w:t>
      </w:r>
      <w:r w:rsidR="00475B64">
        <w:t xml:space="preserve"> </w:t>
      </w:r>
      <w:r w:rsidR="00A3543B">
        <w:t>Thus, it argued that had the court which granted the default judgment been aware that there was a party whose rights were affected who was not before the court, it would not have granted the judgment.</w:t>
      </w:r>
      <w:r w:rsidR="00475B64">
        <w:t xml:space="preserve"> </w:t>
      </w:r>
      <w:r w:rsidR="001D2593">
        <w:t xml:space="preserve"> Further, </w:t>
      </w:r>
      <w:r w:rsidR="00257079">
        <w:t xml:space="preserve">the applicant that the Covid 19 pandemic hampered its ability to </w:t>
      </w:r>
      <w:r w:rsidR="0084670A">
        <w:t>obtain the requisite authority to file an answering affidavit.</w:t>
      </w:r>
      <w:r w:rsidR="000C6046">
        <w:t xml:space="preserve"> </w:t>
      </w:r>
      <w:r w:rsidR="008A35BB">
        <w:t xml:space="preserve">In this respect, the applicant avers that one of its directors was not in Zimbabwe, which affected the making of key corporate decisions. </w:t>
      </w:r>
      <w:r w:rsidR="00475B64">
        <w:t xml:space="preserve"> </w:t>
      </w:r>
      <w:r w:rsidR="000C6046">
        <w:t>The app</w:t>
      </w:r>
      <w:r w:rsidR="00BF11FF">
        <w:t xml:space="preserve">licant averred that </w:t>
      </w:r>
      <w:r w:rsidR="008A35BB">
        <w:t xml:space="preserve">the delay was not </w:t>
      </w:r>
      <w:r w:rsidR="00A45051">
        <w:t xml:space="preserve">due to </w:t>
      </w:r>
      <w:r w:rsidR="008A35BB">
        <w:t>willful</w:t>
      </w:r>
      <w:r w:rsidR="00A45051">
        <w:t xml:space="preserve"> disregard of the Rules of this court,</w:t>
      </w:r>
      <w:r w:rsidR="008A35BB">
        <w:t xml:space="preserve"> </w:t>
      </w:r>
      <w:r w:rsidR="00075C15">
        <w:t>since there was a need for an answering affidavit to be filed with a clearly agreed company position.</w:t>
      </w:r>
      <w:r w:rsidR="00475B64">
        <w:t xml:space="preserve"> </w:t>
      </w:r>
      <w:r w:rsidR="00075C15">
        <w:t xml:space="preserve"> Additionally, the applicant argued</w:t>
      </w:r>
      <w:r w:rsidR="008A35BB">
        <w:t xml:space="preserve"> that </w:t>
      </w:r>
      <w:r w:rsidR="00BF11FF">
        <w:t xml:space="preserve">it has a </w:t>
      </w:r>
      <w:r w:rsidR="00BF11FF" w:rsidRPr="00BF11FF">
        <w:rPr>
          <w:i/>
        </w:rPr>
        <w:t>bona</w:t>
      </w:r>
      <w:r w:rsidR="000C6046" w:rsidRPr="00BF11FF">
        <w:rPr>
          <w:i/>
        </w:rPr>
        <w:t xml:space="preserve"> fide</w:t>
      </w:r>
      <w:r w:rsidR="000C6046">
        <w:t xml:space="preserve"> defence in HC 8522/19</w:t>
      </w:r>
      <w:r w:rsidR="008068EC">
        <w:t xml:space="preserve"> in that it is the holder of claims that were awarded to the 1</w:t>
      </w:r>
      <w:r w:rsidR="008068EC" w:rsidRPr="008068EC">
        <w:rPr>
          <w:vertAlign w:val="superscript"/>
        </w:rPr>
        <w:t>st</w:t>
      </w:r>
      <w:r w:rsidR="008068EC">
        <w:t xml:space="preserve"> respondent.</w:t>
      </w:r>
      <w:r w:rsidR="00D26E19">
        <w:t xml:space="preserve"> The failure to join the applicant in the said lawsuit meant that the applicant could not vindicate its rights</w:t>
      </w:r>
      <w:r w:rsidR="00A45051">
        <w:t xml:space="preserve"> as it was not part of the proceedings owing to the failure to cite it. </w:t>
      </w:r>
      <w:r w:rsidR="00475B64">
        <w:t xml:space="preserve"> </w:t>
      </w:r>
      <w:r w:rsidR="00D26E19">
        <w:t>That was the applicant’s submission in support of this application.</w:t>
      </w:r>
    </w:p>
    <w:p w:rsidR="00CA68DA" w:rsidRDefault="00CA68DA" w:rsidP="0078604C">
      <w:pPr>
        <w:spacing w:line="360" w:lineRule="auto"/>
        <w:jc w:val="both"/>
        <w:rPr>
          <w:sz w:val="16"/>
          <w:szCs w:val="16"/>
        </w:rPr>
      </w:pPr>
    </w:p>
    <w:p w:rsidR="00092425" w:rsidRDefault="008202F8" w:rsidP="0078604C">
      <w:pPr>
        <w:spacing w:line="360" w:lineRule="auto"/>
        <w:jc w:val="both"/>
        <w:rPr>
          <w:b/>
        </w:rPr>
      </w:pPr>
      <w:r>
        <w:rPr>
          <w:b/>
        </w:rPr>
        <w:t>The law on</w:t>
      </w:r>
      <w:r w:rsidR="00092425">
        <w:rPr>
          <w:b/>
        </w:rPr>
        <w:t xml:space="preserve"> applications for condonation</w:t>
      </w:r>
    </w:p>
    <w:p w:rsidR="00D71EEB" w:rsidRDefault="00092425" w:rsidP="00D71EEB">
      <w:pPr>
        <w:spacing w:line="360" w:lineRule="auto"/>
        <w:jc w:val="both"/>
      </w:pPr>
      <w:r>
        <w:rPr>
          <w:b/>
        </w:rPr>
        <w:tab/>
      </w:r>
      <w:r w:rsidR="00D71EEB">
        <w:t xml:space="preserve">The requirements for </w:t>
      </w:r>
      <w:r w:rsidR="00D71EEB" w:rsidRPr="006E14AB">
        <w:t xml:space="preserve">an </w:t>
      </w:r>
      <w:r w:rsidR="004169B4">
        <w:t xml:space="preserve">application for an application for condonation of failure to abide by the Rules </w:t>
      </w:r>
      <w:r w:rsidR="00D71EEB">
        <w:t xml:space="preserve">to succeed are well settled in this jurisdiction. </w:t>
      </w:r>
      <w:r w:rsidR="003B41E3">
        <w:t>I must observe</w:t>
      </w:r>
      <w:r w:rsidR="00D13A66">
        <w:t xml:space="preserve"> that the fact</w:t>
      </w:r>
      <w:r w:rsidR="005D2F8D">
        <w:t xml:space="preserve">ors which a court considers were spelt out in </w:t>
      </w:r>
      <w:r w:rsidR="005D2F8D" w:rsidRPr="005D2F8D">
        <w:rPr>
          <w:i/>
        </w:rPr>
        <w:t>Director of Civil Aviation v Hall</w:t>
      </w:r>
      <w:r w:rsidR="005D2F8D">
        <w:t xml:space="preserve"> 1990 (2) ZLR 354 (SC) at 357 which can be summarized thus</w:t>
      </w:r>
      <w:r w:rsidR="00D71EEB" w:rsidRPr="006E14AB">
        <w:t>:</w:t>
      </w:r>
    </w:p>
    <w:p w:rsidR="00A56727" w:rsidRPr="009B3598" w:rsidRDefault="00A56727" w:rsidP="00D71EEB">
      <w:pPr>
        <w:spacing w:line="360" w:lineRule="auto"/>
        <w:jc w:val="both"/>
        <w:rPr>
          <w:sz w:val="6"/>
          <w:szCs w:val="6"/>
        </w:rPr>
      </w:pPr>
    </w:p>
    <w:p w:rsidR="00D71EEB" w:rsidRPr="006E14AB" w:rsidRDefault="00D71EEB" w:rsidP="00D71EEB">
      <w:pPr>
        <w:pStyle w:val="ListParagraph"/>
        <w:numPr>
          <w:ilvl w:val="0"/>
          <w:numId w:val="16"/>
        </w:numPr>
        <w:spacing w:after="160" w:line="360" w:lineRule="auto"/>
        <w:jc w:val="both"/>
      </w:pPr>
      <w:r w:rsidRPr="006E14AB">
        <w:t xml:space="preserve"> the length of the delay</w:t>
      </w:r>
      <w:r w:rsidR="000E44E1">
        <w:t xml:space="preserve"> should not be inordinate</w:t>
      </w:r>
    </w:p>
    <w:p w:rsidR="00D71EEB" w:rsidRPr="006E14AB" w:rsidRDefault="000E44E1" w:rsidP="00D71EEB">
      <w:pPr>
        <w:pStyle w:val="ListParagraph"/>
        <w:numPr>
          <w:ilvl w:val="0"/>
          <w:numId w:val="16"/>
        </w:numPr>
        <w:spacing w:after="160" w:line="360" w:lineRule="auto"/>
        <w:jc w:val="both"/>
      </w:pPr>
      <w:r>
        <w:t>t</w:t>
      </w:r>
      <w:r w:rsidR="00D71EEB" w:rsidRPr="006E14AB">
        <w:t>he</w:t>
      </w:r>
      <w:r>
        <w:t>re must be a reasonableness</w:t>
      </w:r>
      <w:r w:rsidR="00D71EEB" w:rsidRPr="006E14AB">
        <w:t xml:space="preserve"> explanation</w:t>
      </w:r>
      <w:r>
        <w:t xml:space="preserve"> for the delay</w:t>
      </w:r>
    </w:p>
    <w:p w:rsidR="00D71EEB" w:rsidRDefault="00D71EEB" w:rsidP="00D71EEB">
      <w:pPr>
        <w:pStyle w:val="ListParagraph"/>
        <w:numPr>
          <w:ilvl w:val="0"/>
          <w:numId w:val="16"/>
        </w:numPr>
        <w:spacing w:after="160" w:line="360" w:lineRule="auto"/>
        <w:jc w:val="both"/>
      </w:pPr>
      <w:r w:rsidRPr="006E14AB">
        <w:t>the</w:t>
      </w:r>
      <w:r w:rsidR="00D060C8">
        <w:t xml:space="preserve"> prospects of success</w:t>
      </w:r>
      <w:r w:rsidR="00994D18">
        <w:t xml:space="preserve"> of the application must be good</w:t>
      </w:r>
      <w:r w:rsidR="00D060C8">
        <w:t>.</w:t>
      </w:r>
    </w:p>
    <w:p w:rsidR="00B01C2C" w:rsidRDefault="00B01C2C" w:rsidP="00D71EEB">
      <w:pPr>
        <w:pStyle w:val="ListParagraph"/>
        <w:numPr>
          <w:ilvl w:val="0"/>
          <w:numId w:val="16"/>
        </w:numPr>
        <w:spacing w:after="160" w:line="360" w:lineRule="auto"/>
        <w:jc w:val="both"/>
      </w:pPr>
      <w:r>
        <w:t>consideration has to be given to the likely prejudice to the other party</w:t>
      </w:r>
    </w:p>
    <w:p w:rsidR="00D71EEB" w:rsidRDefault="00D71EEB" w:rsidP="00F710D9">
      <w:pPr>
        <w:spacing w:line="360" w:lineRule="auto"/>
        <w:jc w:val="both"/>
      </w:pPr>
      <w:r>
        <w:t xml:space="preserve">See also </w:t>
      </w:r>
      <w:r w:rsidR="00B01C2C">
        <w:rPr>
          <w:i/>
        </w:rPr>
        <w:t xml:space="preserve">Bessie Maheya v Independent African Church </w:t>
      </w:r>
      <w:r w:rsidR="00B01C2C">
        <w:t>SC 58-07</w:t>
      </w:r>
    </w:p>
    <w:p w:rsidR="004E2DB6" w:rsidRPr="005D1FAC" w:rsidRDefault="005D1FAC" w:rsidP="0078604C">
      <w:pPr>
        <w:spacing w:line="360" w:lineRule="auto"/>
        <w:jc w:val="both"/>
        <w:rPr>
          <w:b/>
        </w:rPr>
      </w:pPr>
      <w:r w:rsidRPr="005D1FAC">
        <w:rPr>
          <w:b/>
        </w:rPr>
        <w:t>Analysis of the case</w:t>
      </w:r>
      <w:r w:rsidR="00092425" w:rsidRPr="005D1FAC">
        <w:rPr>
          <w:b/>
        </w:rPr>
        <w:t xml:space="preserve"> </w:t>
      </w:r>
    </w:p>
    <w:p w:rsidR="0020053B" w:rsidRDefault="008F574F" w:rsidP="00A959C0">
      <w:pPr>
        <w:spacing w:line="360" w:lineRule="auto"/>
        <w:ind w:firstLine="720"/>
        <w:jc w:val="both"/>
      </w:pPr>
      <w:r>
        <w:t xml:space="preserve"> </w:t>
      </w:r>
      <w:r w:rsidR="005D1FAC">
        <w:t>I have already observed that the order giving rise to this application was granted on 28 May 2020</w:t>
      </w:r>
      <w:r w:rsidR="0067471D">
        <w:t>, meaning that an application for rescission had to be filed within a month of the applicant becoming aware of the default judgment.</w:t>
      </w:r>
      <w:r w:rsidR="007579E3">
        <w:t xml:space="preserve"> The applicant accepts that it filed the rescission application late, but would like the court to condone its lateness.</w:t>
      </w:r>
      <w:r w:rsidR="005444A1">
        <w:t xml:space="preserve"> In respect of prospects of success, the applicant’s position can be captured as follows: </w:t>
      </w:r>
      <w:r w:rsidR="00475B64">
        <w:t xml:space="preserve"> </w:t>
      </w:r>
      <w:r w:rsidR="004E1B1F">
        <w:t xml:space="preserve">The applicant acquired which are subject of the dispute </w:t>
      </w:r>
      <w:r w:rsidR="004F0EE1">
        <w:t>after obtaining transfer obtaining transfer from JN Syndicate which had acquired them in April 2018.</w:t>
      </w:r>
      <w:r w:rsidR="00B75DF1">
        <w:t xml:space="preserve"> </w:t>
      </w:r>
      <w:r w:rsidR="00475B64">
        <w:t xml:space="preserve"> </w:t>
      </w:r>
      <w:r w:rsidR="00B75DF1">
        <w:t xml:space="preserve">As I noted earlier in this judgment, the claims had been forfeited in terms </w:t>
      </w:r>
      <w:r w:rsidR="00D8658F">
        <w:t>of section 26</w:t>
      </w:r>
      <w:r w:rsidR="002E30EA">
        <w:t>0 of the Mines and Minerals Act [</w:t>
      </w:r>
      <w:r w:rsidR="002E30EA" w:rsidRPr="00475B64">
        <w:rPr>
          <w:i/>
          <w:iCs/>
        </w:rPr>
        <w:t>Chap</w:t>
      </w:r>
      <w:r w:rsidR="00D11C07" w:rsidRPr="00475B64">
        <w:rPr>
          <w:i/>
          <w:iCs/>
        </w:rPr>
        <w:t>ter 21:05</w:t>
      </w:r>
      <w:r w:rsidR="002E30EA">
        <w:t>].</w:t>
      </w:r>
      <w:r w:rsidR="00920931">
        <w:t xml:space="preserve"> </w:t>
      </w:r>
      <w:r w:rsidR="00475B64">
        <w:t xml:space="preserve"> </w:t>
      </w:r>
      <w:r w:rsidR="00920931">
        <w:t xml:space="preserve">The </w:t>
      </w:r>
      <w:r w:rsidR="00ED7008">
        <w:t>first respondent</w:t>
      </w:r>
      <w:r w:rsidR="00920931">
        <w:t xml:space="preserve"> then filed </w:t>
      </w:r>
      <w:r w:rsidR="00301A00">
        <w:t xml:space="preserve">an application to set aside </w:t>
      </w:r>
      <w:r w:rsidR="00BC4C43">
        <w:t xml:space="preserve">the forfeiture </w:t>
      </w:r>
      <w:r w:rsidR="00F55FC4">
        <w:t>under HC 5284/19, but did not cite the applicant in those proceedings.</w:t>
      </w:r>
      <w:r w:rsidR="00BC4248">
        <w:t xml:space="preserve"> The omission was ma</w:t>
      </w:r>
      <w:r w:rsidR="00693F08">
        <w:t xml:space="preserve">de despite the applicant </w:t>
      </w:r>
      <w:r w:rsidR="000151F5">
        <w:t xml:space="preserve">being </w:t>
      </w:r>
      <w:r w:rsidR="00693F08">
        <w:t>the registered holder of the claims.</w:t>
      </w:r>
      <w:r w:rsidR="000151F5">
        <w:t xml:space="preserve"> </w:t>
      </w:r>
      <w:r w:rsidR="00ED7008">
        <w:t xml:space="preserve"> </w:t>
      </w:r>
      <w:r w:rsidR="007712A8">
        <w:t>There are clear prospects of success in the application for rescission</w:t>
      </w:r>
      <w:r w:rsidR="00391610">
        <w:t xml:space="preserve">. </w:t>
      </w:r>
      <w:r w:rsidR="00475B64">
        <w:t xml:space="preserve"> </w:t>
      </w:r>
      <w:r w:rsidR="00046A0D">
        <w:t xml:space="preserve">I say this essentially for two reasons. Firstly, I consider the failure to cite and include the applicant in HC 5284/19 as a material non-joinder of a respondent of necessity and not one of mere convenience. </w:t>
      </w:r>
      <w:r w:rsidR="00475B64">
        <w:t xml:space="preserve"> </w:t>
      </w:r>
      <w:r w:rsidR="0020053B">
        <w:t xml:space="preserve">The point was aptly made by the Minister of Mines and Mining Development (the </w:t>
      </w:r>
      <w:r w:rsidR="00ED7008">
        <w:t>second</w:t>
      </w:r>
      <w:r w:rsidR="0020053B">
        <w:t xml:space="preserve"> respondent) in his opposing affidavit </w:t>
      </w:r>
      <w:r w:rsidR="00E34014">
        <w:t xml:space="preserve">in HC 5284/19 </w:t>
      </w:r>
      <w:r w:rsidR="0020053B">
        <w:t>as follows:</w:t>
      </w:r>
    </w:p>
    <w:p w:rsidR="0020053B" w:rsidRDefault="0020053B" w:rsidP="00105075">
      <w:pPr>
        <w:spacing w:line="360" w:lineRule="auto"/>
        <w:jc w:val="both"/>
      </w:pPr>
    </w:p>
    <w:p w:rsidR="00216AAC" w:rsidRPr="003C3056" w:rsidRDefault="006722A4" w:rsidP="003C3056">
      <w:pPr>
        <w:ind w:left="720"/>
        <w:jc w:val="both"/>
        <w:rPr>
          <w:sz w:val="22"/>
          <w:szCs w:val="22"/>
        </w:rPr>
      </w:pPr>
      <w:r w:rsidRPr="003C3056">
        <w:rPr>
          <w:sz w:val="22"/>
          <w:szCs w:val="22"/>
        </w:rPr>
        <w:t>“</w:t>
      </w:r>
      <w:r w:rsidR="00216AAC" w:rsidRPr="003C3056">
        <w:rPr>
          <w:sz w:val="22"/>
          <w:szCs w:val="22"/>
        </w:rPr>
        <w:t xml:space="preserve">1.1 </w:t>
      </w:r>
      <w:r w:rsidR="003061F1" w:rsidRPr="003C3056">
        <w:rPr>
          <w:sz w:val="22"/>
          <w:szCs w:val="22"/>
        </w:rPr>
        <w:t>The applicant [Crowburg Resources (Pvt) Ltd]</w:t>
      </w:r>
      <w:r w:rsidR="007C259C" w:rsidRPr="003C3056">
        <w:rPr>
          <w:sz w:val="22"/>
          <w:szCs w:val="22"/>
        </w:rPr>
        <w:t xml:space="preserve"> is well aware</w:t>
      </w:r>
      <w:r w:rsidR="00205105" w:rsidRPr="003C3056">
        <w:rPr>
          <w:sz w:val="22"/>
          <w:szCs w:val="22"/>
        </w:rPr>
        <w:t xml:space="preserve"> that the claims in question have already been allocated to another miner.</w:t>
      </w:r>
    </w:p>
    <w:p w:rsidR="003C3056" w:rsidRPr="008D2A13" w:rsidRDefault="003C3056" w:rsidP="003C3056">
      <w:pPr>
        <w:ind w:left="720"/>
        <w:jc w:val="both"/>
        <w:rPr>
          <w:sz w:val="6"/>
          <w:szCs w:val="6"/>
        </w:rPr>
      </w:pPr>
    </w:p>
    <w:p w:rsidR="0020053B" w:rsidRDefault="00216AAC" w:rsidP="003C3056">
      <w:pPr>
        <w:ind w:left="720"/>
        <w:jc w:val="both"/>
        <w:rPr>
          <w:sz w:val="22"/>
          <w:szCs w:val="22"/>
        </w:rPr>
      </w:pPr>
      <w:r w:rsidRPr="003C3056">
        <w:rPr>
          <w:sz w:val="22"/>
          <w:szCs w:val="22"/>
        </w:rPr>
        <w:lastRenderedPageBreak/>
        <w:t xml:space="preserve">1.2 By virtue </w:t>
      </w:r>
      <w:r w:rsidR="003C3056" w:rsidRPr="003C3056">
        <w:rPr>
          <w:sz w:val="22"/>
          <w:szCs w:val="22"/>
        </w:rPr>
        <w:t>of the claims having been allocated to another miner, the miner should be joined to this application as a party since the miner in an interested party. The relief being sought will affect the miner, hence the need to be a party to these proceedings.</w:t>
      </w:r>
    </w:p>
    <w:p w:rsidR="008D2A13" w:rsidRPr="008D2A13" w:rsidRDefault="008D2A13" w:rsidP="003C3056">
      <w:pPr>
        <w:ind w:left="720"/>
        <w:jc w:val="both"/>
        <w:rPr>
          <w:sz w:val="6"/>
          <w:szCs w:val="6"/>
        </w:rPr>
      </w:pPr>
    </w:p>
    <w:p w:rsidR="003C3056" w:rsidRPr="003C3056" w:rsidRDefault="003C3056" w:rsidP="003C3056">
      <w:pPr>
        <w:ind w:left="720"/>
        <w:jc w:val="both"/>
        <w:rPr>
          <w:sz w:val="22"/>
          <w:szCs w:val="22"/>
        </w:rPr>
      </w:pPr>
      <w:r w:rsidRPr="003C3056">
        <w:rPr>
          <w:sz w:val="22"/>
          <w:szCs w:val="22"/>
        </w:rPr>
        <w:t>1.3 The miner should be afforded an opportunity to be heard by this honourable court”.</w:t>
      </w:r>
    </w:p>
    <w:p w:rsidR="007C259C" w:rsidRPr="00FE22C6" w:rsidRDefault="007C259C" w:rsidP="002D23E7">
      <w:pPr>
        <w:spacing w:line="360" w:lineRule="auto"/>
        <w:jc w:val="both"/>
        <w:rPr>
          <w:sz w:val="22"/>
          <w:szCs w:val="22"/>
        </w:rPr>
      </w:pPr>
    </w:p>
    <w:p w:rsidR="002D23E7" w:rsidRDefault="00102651" w:rsidP="00E04A30">
      <w:pPr>
        <w:pStyle w:val="NormalWeb"/>
        <w:shd w:val="clear" w:color="auto" w:fill="FFFFFF"/>
        <w:spacing w:before="0" w:beforeAutospacing="0" w:after="0" w:afterAutospacing="0" w:line="360" w:lineRule="auto"/>
        <w:jc w:val="both"/>
      </w:pPr>
      <w:r>
        <w:t> </w:t>
      </w:r>
      <w:r w:rsidR="00475B64">
        <w:tab/>
      </w:r>
      <w:r>
        <w:t>In light of the observations I have made above</w:t>
      </w:r>
      <w:r w:rsidR="00AE54F1">
        <w:t xml:space="preserve"> conclusion is that there was material </w:t>
      </w:r>
      <w:r w:rsidR="00737B2C">
        <w:t xml:space="preserve">non-joinder of the applicant herein in HC 5284/19. In forming this view, I </w:t>
      </w:r>
      <w:r w:rsidR="00762EFE">
        <w:t xml:space="preserve">fully </w:t>
      </w:r>
      <w:r w:rsidR="00737B2C">
        <w:t xml:space="preserve">agree </w:t>
      </w:r>
      <w:r w:rsidR="00762EFE">
        <w:t xml:space="preserve">with the remarks of </w:t>
      </w:r>
      <w:r w:rsidR="00ED7008" w:rsidRPr="00ED7008">
        <w:rPr>
          <w:smallCaps/>
        </w:rPr>
        <w:t>cheda</w:t>
      </w:r>
      <w:r w:rsidR="00ED7008" w:rsidRPr="00102651">
        <w:t xml:space="preserve"> </w:t>
      </w:r>
      <w:r w:rsidR="002D23E7" w:rsidRPr="00102651">
        <w:t>J in </w:t>
      </w:r>
      <w:r w:rsidR="002D23E7" w:rsidRPr="00102651">
        <w:rPr>
          <w:rStyle w:val="Emphasis"/>
        </w:rPr>
        <w:t>Sibanda</w:t>
      </w:r>
      <w:r w:rsidR="002D23E7" w:rsidRPr="00102651">
        <w:t> v </w:t>
      </w:r>
      <w:r w:rsidR="002D23E7" w:rsidRPr="00102651">
        <w:rPr>
          <w:rStyle w:val="Emphasis"/>
        </w:rPr>
        <w:t>Sibanda &amp; Anor</w:t>
      </w:r>
      <w:r w:rsidR="002D23E7" w:rsidRPr="00102651">
        <w:t> 2009 (1) ZLR 64 (H) 66H; 67 A where he said:</w:t>
      </w:r>
    </w:p>
    <w:p w:rsidR="00E04A30" w:rsidRPr="0079461C" w:rsidRDefault="00E04A30" w:rsidP="00E04A30">
      <w:pPr>
        <w:pStyle w:val="NormalWeb"/>
        <w:shd w:val="clear" w:color="auto" w:fill="FFFFFF"/>
        <w:spacing w:before="0" w:beforeAutospacing="0" w:after="0" w:afterAutospacing="0" w:line="360" w:lineRule="auto"/>
        <w:jc w:val="both"/>
        <w:rPr>
          <w:sz w:val="10"/>
          <w:szCs w:val="10"/>
        </w:rPr>
      </w:pPr>
    </w:p>
    <w:p w:rsidR="002D23E7" w:rsidRPr="0079461C" w:rsidRDefault="002D23E7" w:rsidP="00E04A30">
      <w:pPr>
        <w:pStyle w:val="NormalWeb"/>
        <w:shd w:val="clear" w:color="auto" w:fill="FFFFFF"/>
        <w:spacing w:before="0" w:beforeAutospacing="0"/>
        <w:ind w:left="720"/>
        <w:jc w:val="both"/>
        <w:rPr>
          <w:sz w:val="22"/>
          <w:szCs w:val="22"/>
        </w:rPr>
      </w:pPr>
      <w:r w:rsidRPr="0079461C">
        <w:rPr>
          <w:sz w:val="22"/>
          <w:szCs w:val="22"/>
        </w:rPr>
        <w:t>“It is therefore, pertinent to enquire as to the consequences of a non-joinder.  The prejudice is there for anyone to see: there will be a lot of inconvenience, not only to the appli</w:t>
      </w:r>
      <w:r w:rsidR="001C380F" w:rsidRPr="0079461C">
        <w:rPr>
          <w:sz w:val="22"/>
          <w:szCs w:val="22"/>
        </w:rPr>
        <w:t>cant, but to the court as well.</w:t>
      </w:r>
      <w:r w:rsidRPr="0079461C">
        <w:rPr>
          <w:sz w:val="22"/>
          <w:szCs w:val="22"/>
        </w:rPr>
        <w:t xml:space="preserve"> No doubt this will result in the applicant being oppressed and, in an attempt to extricate herself there from, there will be a multiplicity of actions, a situation which should be avoided if possible.  See </w:t>
      </w:r>
      <w:r w:rsidRPr="0079461C">
        <w:rPr>
          <w:rStyle w:val="Emphasis"/>
          <w:sz w:val="22"/>
          <w:szCs w:val="22"/>
        </w:rPr>
        <w:t>Morgan &amp; Anor </w:t>
      </w:r>
      <w:r w:rsidRPr="0079461C">
        <w:rPr>
          <w:sz w:val="22"/>
          <w:szCs w:val="22"/>
        </w:rPr>
        <w:t>v </w:t>
      </w:r>
      <w:r w:rsidRPr="0079461C">
        <w:rPr>
          <w:rStyle w:val="Emphasis"/>
          <w:sz w:val="22"/>
          <w:szCs w:val="22"/>
        </w:rPr>
        <w:t>Salisbury Municipality</w:t>
      </w:r>
      <w:r w:rsidRPr="0079461C">
        <w:rPr>
          <w:sz w:val="22"/>
          <w:szCs w:val="22"/>
        </w:rPr>
        <w:t> 1933 AD 167.”</w:t>
      </w:r>
    </w:p>
    <w:p w:rsidR="00135542" w:rsidRDefault="000F36AF" w:rsidP="00475B64">
      <w:pPr>
        <w:spacing w:line="360" w:lineRule="auto"/>
        <w:ind w:firstLine="720"/>
        <w:jc w:val="both"/>
      </w:pPr>
      <w:r>
        <w:t xml:space="preserve">The position in this jurisdiction is the same as in South Africa. </w:t>
      </w:r>
      <w:r w:rsidRPr="000F36AF">
        <w:t>The test for non-joinder was restated</w:t>
      </w:r>
      <w:r>
        <w:t xml:space="preserve"> by </w:t>
      </w:r>
      <w:r w:rsidR="00475B64" w:rsidRPr="00475B64">
        <w:rPr>
          <w:smallCaps/>
        </w:rPr>
        <w:t>schoeman</w:t>
      </w:r>
      <w:r w:rsidR="00475B64" w:rsidRPr="000F36AF">
        <w:t xml:space="preserve"> </w:t>
      </w:r>
      <w:r w:rsidRPr="000F36AF">
        <w:t xml:space="preserve">A.J.A. in </w:t>
      </w:r>
      <w:r w:rsidRPr="000F36AF">
        <w:rPr>
          <w:i/>
        </w:rPr>
        <w:t xml:space="preserve">Absa Bank Ltd </w:t>
      </w:r>
      <w:r w:rsidRPr="00ED7008">
        <w:rPr>
          <w:iCs/>
        </w:rPr>
        <w:t>v</w:t>
      </w:r>
      <w:r w:rsidRPr="000F36AF">
        <w:rPr>
          <w:i/>
        </w:rPr>
        <w:t xml:space="preserve"> Naude NO</w:t>
      </w:r>
      <w:r w:rsidRPr="000F36AF">
        <w:t xml:space="preserve"> 2016 (6) SA 540 (SCA) in these terms: </w:t>
      </w:r>
    </w:p>
    <w:p w:rsidR="00135542" w:rsidRPr="00135542" w:rsidRDefault="00135542" w:rsidP="000C2BAE">
      <w:pPr>
        <w:spacing w:line="360" w:lineRule="auto"/>
        <w:jc w:val="both"/>
        <w:rPr>
          <w:sz w:val="12"/>
          <w:szCs w:val="12"/>
        </w:rPr>
      </w:pPr>
    </w:p>
    <w:p w:rsidR="000F36AF" w:rsidRDefault="000F36AF" w:rsidP="00135542">
      <w:pPr>
        <w:ind w:left="720"/>
        <w:jc w:val="both"/>
        <w:rPr>
          <w:sz w:val="22"/>
          <w:szCs w:val="22"/>
        </w:rPr>
      </w:pPr>
      <w:r w:rsidRPr="00135542">
        <w:rPr>
          <w:sz w:val="22"/>
          <w:szCs w:val="22"/>
        </w:rPr>
        <w:t xml:space="preserve">“The test whether there has been non-joinder is whether a party has a direct and substantial interest in the subject-matter of the litigation which may prejudice the party that has not been joined. In </w:t>
      </w:r>
      <w:r w:rsidRPr="005C69B3">
        <w:rPr>
          <w:i/>
          <w:sz w:val="22"/>
          <w:szCs w:val="22"/>
        </w:rPr>
        <w:t>Gordon v Department of Health, KwaZulu-Natal</w:t>
      </w:r>
      <w:r w:rsidRPr="00135542">
        <w:rPr>
          <w:sz w:val="22"/>
          <w:szCs w:val="22"/>
        </w:rPr>
        <w:t xml:space="preserve"> </w:t>
      </w:r>
      <w:r w:rsidR="00EB46D7">
        <w:rPr>
          <w:sz w:val="22"/>
          <w:szCs w:val="22"/>
        </w:rPr>
        <w:t xml:space="preserve">[2004 ZALC 38], </w:t>
      </w:r>
      <w:r w:rsidRPr="00135542">
        <w:rPr>
          <w:sz w:val="22"/>
          <w:szCs w:val="22"/>
        </w:rPr>
        <w:t xml:space="preserve">it was held that if an order or judgment cannot be sustained without necessarily prejudicing the interests </w:t>
      </w:r>
      <w:r w:rsidR="004B47AD">
        <w:rPr>
          <w:sz w:val="22"/>
          <w:szCs w:val="22"/>
        </w:rPr>
        <w:t xml:space="preserve">of third parties that had not </w:t>
      </w:r>
      <w:r w:rsidR="004B47AD">
        <w:t>been joined, then those third parties have a legal interest in the matter and must be joined.”</w:t>
      </w:r>
    </w:p>
    <w:p w:rsidR="00135542" w:rsidRPr="00455C17" w:rsidRDefault="00135542" w:rsidP="00135542">
      <w:pPr>
        <w:ind w:left="720"/>
        <w:jc w:val="both"/>
        <w:rPr>
          <w:sz w:val="32"/>
          <w:szCs w:val="32"/>
        </w:rPr>
      </w:pPr>
    </w:p>
    <w:p w:rsidR="00A959C0" w:rsidRDefault="00C979D2" w:rsidP="00475B64">
      <w:pPr>
        <w:spacing w:line="360" w:lineRule="auto"/>
        <w:ind w:firstLine="720"/>
        <w:jc w:val="both"/>
      </w:pPr>
      <w:r>
        <w:t xml:space="preserve">The second basis for saying that the rescission application has good prospects of succeeding is that </w:t>
      </w:r>
      <w:r w:rsidR="00AA67CF">
        <w:t xml:space="preserve">a judgment which affects a party who was not cited is unenforceable against such a party. </w:t>
      </w:r>
      <w:r w:rsidR="0060444A">
        <w:t xml:space="preserve">This is a settled position of law. </w:t>
      </w:r>
      <w:r w:rsidR="007349DA">
        <w:t xml:space="preserve">In this respect, </w:t>
      </w:r>
      <w:r w:rsidR="006B68E6">
        <w:t xml:space="preserve">the Supreme Court criticized </w:t>
      </w:r>
      <w:r w:rsidR="007349DA">
        <w:t>t</w:t>
      </w:r>
      <w:r w:rsidR="00A959C0">
        <w:t xml:space="preserve">he rendering of a judgment in the absence of an interested party in </w:t>
      </w:r>
      <w:r w:rsidR="00A959C0" w:rsidRPr="008E01FA">
        <w:rPr>
          <w:i/>
        </w:rPr>
        <w:t xml:space="preserve">Indium Investments </w:t>
      </w:r>
      <w:r w:rsidR="00A959C0">
        <w:rPr>
          <w:i/>
        </w:rPr>
        <w:t xml:space="preserve">(Pvt) Ltd </w:t>
      </w:r>
      <w:r w:rsidR="00A959C0" w:rsidRPr="00BD45B8">
        <w:t>v</w:t>
      </w:r>
      <w:r w:rsidR="00A959C0">
        <w:rPr>
          <w:i/>
        </w:rPr>
        <w:t xml:space="preserve"> Kingshaven (Pvt) Ltd &amp; Ors </w:t>
      </w:r>
      <w:r w:rsidR="00A959C0">
        <w:t xml:space="preserve">SC 40/15, when </w:t>
      </w:r>
      <w:r w:rsidR="00A959C0" w:rsidRPr="00475B64">
        <w:rPr>
          <w:smallCaps/>
        </w:rPr>
        <w:t>Gowora</w:t>
      </w:r>
      <w:r w:rsidR="00A959C0">
        <w:t xml:space="preserve"> JA pointedly stated:</w:t>
      </w:r>
    </w:p>
    <w:p w:rsidR="00A959C0" w:rsidRPr="00715FE3" w:rsidRDefault="00A959C0" w:rsidP="00A959C0">
      <w:pPr>
        <w:spacing w:line="360" w:lineRule="auto"/>
        <w:ind w:firstLine="720"/>
        <w:jc w:val="both"/>
        <w:rPr>
          <w:sz w:val="10"/>
          <w:szCs w:val="10"/>
        </w:rPr>
      </w:pPr>
    </w:p>
    <w:p w:rsidR="00A959C0" w:rsidRDefault="00A959C0" w:rsidP="00A959C0">
      <w:pPr>
        <w:ind w:left="720"/>
        <w:jc w:val="both"/>
      </w:pPr>
      <w:r>
        <w:t>“</w:t>
      </w:r>
      <w:r w:rsidRPr="00BD45B8">
        <w:t xml:space="preserve">In </w:t>
      </w:r>
      <w:r w:rsidRPr="00BD45B8">
        <w:rPr>
          <w:i/>
        </w:rPr>
        <w:t xml:space="preserve">Hundah </w:t>
      </w:r>
      <w:r w:rsidRPr="00BD45B8">
        <w:t>v</w:t>
      </w:r>
      <w:r w:rsidRPr="00BD45B8">
        <w:rPr>
          <w:i/>
        </w:rPr>
        <w:t xml:space="preserve"> Murauro</w:t>
      </w:r>
      <w:r w:rsidRPr="00BD45B8">
        <w:t xml:space="preserve"> 1993 (2) ZLR 401 the point was made that for a party who has a real interest in the matter to be bound by a judgment of the court such party should be cited…If only to ensure that it is bound by whatever judgment is given. Such an order does not bind it if it was not a party</w:t>
      </w:r>
      <w:r>
        <w:t>”.</w:t>
      </w:r>
    </w:p>
    <w:p w:rsidR="00396F27" w:rsidRDefault="00396F27" w:rsidP="00396F27">
      <w:pPr>
        <w:jc w:val="both"/>
      </w:pPr>
    </w:p>
    <w:p w:rsidR="00396F27" w:rsidRDefault="00780517" w:rsidP="00475B64">
      <w:pPr>
        <w:spacing w:line="360" w:lineRule="auto"/>
        <w:ind w:firstLine="720"/>
        <w:jc w:val="both"/>
      </w:pPr>
      <w:r>
        <w:t>Consequently, the</w:t>
      </w:r>
      <w:r w:rsidR="00125646">
        <w:t xml:space="preserve"> position of law set out</w:t>
      </w:r>
      <w:r w:rsidR="00FD537E">
        <w:t xml:space="preserve"> above means that a court </w:t>
      </w:r>
      <w:r w:rsidR="00396F27">
        <w:t>cannot make a determination between parties that are</w:t>
      </w:r>
      <w:r w:rsidR="005C496A">
        <w:t xml:space="preserve"> not before it.</w:t>
      </w:r>
      <w:r w:rsidR="00ED7008">
        <w:t xml:space="preserve"> </w:t>
      </w:r>
      <w:r w:rsidR="005C496A">
        <w:t xml:space="preserve"> Yet in HC </w:t>
      </w:r>
      <w:r w:rsidR="006C064D">
        <w:t>5284/</w:t>
      </w:r>
      <w:r w:rsidR="00913034">
        <w:t xml:space="preserve">19, </w:t>
      </w:r>
      <w:r w:rsidR="00396F27">
        <w:t xml:space="preserve">it went on to give an </w:t>
      </w:r>
      <w:r w:rsidR="00396F27">
        <w:lastRenderedPageBreak/>
        <w:t>order that affects the rights and interests of a party not before it, whom it expected to be bound by that order.</w:t>
      </w:r>
      <w:r w:rsidR="00475B64">
        <w:t xml:space="preserve"> </w:t>
      </w:r>
      <w:r w:rsidR="00396F27">
        <w:t xml:space="preserve"> </w:t>
      </w:r>
      <w:r w:rsidR="00014046">
        <w:t xml:space="preserve">On the authority of </w:t>
      </w:r>
      <w:r w:rsidR="00014046" w:rsidRPr="008E01FA">
        <w:rPr>
          <w:i/>
        </w:rPr>
        <w:t xml:space="preserve">Indium Investments </w:t>
      </w:r>
      <w:r w:rsidR="00014046">
        <w:rPr>
          <w:i/>
        </w:rPr>
        <w:t xml:space="preserve">(Pvt) Ltd </w:t>
      </w:r>
      <w:r w:rsidR="00014046" w:rsidRPr="00BD45B8">
        <w:t>v</w:t>
      </w:r>
      <w:r w:rsidR="00014046">
        <w:rPr>
          <w:i/>
        </w:rPr>
        <w:t xml:space="preserve"> Kingshaven (Pvt) Ltd &amp; Ors supra </w:t>
      </w:r>
      <w:r w:rsidR="00014046" w:rsidRPr="00014046">
        <w:t>that</w:t>
      </w:r>
      <w:r w:rsidR="00143FE4" w:rsidRPr="00014046">
        <w:t xml:space="preserve"> </w:t>
      </w:r>
      <w:r w:rsidR="00143FE4">
        <w:t>should not have been done.</w:t>
      </w:r>
      <w:r w:rsidR="00130536">
        <w:t xml:space="preserve"> </w:t>
      </w:r>
      <w:r w:rsidR="00475B64">
        <w:t xml:space="preserve"> </w:t>
      </w:r>
      <w:r w:rsidR="00130536">
        <w:t xml:space="preserve">I do not agree with the </w:t>
      </w:r>
      <w:r w:rsidR="00ED7008">
        <w:t xml:space="preserve">first </w:t>
      </w:r>
      <w:r w:rsidR="00130536">
        <w:t xml:space="preserve">respondent’s contention that there was no need to join the applicant because no relief was being sought against it. </w:t>
      </w:r>
      <w:r w:rsidR="00CB481F">
        <w:t>It is the</w:t>
      </w:r>
      <w:r w:rsidR="003232A1">
        <w:t xml:space="preserve"> </w:t>
      </w:r>
      <w:r w:rsidR="00ED7008">
        <w:t xml:space="preserve">first </w:t>
      </w:r>
      <w:r w:rsidR="003232A1">
        <w:t>respondent</w:t>
      </w:r>
      <w:r w:rsidR="00CB481F">
        <w:t xml:space="preserve">’s case that its </w:t>
      </w:r>
      <w:r w:rsidR="003232A1">
        <w:t xml:space="preserve">claims </w:t>
      </w:r>
      <w:r w:rsidR="00CB481F">
        <w:t xml:space="preserve">were unlawfully forfeited by the </w:t>
      </w:r>
      <w:r w:rsidR="00ED7008">
        <w:t>third</w:t>
      </w:r>
      <w:r w:rsidR="00CB481F">
        <w:t xml:space="preserve"> respondent. </w:t>
      </w:r>
      <w:r w:rsidR="00475B64">
        <w:t xml:space="preserve"> </w:t>
      </w:r>
      <w:r w:rsidR="000122B4">
        <w:t xml:space="preserve">On the other hand, the </w:t>
      </w:r>
      <w:r w:rsidR="003C659A">
        <w:t xml:space="preserve">applicant’s submission is that the forfeiture was lawfully done as the </w:t>
      </w:r>
      <w:r w:rsidR="00ED7008">
        <w:t xml:space="preserve">first </w:t>
      </w:r>
      <w:r w:rsidR="003C659A">
        <w:t>respondent had failed to</w:t>
      </w:r>
      <w:r w:rsidR="000D1D6B">
        <w:t xml:space="preserve"> renew its mining certificate as required by the Mines and Minerals Act.</w:t>
      </w:r>
      <w:r w:rsidR="003C659A">
        <w:t xml:space="preserve"> </w:t>
      </w:r>
      <w:r w:rsidR="00475B64">
        <w:t xml:space="preserve"> </w:t>
      </w:r>
      <w:r w:rsidR="00130536">
        <w:t xml:space="preserve">Clearly, </w:t>
      </w:r>
      <w:r w:rsidR="003D2197">
        <w:t xml:space="preserve">as </w:t>
      </w:r>
      <w:r w:rsidR="00130536">
        <w:t>the applicant held the claims whose forfeiture was before the court</w:t>
      </w:r>
      <w:r w:rsidR="003D2197">
        <w:t xml:space="preserve">, it had to be heard. </w:t>
      </w:r>
      <w:r w:rsidR="001964EF">
        <w:t>It is significant that the Minister of Mines and Mining Development, if fact, supports the position that the applicant should have been joined to the proceedings in HC 5284/19.</w:t>
      </w:r>
      <w:r w:rsidR="00475B64">
        <w:t xml:space="preserve"> </w:t>
      </w:r>
      <w:r w:rsidR="00111401">
        <w:t xml:space="preserve"> To say that the app</w:t>
      </w:r>
      <w:r w:rsidR="00D778FE">
        <w:t xml:space="preserve">licant does not deserve to be heard is to ignore its argument that the forfeiture was done in terms of the law for the reasons that it articulated. </w:t>
      </w:r>
      <w:r w:rsidR="00475B64">
        <w:t xml:space="preserve"> </w:t>
      </w:r>
      <w:r w:rsidR="005976F8">
        <w:t xml:space="preserve">If that basis of forfeiture is correct, then the </w:t>
      </w:r>
      <w:r w:rsidR="00A96C4A">
        <w:t xml:space="preserve">acquisition of the claims by the </w:t>
      </w:r>
      <w:r w:rsidR="005976F8">
        <w:t>applicant</w:t>
      </w:r>
      <w:r w:rsidR="00A96C4A">
        <w:t xml:space="preserve"> would not be improper, thus entitling the applicant to a say in the proceedings in HC 5284/19.</w:t>
      </w:r>
      <w:r w:rsidR="00314F44">
        <w:t xml:space="preserve"> In my view, one cannot plausibly argue that the issue of non-joinder does not kill the application. </w:t>
      </w:r>
      <w:r w:rsidR="0034709C">
        <w:t xml:space="preserve">On this logic, the case of </w:t>
      </w:r>
      <w:r w:rsidR="0034709C" w:rsidRPr="0034709C">
        <w:rPr>
          <w:i/>
        </w:rPr>
        <w:t xml:space="preserve">Hippo Valley Estates </w:t>
      </w:r>
      <w:r w:rsidR="0034709C" w:rsidRPr="00475B64">
        <w:rPr>
          <w:iCs/>
        </w:rPr>
        <w:t xml:space="preserve">v </w:t>
      </w:r>
      <w:r w:rsidR="0034709C" w:rsidRPr="0034709C">
        <w:rPr>
          <w:i/>
        </w:rPr>
        <w:t>Triangle Limited and Anor</w:t>
      </w:r>
      <w:r w:rsidR="0034709C">
        <w:t xml:space="preserve"> HH 235-18 is </w:t>
      </w:r>
      <w:r w:rsidR="00B82E15">
        <w:t xml:space="preserve">obviously </w:t>
      </w:r>
      <w:r w:rsidR="0034709C">
        <w:t xml:space="preserve">distinguishable. </w:t>
      </w:r>
    </w:p>
    <w:p w:rsidR="00D1316A" w:rsidRDefault="00D1316A" w:rsidP="00396F27">
      <w:pPr>
        <w:spacing w:line="360" w:lineRule="auto"/>
        <w:jc w:val="both"/>
        <w:rPr>
          <w:i/>
        </w:rPr>
      </w:pPr>
      <w:r>
        <w:tab/>
        <w:t xml:space="preserve">The </w:t>
      </w:r>
      <w:r w:rsidR="00ED7008">
        <w:t>first</w:t>
      </w:r>
      <w:r>
        <w:t xml:space="preserve"> respondent’s other argument is that </w:t>
      </w:r>
      <w:r w:rsidR="0073340A">
        <w:t xml:space="preserve">the order under HC 5284/19 had been complied with by the </w:t>
      </w:r>
      <w:r w:rsidR="00ED7008">
        <w:t>second</w:t>
      </w:r>
      <w:r w:rsidR="0073340A">
        <w:t xml:space="preserve"> and </w:t>
      </w:r>
      <w:r w:rsidR="00ED7008">
        <w:t>third</w:t>
      </w:r>
      <w:r w:rsidR="0073340A">
        <w:t xml:space="preserve"> respondents. </w:t>
      </w:r>
      <w:r w:rsidR="00475B64">
        <w:t xml:space="preserve"> </w:t>
      </w:r>
      <w:r w:rsidR="0019211C">
        <w:t xml:space="preserve">This is a contention that I find without merit. </w:t>
      </w:r>
      <w:r w:rsidR="00475B64">
        <w:t xml:space="preserve"> </w:t>
      </w:r>
      <w:r w:rsidR="009438D3">
        <w:t xml:space="preserve">The fact that the </w:t>
      </w:r>
      <w:r w:rsidR="00ED7008">
        <w:t>second</w:t>
      </w:r>
      <w:r w:rsidR="009438D3">
        <w:t xml:space="preserve"> and </w:t>
      </w:r>
      <w:r w:rsidR="00ED7008">
        <w:t xml:space="preserve">third </w:t>
      </w:r>
      <w:r w:rsidR="009438D3">
        <w:t xml:space="preserve">respondents complied is neither here nor there, because the applicant’s case is that it had a lawful right in the claims when it got them. </w:t>
      </w:r>
      <w:r w:rsidR="00475B64">
        <w:t xml:space="preserve"> </w:t>
      </w:r>
      <w:r w:rsidR="009438D3">
        <w:t xml:space="preserve">Thus, it had a right to participate and give its side of the story in any proceedings whose decision or order had the effect of affecting its rights in the claims. </w:t>
      </w:r>
      <w:r w:rsidR="00475B64">
        <w:t xml:space="preserve"> </w:t>
      </w:r>
      <w:r w:rsidR="009438D3">
        <w:t xml:space="preserve">In fact, that is the very </w:t>
      </w:r>
      <w:r w:rsidR="009438D3" w:rsidRPr="002E6945">
        <w:rPr>
          <w:i/>
        </w:rPr>
        <w:t>raison d’etre</w:t>
      </w:r>
      <w:r w:rsidR="009438D3">
        <w:t xml:space="preserve"> of </w:t>
      </w:r>
      <w:r w:rsidR="009438D3" w:rsidRPr="008E01FA">
        <w:rPr>
          <w:i/>
        </w:rPr>
        <w:t xml:space="preserve">Indium Investments </w:t>
      </w:r>
      <w:r w:rsidR="009438D3">
        <w:rPr>
          <w:i/>
        </w:rPr>
        <w:t xml:space="preserve">(Pvt) Ltd </w:t>
      </w:r>
      <w:r w:rsidR="009438D3" w:rsidRPr="00BD45B8">
        <w:t>v</w:t>
      </w:r>
      <w:r w:rsidR="009438D3">
        <w:rPr>
          <w:i/>
        </w:rPr>
        <w:t xml:space="preserve"> Kingshaven (Pvt) Ltd &amp; Ors supra.</w:t>
      </w:r>
    </w:p>
    <w:p w:rsidR="00B4428D" w:rsidRDefault="00B4428D" w:rsidP="00396F27">
      <w:pPr>
        <w:spacing w:line="360" w:lineRule="auto"/>
        <w:jc w:val="both"/>
      </w:pPr>
      <w:r>
        <w:rPr>
          <w:i/>
        </w:rPr>
        <w:tab/>
      </w:r>
      <w:r>
        <w:t>On condonation, the 1</w:t>
      </w:r>
      <w:r w:rsidRPr="00B4428D">
        <w:rPr>
          <w:vertAlign w:val="superscript"/>
        </w:rPr>
        <w:t>st</w:t>
      </w:r>
      <w:r>
        <w:t xml:space="preserve"> respondent argues that the court should not indulge the applicant as it has not given a reasonable explanation for the delay. The consensus of authorities on this subject agree that the court must look at all the requirements for the grant of condonation cumulatively. </w:t>
      </w:r>
      <w:r w:rsidR="0026319E">
        <w:t>I</w:t>
      </w:r>
      <w:r w:rsidR="00A45EE6">
        <w:t>n this connection, I</w:t>
      </w:r>
      <w:r w:rsidR="0026319E">
        <w:t xml:space="preserve"> entirely agree with what </w:t>
      </w:r>
      <w:r w:rsidR="00475B64" w:rsidRPr="00475B64">
        <w:rPr>
          <w:smallCaps/>
        </w:rPr>
        <w:t>maxwell</w:t>
      </w:r>
      <w:r w:rsidR="00475B64">
        <w:t xml:space="preserve"> </w:t>
      </w:r>
      <w:r w:rsidR="0026319E">
        <w:t xml:space="preserve">J appositely said in </w:t>
      </w:r>
      <w:r w:rsidR="00A45EE6" w:rsidRPr="00A45EE6">
        <w:rPr>
          <w:i/>
        </w:rPr>
        <w:t>Sanctuary Insurance Co Limited</w:t>
      </w:r>
      <w:r w:rsidR="00A45EE6" w:rsidRPr="00475B64">
        <w:rPr>
          <w:iCs/>
        </w:rPr>
        <w:t xml:space="preserve"> v </w:t>
      </w:r>
      <w:r w:rsidR="00A45EE6" w:rsidRPr="00A45EE6">
        <w:rPr>
          <w:i/>
        </w:rPr>
        <w:t>Micromart Zimbabwe (Pvt) Ltd and Anor</w:t>
      </w:r>
      <w:r w:rsidR="00A45EE6">
        <w:t xml:space="preserve"> </w:t>
      </w:r>
      <w:r w:rsidR="009A2B85">
        <w:t>HH 14-22, when she remarked:</w:t>
      </w:r>
    </w:p>
    <w:p w:rsidR="009A2B85" w:rsidRDefault="009A2B85" w:rsidP="00396F27">
      <w:pPr>
        <w:spacing w:line="360" w:lineRule="auto"/>
        <w:jc w:val="both"/>
      </w:pPr>
    </w:p>
    <w:p w:rsidR="009A2B85" w:rsidRDefault="009A2B85" w:rsidP="009A2B85">
      <w:pPr>
        <w:ind w:left="720"/>
        <w:jc w:val="both"/>
        <w:rPr>
          <w:color w:val="000000"/>
          <w:sz w:val="22"/>
          <w:szCs w:val="22"/>
        </w:rPr>
      </w:pPr>
      <w:r w:rsidRPr="009A2B85">
        <w:rPr>
          <w:color w:val="000000"/>
          <w:sz w:val="22"/>
          <w:szCs w:val="22"/>
        </w:rPr>
        <w:lastRenderedPageBreak/>
        <w:t xml:space="preserve">“There may be times when a slight delay and a good explanation may help to compensate for weak prospects of success; and strong prospects of success may tend to compensate for a long delay. See: </w:t>
      </w:r>
      <w:r w:rsidRPr="009A2B85">
        <w:rPr>
          <w:i/>
          <w:iCs/>
          <w:color w:val="000000"/>
          <w:sz w:val="22"/>
          <w:szCs w:val="22"/>
        </w:rPr>
        <w:t xml:space="preserve">Melane </w:t>
      </w:r>
      <w:r w:rsidRPr="009A2B85">
        <w:rPr>
          <w:iCs/>
          <w:color w:val="000000"/>
          <w:sz w:val="22"/>
          <w:szCs w:val="22"/>
        </w:rPr>
        <w:t xml:space="preserve">v </w:t>
      </w:r>
      <w:r w:rsidRPr="009A2B85">
        <w:rPr>
          <w:i/>
          <w:iCs/>
          <w:color w:val="000000"/>
          <w:sz w:val="22"/>
          <w:szCs w:val="22"/>
        </w:rPr>
        <w:t xml:space="preserve">Santam Insurance </w:t>
      </w:r>
      <w:r w:rsidRPr="009A2B85">
        <w:rPr>
          <w:color w:val="000000"/>
          <w:sz w:val="22"/>
          <w:szCs w:val="22"/>
        </w:rPr>
        <w:t xml:space="preserve">Co Ltd 1962 (4) SA 531 (A). There would also be cases where the prospects of success, a reasonable and acceptable explanation for the delay and the importance of the issues raised may compensate for a long delay. See: </w:t>
      </w:r>
      <w:r w:rsidRPr="009A2B85">
        <w:rPr>
          <w:i/>
          <w:iCs/>
          <w:color w:val="000000"/>
          <w:sz w:val="22"/>
          <w:szCs w:val="22"/>
        </w:rPr>
        <w:t xml:space="preserve">South African Poultry Association and Others </w:t>
      </w:r>
      <w:r w:rsidRPr="009A2B85">
        <w:rPr>
          <w:iCs/>
          <w:color w:val="000000"/>
          <w:sz w:val="22"/>
          <w:szCs w:val="22"/>
        </w:rPr>
        <w:t>v</w:t>
      </w:r>
      <w:r w:rsidRPr="009A2B85">
        <w:rPr>
          <w:i/>
          <w:iCs/>
          <w:color w:val="000000"/>
          <w:sz w:val="22"/>
          <w:szCs w:val="22"/>
        </w:rPr>
        <w:t xml:space="preserve"> Minister of Trade and Industry and </w:t>
      </w:r>
      <w:r w:rsidRPr="009A2B85">
        <w:rPr>
          <w:i/>
          <w:color w:val="000000"/>
          <w:sz w:val="22"/>
          <w:szCs w:val="22"/>
        </w:rPr>
        <w:t xml:space="preserve">Others </w:t>
      </w:r>
      <w:r w:rsidRPr="009A2B85">
        <w:rPr>
          <w:color w:val="000000"/>
          <w:sz w:val="22"/>
          <w:szCs w:val="22"/>
        </w:rPr>
        <w:t>2018 (1) NR 1 (SC)”.</w:t>
      </w:r>
    </w:p>
    <w:p w:rsidR="005E2A39" w:rsidRDefault="005E2A39" w:rsidP="005E2A39">
      <w:pPr>
        <w:jc w:val="both"/>
        <w:rPr>
          <w:color w:val="000000"/>
          <w:sz w:val="22"/>
          <w:szCs w:val="22"/>
        </w:rPr>
      </w:pPr>
    </w:p>
    <w:p w:rsidR="008202F8" w:rsidRPr="00D71EEB" w:rsidRDefault="005E2A39" w:rsidP="00475B64">
      <w:pPr>
        <w:spacing w:line="360" w:lineRule="auto"/>
        <w:ind w:firstLine="720"/>
        <w:jc w:val="both"/>
      </w:pPr>
      <w:r>
        <w:rPr>
          <w:color w:val="000000"/>
        </w:rPr>
        <w:t xml:space="preserve">I consider the prospects of success to be particularly good, even though the explanation for the delay may not be as good. </w:t>
      </w:r>
      <w:r w:rsidR="00475B64">
        <w:rPr>
          <w:color w:val="000000"/>
        </w:rPr>
        <w:t xml:space="preserve"> </w:t>
      </w:r>
      <w:r>
        <w:rPr>
          <w:color w:val="000000"/>
        </w:rPr>
        <w:t xml:space="preserve">However, </w:t>
      </w:r>
      <w:r w:rsidR="000958F9">
        <w:rPr>
          <w:color w:val="000000"/>
        </w:rPr>
        <w:t xml:space="preserve">on the basis of the likelihood of the application for rescission </w:t>
      </w:r>
      <w:r w:rsidR="00B143E7">
        <w:rPr>
          <w:color w:val="000000"/>
        </w:rPr>
        <w:t>succeeding, I am inclined to grant the application.</w:t>
      </w:r>
      <w:r w:rsidR="00475B64">
        <w:rPr>
          <w:color w:val="000000"/>
        </w:rPr>
        <w:t xml:space="preserve"> </w:t>
      </w:r>
      <w:r w:rsidR="00E41BF8">
        <w:rPr>
          <w:color w:val="000000"/>
        </w:rPr>
        <w:t xml:space="preserve"> My view is that, given the merits of the applicant’s case if it was joined to the proceeding under HC 5284/19, I would not decide this condonation solely on the basis of inordinate delay. </w:t>
      </w:r>
      <w:r w:rsidR="00475B64">
        <w:rPr>
          <w:color w:val="000000"/>
        </w:rPr>
        <w:t xml:space="preserve"> </w:t>
      </w:r>
      <w:r w:rsidR="00B779B7">
        <w:rPr>
          <w:color w:val="000000"/>
        </w:rPr>
        <w:t>The authorities I have referred to above support my approach.</w:t>
      </w:r>
      <w:r w:rsidR="00C96A1D">
        <w:rPr>
          <w:color w:val="000000"/>
        </w:rPr>
        <w:t xml:space="preserve"> For this reason, I am not convinced with the 1</w:t>
      </w:r>
      <w:r w:rsidR="00C96A1D" w:rsidRPr="00C96A1D">
        <w:rPr>
          <w:color w:val="000000"/>
          <w:vertAlign w:val="superscript"/>
        </w:rPr>
        <w:t>st</w:t>
      </w:r>
      <w:r w:rsidR="00C96A1D">
        <w:rPr>
          <w:color w:val="000000"/>
        </w:rPr>
        <w:t xml:space="preserve"> respondent’s argument that the application has been recklessly instituted. </w:t>
      </w:r>
      <w:r w:rsidR="00475B64">
        <w:rPr>
          <w:color w:val="000000"/>
        </w:rPr>
        <w:t xml:space="preserve"> </w:t>
      </w:r>
      <w:r w:rsidR="00266DE7">
        <w:rPr>
          <w:color w:val="000000"/>
        </w:rPr>
        <w:t>As the applicant has not sought any costs against the 1</w:t>
      </w:r>
      <w:r w:rsidR="00266DE7" w:rsidRPr="00266DE7">
        <w:rPr>
          <w:color w:val="000000"/>
          <w:vertAlign w:val="superscript"/>
        </w:rPr>
        <w:t>st</w:t>
      </w:r>
      <w:r w:rsidR="00266DE7">
        <w:rPr>
          <w:color w:val="000000"/>
        </w:rPr>
        <w:t xml:space="preserve"> respondent, I find that stance eminently reasonable since it is the one which is the court’s indulgence having failed to comply with the Rules. </w:t>
      </w:r>
    </w:p>
    <w:p w:rsidR="004E2DB6" w:rsidRPr="00E7504A" w:rsidRDefault="004E2DB6" w:rsidP="0078604C">
      <w:pPr>
        <w:spacing w:line="360" w:lineRule="auto"/>
        <w:jc w:val="both"/>
        <w:rPr>
          <w:sz w:val="2"/>
          <w:szCs w:val="2"/>
        </w:rPr>
      </w:pPr>
    </w:p>
    <w:p w:rsidR="00CE37B8" w:rsidRPr="00CE37B8" w:rsidRDefault="00CE37B8" w:rsidP="0078604C">
      <w:pPr>
        <w:spacing w:line="360" w:lineRule="auto"/>
        <w:jc w:val="both"/>
        <w:rPr>
          <w:sz w:val="16"/>
          <w:szCs w:val="16"/>
        </w:rPr>
      </w:pPr>
    </w:p>
    <w:p w:rsidR="00CE37B8" w:rsidRDefault="00CE37B8" w:rsidP="0078604C">
      <w:pPr>
        <w:spacing w:line="360" w:lineRule="auto"/>
        <w:jc w:val="both"/>
        <w:rPr>
          <w:b/>
        </w:rPr>
      </w:pPr>
      <w:r w:rsidRPr="00CE37B8">
        <w:rPr>
          <w:b/>
        </w:rPr>
        <w:t>Disposition</w:t>
      </w:r>
    </w:p>
    <w:p w:rsidR="005412EC" w:rsidRDefault="005412EC" w:rsidP="00475B64">
      <w:pPr>
        <w:spacing w:line="360" w:lineRule="auto"/>
        <w:jc w:val="both"/>
      </w:pPr>
      <w:r w:rsidRPr="005412EC">
        <w:t>Accordingly, I will grant the following order:</w:t>
      </w:r>
    </w:p>
    <w:p w:rsidR="005412EC" w:rsidRPr="005412EC" w:rsidRDefault="005412EC" w:rsidP="0078604C">
      <w:pPr>
        <w:spacing w:line="360" w:lineRule="auto"/>
        <w:jc w:val="both"/>
        <w:rPr>
          <w:sz w:val="10"/>
          <w:szCs w:val="10"/>
        </w:rPr>
      </w:pPr>
    </w:p>
    <w:p w:rsidR="007C2FD8" w:rsidRDefault="00CE37B8" w:rsidP="007C2FD8">
      <w:pPr>
        <w:pStyle w:val="ListParagraph"/>
        <w:numPr>
          <w:ilvl w:val="0"/>
          <w:numId w:val="17"/>
        </w:numPr>
        <w:spacing w:line="360" w:lineRule="auto"/>
        <w:jc w:val="both"/>
      </w:pPr>
      <w:r>
        <w:t xml:space="preserve">The </w:t>
      </w:r>
      <w:r w:rsidR="007C2FD8">
        <w:t>application for condonation of</w:t>
      </w:r>
      <w:r w:rsidR="005412EC">
        <w:t xml:space="preserve"> late filing of the application for rescission of judgment be and is hereby granted.</w:t>
      </w:r>
    </w:p>
    <w:p w:rsidR="00F24400" w:rsidRPr="00F24400" w:rsidRDefault="00F24400" w:rsidP="00F24400">
      <w:pPr>
        <w:pStyle w:val="ListParagraph"/>
        <w:spacing w:line="360" w:lineRule="auto"/>
        <w:ind w:left="1080"/>
        <w:jc w:val="both"/>
        <w:rPr>
          <w:sz w:val="8"/>
          <w:szCs w:val="8"/>
        </w:rPr>
      </w:pPr>
    </w:p>
    <w:p w:rsidR="005412EC" w:rsidRDefault="005412EC" w:rsidP="007C2FD8">
      <w:pPr>
        <w:pStyle w:val="ListParagraph"/>
        <w:numPr>
          <w:ilvl w:val="0"/>
          <w:numId w:val="17"/>
        </w:numPr>
        <w:spacing w:line="360" w:lineRule="auto"/>
        <w:jc w:val="both"/>
      </w:pPr>
      <w:r>
        <w:t>The applicant shall file its application for rescission of the default judgment within five (5) of being served with or becoming aware of this order.</w:t>
      </w:r>
    </w:p>
    <w:p w:rsidR="00F24400" w:rsidRPr="00F24400" w:rsidRDefault="00F24400" w:rsidP="00F24400">
      <w:pPr>
        <w:spacing w:line="360" w:lineRule="auto"/>
        <w:jc w:val="both"/>
        <w:rPr>
          <w:sz w:val="8"/>
          <w:szCs w:val="8"/>
        </w:rPr>
      </w:pPr>
    </w:p>
    <w:p w:rsidR="00664246" w:rsidRDefault="00CA68DA" w:rsidP="007C2FD8">
      <w:pPr>
        <w:pStyle w:val="ListParagraph"/>
        <w:numPr>
          <w:ilvl w:val="0"/>
          <w:numId w:val="17"/>
        </w:numPr>
        <w:spacing w:line="360" w:lineRule="auto"/>
        <w:jc w:val="both"/>
      </w:pPr>
      <w:r>
        <w:t xml:space="preserve"> </w:t>
      </w:r>
      <w:r w:rsidR="00725349">
        <w:t>There shall be no order as to costs.</w:t>
      </w:r>
      <w:r w:rsidR="00664246">
        <w:t xml:space="preserve">  </w:t>
      </w:r>
    </w:p>
    <w:p w:rsidR="0078604C" w:rsidRDefault="0078604C" w:rsidP="0078604C">
      <w:pPr>
        <w:spacing w:line="360" w:lineRule="auto"/>
        <w:jc w:val="both"/>
      </w:pPr>
    </w:p>
    <w:p w:rsidR="005412EC" w:rsidRDefault="005412EC" w:rsidP="0078604C">
      <w:pPr>
        <w:spacing w:line="360" w:lineRule="auto"/>
        <w:jc w:val="both"/>
      </w:pPr>
    </w:p>
    <w:p w:rsidR="005412EC" w:rsidRPr="00093F27" w:rsidRDefault="005412EC" w:rsidP="0078604C">
      <w:pPr>
        <w:spacing w:line="360" w:lineRule="auto"/>
        <w:jc w:val="both"/>
      </w:pPr>
    </w:p>
    <w:p w:rsidR="0078604C" w:rsidRPr="00093F27" w:rsidRDefault="00206FEE" w:rsidP="0078604C">
      <w:pPr>
        <w:jc w:val="both"/>
      </w:pPr>
      <w:r>
        <w:rPr>
          <w:i/>
        </w:rPr>
        <w:t>Ms T Mukwesha,</w:t>
      </w:r>
      <w:r>
        <w:t xml:space="preserve"> applicant’s legal practitioner</w:t>
      </w:r>
    </w:p>
    <w:p w:rsidR="0078604C" w:rsidRPr="007C7786" w:rsidRDefault="00206FEE" w:rsidP="00D952FF">
      <w:pPr>
        <w:jc w:val="both"/>
      </w:pPr>
      <w:r>
        <w:rPr>
          <w:i/>
        </w:rPr>
        <w:t>Makwanya Legal Practice</w:t>
      </w:r>
      <w:r w:rsidR="0078604C" w:rsidRPr="00093F27">
        <w:t xml:space="preserve">, </w:t>
      </w:r>
      <w:r w:rsidR="00ED7008">
        <w:t xml:space="preserve">first </w:t>
      </w:r>
      <w:r w:rsidR="00955404">
        <w:t>respondent’s</w:t>
      </w:r>
      <w:r w:rsidR="0078604C" w:rsidRPr="00093F27">
        <w:t xml:space="preserve"> legal practitioners</w:t>
      </w:r>
    </w:p>
    <w:p w:rsidR="00D17074" w:rsidRPr="005A4D7A" w:rsidRDefault="00D17074" w:rsidP="00B01F42">
      <w:pPr>
        <w:spacing w:line="360" w:lineRule="auto"/>
        <w:jc w:val="both"/>
      </w:pPr>
      <w:r>
        <w:tab/>
      </w:r>
    </w:p>
    <w:sectPr w:rsidR="00D17074" w:rsidRPr="005A4D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073" w:rsidRDefault="009F7073" w:rsidP="005A4D7A">
      <w:r>
        <w:separator/>
      </w:r>
    </w:p>
  </w:endnote>
  <w:endnote w:type="continuationSeparator" w:id="0">
    <w:p w:rsidR="009F7073" w:rsidRDefault="009F7073" w:rsidP="005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073" w:rsidRDefault="009F7073" w:rsidP="005A4D7A">
      <w:r>
        <w:separator/>
      </w:r>
    </w:p>
  </w:footnote>
  <w:footnote w:type="continuationSeparator" w:id="0">
    <w:p w:rsidR="009F7073" w:rsidRDefault="009F7073" w:rsidP="005A4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29875"/>
      <w:docPartObj>
        <w:docPartGallery w:val="Page Numbers (Top of Page)"/>
        <w:docPartUnique/>
      </w:docPartObj>
    </w:sdtPr>
    <w:sdtEndPr>
      <w:rPr>
        <w:noProof/>
      </w:rPr>
    </w:sdtEndPr>
    <w:sdtContent>
      <w:p w:rsidR="005A4D7A" w:rsidRDefault="005A4D7A" w:rsidP="00D27A4B">
        <w:pPr>
          <w:pStyle w:val="Header"/>
          <w:jc w:val="right"/>
          <w:rPr>
            <w:noProof/>
          </w:rPr>
        </w:pPr>
        <w:r>
          <w:fldChar w:fldCharType="begin"/>
        </w:r>
        <w:r>
          <w:instrText xml:space="preserve"> PAGE   \* MERGEFORMAT </w:instrText>
        </w:r>
        <w:r>
          <w:fldChar w:fldCharType="separate"/>
        </w:r>
        <w:r w:rsidR="00FF145D">
          <w:rPr>
            <w:noProof/>
          </w:rPr>
          <w:t>1</w:t>
        </w:r>
        <w:r>
          <w:rPr>
            <w:noProof/>
          </w:rPr>
          <w:fldChar w:fldCharType="end"/>
        </w:r>
      </w:p>
      <w:p w:rsidR="00B1216B" w:rsidRDefault="003F702F" w:rsidP="00D27A4B">
        <w:pPr>
          <w:pStyle w:val="Header"/>
          <w:jc w:val="right"/>
          <w:rPr>
            <w:noProof/>
          </w:rPr>
        </w:pPr>
        <w:r>
          <w:rPr>
            <w:noProof/>
          </w:rPr>
          <w:t>HH</w:t>
        </w:r>
        <w:r w:rsidR="007C6578">
          <w:rPr>
            <w:noProof/>
          </w:rPr>
          <w:t xml:space="preserve"> 505-22</w:t>
        </w:r>
      </w:p>
      <w:p w:rsidR="00F823FD" w:rsidRDefault="00F823FD" w:rsidP="00602A43">
        <w:pPr>
          <w:pStyle w:val="Header"/>
          <w:jc w:val="right"/>
          <w:rPr>
            <w:noProof/>
          </w:rPr>
        </w:pPr>
        <w:r>
          <w:rPr>
            <w:noProof/>
          </w:rPr>
          <w:t>HC 1238/21</w:t>
        </w:r>
      </w:p>
      <w:p w:rsidR="005A4D7A" w:rsidRDefault="00F823FD" w:rsidP="00602A43">
        <w:pPr>
          <w:pStyle w:val="Header"/>
          <w:jc w:val="right"/>
          <w:rPr>
            <w:noProof/>
          </w:rPr>
        </w:pPr>
        <w:r>
          <w:rPr>
            <w:noProof/>
          </w:rPr>
          <w:t>REF CASE: HC 1651/20</w:t>
        </w:r>
      </w:p>
    </w:sdtContent>
  </w:sdt>
  <w:p w:rsidR="005A4D7A" w:rsidRDefault="005A4D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FA"/>
    <w:multiLevelType w:val="hybridMultilevel"/>
    <w:tmpl w:val="1A160BE4"/>
    <w:lvl w:ilvl="0" w:tplc="AAECC5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402EF"/>
    <w:multiLevelType w:val="hybridMultilevel"/>
    <w:tmpl w:val="9848A3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B566D01"/>
    <w:multiLevelType w:val="hybridMultilevel"/>
    <w:tmpl w:val="A9D0178A"/>
    <w:lvl w:ilvl="0" w:tplc="1194D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3AA7009"/>
    <w:multiLevelType w:val="hybridMultilevel"/>
    <w:tmpl w:val="2DD81666"/>
    <w:lvl w:ilvl="0" w:tplc="EC7012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45F0DA7"/>
    <w:multiLevelType w:val="hybridMultilevel"/>
    <w:tmpl w:val="027CBE7C"/>
    <w:lvl w:ilvl="0" w:tplc="C7B022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0C36882"/>
    <w:multiLevelType w:val="hybridMultilevel"/>
    <w:tmpl w:val="D82493F8"/>
    <w:lvl w:ilvl="0" w:tplc="83085A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2FE6911"/>
    <w:multiLevelType w:val="hybridMultilevel"/>
    <w:tmpl w:val="223E0B8C"/>
    <w:lvl w:ilvl="0" w:tplc="638A22BE">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73A7594"/>
    <w:multiLevelType w:val="hybridMultilevel"/>
    <w:tmpl w:val="24F40968"/>
    <w:lvl w:ilvl="0" w:tplc="ACE8E2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44F53390"/>
    <w:multiLevelType w:val="hybridMultilevel"/>
    <w:tmpl w:val="EEA282F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4F94F51"/>
    <w:multiLevelType w:val="hybridMultilevel"/>
    <w:tmpl w:val="3E0E0702"/>
    <w:lvl w:ilvl="0" w:tplc="C58621CE">
      <w:start w:val="1"/>
      <w:numFmt w:val="bullet"/>
      <w:lvlText w:val=""/>
      <w:lvlJc w:val="left"/>
      <w:pPr>
        <w:ind w:left="1800" w:hanging="360"/>
      </w:pPr>
      <w:rPr>
        <w:rFonts w:ascii="Symbol" w:eastAsiaTheme="minorHAnsi" w:hAnsi="Symbol"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1" w15:restartNumberingAfterBreak="0">
    <w:nsid w:val="46D10756"/>
    <w:multiLevelType w:val="hybridMultilevel"/>
    <w:tmpl w:val="3986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6236B"/>
    <w:multiLevelType w:val="hybridMultilevel"/>
    <w:tmpl w:val="D2603F36"/>
    <w:lvl w:ilvl="0" w:tplc="AC7461B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3" w15:restartNumberingAfterBreak="0">
    <w:nsid w:val="54366E14"/>
    <w:multiLevelType w:val="hybridMultilevel"/>
    <w:tmpl w:val="7390EA22"/>
    <w:lvl w:ilvl="0" w:tplc="C85AB0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6CF122B8"/>
    <w:multiLevelType w:val="hybridMultilevel"/>
    <w:tmpl w:val="BF4424E2"/>
    <w:lvl w:ilvl="0" w:tplc="C070F8D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70304263"/>
    <w:multiLevelType w:val="hybridMultilevel"/>
    <w:tmpl w:val="6964899E"/>
    <w:lvl w:ilvl="0" w:tplc="150CE5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7E9E4F49"/>
    <w:multiLevelType w:val="hybridMultilevel"/>
    <w:tmpl w:val="75B8A838"/>
    <w:lvl w:ilvl="0" w:tplc="BD944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11"/>
  </w:num>
  <w:num w:numId="3">
    <w:abstractNumId w:val="16"/>
  </w:num>
  <w:num w:numId="4">
    <w:abstractNumId w:val="12"/>
  </w:num>
  <w:num w:numId="5">
    <w:abstractNumId w:val="7"/>
  </w:num>
  <w:num w:numId="6">
    <w:abstractNumId w:val="10"/>
  </w:num>
  <w:num w:numId="7">
    <w:abstractNumId w:val="9"/>
  </w:num>
  <w:num w:numId="8">
    <w:abstractNumId w:val="8"/>
  </w:num>
  <w:num w:numId="9">
    <w:abstractNumId w:val="0"/>
  </w:num>
  <w:num w:numId="10">
    <w:abstractNumId w:val="3"/>
  </w:num>
  <w:num w:numId="11">
    <w:abstractNumId w:val="13"/>
  </w:num>
  <w:num w:numId="12">
    <w:abstractNumId w:val="2"/>
  </w:num>
  <w:num w:numId="13">
    <w:abstractNumId w:val="15"/>
  </w:num>
  <w:num w:numId="14">
    <w:abstractNumId w:val="5"/>
  </w:num>
  <w:num w:numId="15">
    <w:abstractNumId w:val="14"/>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7A"/>
    <w:rsid w:val="0000187D"/>
    <w:rsid w:val="00003953"/>
    <w:rsid w:val="000122B4"/>
    <w:rsid w:val="00014046"/>
    <w:rsid w:val="000151F5"/>
    <w:rsid w:val="00020014"/>
    <w:rsid w:val="0002003E"/>
    <w:rsid w:val="00036F12"/>
    <w:rsid w:val="0003708D"/>
    <w:rsid w:val="00040C2D"/>
    <w:rsid w:val="000437A6"/>
    <w:rsid w:val="00046A0D"/>
    <w:rsid w:val="00051BCE"/>
    <w:rsid w:val="000571B7"/>
    <w:rsid w:val="00060409"/>
    <w:rsid w:val="000611E9"/>
    <w:rsid w:val="0006233A"/>
    <w:rsid w:val="00066883"/>
    <w:rsid w:val="00066EA2"/>
    <w:rsid w:val="000672F9"/>
    <w:rsid w:val="00070460"/>
    <w:rsid w:val="00075C15"/>
    <w:rsid w:val="00080A17"/>
    <w:rsid w:val="00081C16"/>
    <w:rsid w:val="000865EA"/>
    <w:rsid w:val="00092425"/>
    <w:rsid w:val="00094CA6"/>
    <w:rsid w:val="000952B7"/>
    <w:rsid w:val="000958F9"/>
    <w:rsid w:val="000965BC"/>
    <w:rsid w:val="0009791D"/>
    <w:rsid w:val="000A59D6"/>
    <w:rsid w:val="000A5B71"/>
    <w:rsid w:val="000A6E82"/>
    <w:rsid w:val="000B67D7"/>
    <w:rsid w:val="000B7869"/>
    <w:rsid w:val="000C2BAE"/>
    <w:rsid w:val="000C6046"/>
    <w:rsid w:val="000D059C"/>
    <w:rsid w:val="000D0B80"/>
    <w:rsid w:val="000D1D6B"/>
    <w:rsid w:val="000D1F9A"/>
    <w:rsid w:val="000D534A"/>
    <w:rsid w:val="000D71D6"/>
    <w:rsid w:val="000E0734"/>
    <w:rsid w:val="000E1111"/>
    <w:rsid w:val="000E158A"/>
    <w:rsid w:val="000E203B"/>
    <w:rsid w:val="000E2799"/>
    <w:rsid w:val="000E4218"/>
    <w:rsid w:val="000E44E1"/>
    <w:rsid w:val="000F17BB"/>
    <w:rsid w:val="000F191C"/>
    <w:rsid w:val="000F1D04"/>
    <w:rsid w:val="000F26B8"/>
    <w:rsid w:val="000F3663"/>
    <w:rsid w:val="000F36AF"/>
    <w:rsid w:val="000F5F75"/>
    <w:rsid w:val="000F752C"/>
    <w:rsid w:val="00102651"/>
    <w:rsid w:val="0010433B"/>
    <w:rsid w:val="00104513"/>
    <w:rsid w:val="00105075"/>
    <w:rsid w:val="00111401"/>
    <w:rsid w:val="00116A7B"/>
    <w:rsid w:val="00122F4E"/>
    <w:rsid w:val="00124639"/>
    <w:rsid w:val="00125646"/>
    <w:rsid w:val="00130536"/>
    <w:rsid w:val="00135542"/>
    <w:rsid w:val="00136D44"/>
    <w:rsid w:val="00141FC5"/>
    <w:rsid w:val="00143FE4"/>
    <w:rsid w:val="00145482"/>
    <w:rsid w:val="001520D0"/>
    <w:rsid w:val="001528F8"/>
    <w:rsid w:val="001532D5"/>
    <w:rsid w:val="00153963"/>
    <w:rsid w:val="00154D95"/>
    <w:rsid w:val="001550E0"/>
    <w:rsid w:val="00155A31"/>
    <w:rsid w:val="0016302F"/>
    <w:rsid w:val="001672D0"/>
    <w:rsid w:val="0016794A"/>
    <w:rsid w:val="00171E1D"/>
    <w:rsid w:val="0019211C"/>
    <w:rsid w:val="00193712"/>
    <w:rsid w:val="001964EF"/>
    <w:rsid w:val="00197BA6"/>
    <w:rsid w:val="001A0DED"/>
    <w:rsid w:val="001A4C1C"/>
    <w:rsid w:val="001C1FD5"/>
    <w:rsid w:val="001C2442"/>
    <w:rsid w:val="001C332C"/>
    <w:rsid w:val="001C380F"/>
    <w:rsid w:val="001C5CAC"/>
    <w:rsid w:val="001D0246"/>
    <w:rsid w:val="001D2593"/>
    <w:rsid w:val="001D3C6C"/>
    <w:rsid w:val="001D69CA"/>
    <w:rsid w:val="001E2CB7"/>
    <w:rsid w:val="001E3A2E"/>
    <w:rsid w:val="001E3F92"/>
    <w:rsid w:val="001E4D55"/>
    <w:rsid w:val="001E67D3"/>
    <w:rsid w:val="001F09AE"/>
    <w:rsid w:val="001F66F3"/>
    <w:rsid w:val="0020053B"/>
    <w:rsid w:val="00204D0D"/>
    <w:rsid w:val="00205105"/>
    <w:rsid w:val="00206FEE"/>
    <w:rsid w:val="00210221"/>
    <w:rsid w:val="00210AA3"/>
    <w:rsid w:val="002135CB"/>
    <w:rsid w:val="00214036"/>
    <w:rsid w:val="0021555D"/>
    <w:rsid w:val="00216164"/>
    <w:rsid w:val="0021673D"/>
    <w:rsid w:val="00216AAC"/>
    <w:rsid w:val="00222C3C"/>
    <w:rsid w:val="0022768B"/>
    <w:rsid w:val="002320CE"/>
    <w:rsid w:val="002327DD"/>
    <w:rsid w:val="00232A80"/>
    <w:rsid w:val="00232D81"/>
    <w:rsid w:val="00245C7E"/>
    <w:rsid w:val="00254367"/>
    <w:rsid w:val="00256EB3"/>
    <w:rsid w:val="00257079"/>
    <w:rsid w:val="00260491"/>
    <w:rsid w:val="002610EF"/>
    <w:rsid w:val="00261F3E"/>
    <w:rsid w:val="0026319E"/>
    <w:rsid w:val="00264E2F"/>
    <w:rsid w:val="00266DE7"/>
    <w:rsid w:val="00272EAD"/>
    <w:rsid w:val="002774CE"/>
    <w:rsid w:val="0028493F"/>
    <w:rsid w:val="002862F4"/>
    <w:rsid w:val="002912A6"/>
    <w:rsid w:val="002918E2"/>
    <w:rsid w:val="00293088"/>
    <w:rsid w:val="002A0A83"/>
    <w:rsid w:val="002A3CB3"/>
    <w:rsid w:val="002A6F91"/>
    <w:rsid w:val="002B10C2"/>
    <w:rsid w:val="002C1EC7"/>
    <w:rsid w:val="002D1758"/>
    <w:rsid w:val="002D23E7"/>
    <w:rsid w:val="002D2CAF"/>
    <w:rsid w:val="002D2D9C"/>
    <w:rsid w:val="002D34A3"/>
    <w:rsid w:val="002E084F"/>
    <w:rsid w:val="002E30EA"/>
    <w:rsid w:val="002E6945"/>
    <w:rsid w:val="002F286B"/>
    <w:rsid w:val="00301A00"/>
    <w:rsid w:val="0030244B"/>
    <w:rsid w:val="00302E9F"/>
    <w:rsid w:val="003061F1"/>
    <w:rsid w:val="00306E52"/>
    <w:rsid w:val="0031037A"/>
    <w:rsid w:val="00310778"/>
    <w:rsid w:val="0031216D"/>
    <w:rsid w:val="003126EF"/>
    <w:rsid w:val="003128D2"/>
    <w:rsid w:val="00312EB5"/>
    <w:rsid w:val="00314F44"/>
    <w:rsid w:val="00316234"/>
    <w:rsid w:val="003232A1"/>
    <w:rsid w:val="003269B4"/>
    <w:rsid w:val="0032732D"/>
    <w:rsid w:val="00337377"/>
    <w:rsid w:val="00337DAA"/>
    <w:rsid w:val="003414FF"/>
    <w:rsid w:val="0034307B"/>
    <w:rsid w:val="00345619"/>
    <w:rsid w:val="00345AEE"/>
    <w:rsid w:val="003463B3"/>
    <w:rsid w:val="0034645B"/>
    <w:rsid w:val="0034709C"/>
    <w:rsid w:val="00350971"/>
    <w:rsid w:val="00350B7A"/>
    <w:rsid w:val="00355D5A"/>
    <w:rsid w:val="00355ED9"/>
    <w:rsid w:val="003612A4"/>
    <w:rsid w:val="00363C81"/>
    <w:rsid w:val="003648FB"/>
    <w:rsid w:val="003713EA"/>
    <w:rsid w:val="0037364A"/>
    <w:rsid w:val="00376C8F"/>
    <w:rsid w:val="00384ACD"/>
    <w:rsid w:val="00391610"/>
    <w:rsid w:val="00391CB5"/>
    <w:rsid w:val="00391D01"/>
    <w:rsid w:val="003937C0"/>
    <w:rsid w:val="0039564B"/>
    <w:rsid w:val="00395ACD"/>
    <w:rsid w:val="00396F27"/>
    <w:rsid w:val="003A0463"/>
    <w:rsid w:val="003A20F2"/>
    <w:rsid w:val="003A5802"/>
    <w:rsid w:val="003A59E6"/>
    <w:rsid w:val="003A6F35"/>
    <w:rsid w:val="003B41E3"/>
    <w:rsid w:val="003B7670"/>
    <w:rsid w:val="003C00A5"/>
    <w:rsid w:val="003C3056"/>
    <w:rsid w:val="003C659A"/>
    <w:rsid w:val="003D16C4"/>
    <w:rsid w:val="003D2197"/>
    <w:rsid w:val="003E27E1"/>
    <w:rsid w:val="003E2A69"/>
    <w:rsid w:val="003E3469"/>
    <w:rsid w:val="003E38FB"/>
    <w:rsid w:val="003F16BA"/>
    <w:rsid w:val="003F61B8"/>
    <w:rsid w:val="003F65A1"/>
    <w:rsid w:val="003F6A14"/>
    <w:rsid w:val="003F702F"/>
    <w:rsid w:val="003F7E0D"/>
    <w:rsid w:val="00400F8F"/>
    <w:rsid w:val="00401C12"/>
    <w:rsid w:val="00402E0D"/>
    <w:rsid w:val="00406705"/>
    <w:rsid w:val="0041406F"/>
    <w:rsid w:val="004169B4"/>
    <w:rsid w:val="004169FF"/>
    <w:rsid w:val="00421154"/>
    <w:rsid w:val="00421466"/>
    <w:rsid w:val="004233D1"/>
    <w:rsid w:val="00426CE2"/>
    <w:rsid w:val="00427E63"/>
    <w:rsid w:val="00430154"/>
    <w:rsid w:val="004343A0"/>
    <w:rsid w:val="00437249"/>
    <w:rsid w:val="00440149"/>
    <w:rsid w:val="00440FE6"/>
    <w:rsid w:val="0044147E"/>
    <w:rsid w:val="00442BE2"/>
    <w:rsid w:val="00446C70"/>
    <w:rsid w:val="00447503"/>
    <w:rsid w:val="0045012B"/>
    <w:rsid w:val="0045356E"/>
    <w:rsid w:val="00453C3A"/>
    <w:rsid w:val="00455C17"/>
    <w:rsid w:val="00461487"/>
    <w:rsid w:val="0046215A"/>
    <w:rsid w:val="004633DB"/>
    <w:rsid w:val="004655E0"/>
    <w:rsid w:val="0047026A"/>
    <w:rsid w:val="00472847"/>
    <w:rsid w:val="00475B64"/>
    <w:rsid w:val="00480ADB"/>
    <w:rsid w:val="00483E55"/>
    <w:rsid w:val="00486278"/>
    <w:rsid w:val="004906BC"/>
    <w:rsid w:val="00490D9D"/>
    <w:rsid w:val="00491086"/>
    <w:rsid w:val="0049394A"/>
    <w:rsid w:val="00494246"/>
    <w:rsid w:val="0049730D"/>
    <w:rsid w:val="004A300E"/>
    <w:rsid w:val="004A5D81"/>
    <w:rsid w:val="004A61A8"/>
    <w:rsid w:val="004B10DD"/>
    <w:rsid w:val="004B317E"/>
    <w:rsid w:val="004B47AD"/>
    <w:rsid w:val="004B5909"/>
    <w:rsid w:val="004B652A"/>
    <w:rsid w:val="004B682A"/>
    <w:rsid w:val="004B6F2C"/>
    <w:rsid w:val="004B73BD"/>
    <w:rsid w:val="004C01D6"/>
    <w:rsid w:val="004C6E2F"/>
    <w:rsid w:val="004D029B"/>
    <w:rsid w:val="004D0E53"/>
    <w:rsid w:val="004D1790"/>
    <w:rsid w:val="004D33E9"/>
    <w:rsid w:val="004D3C5A"/>
    <w:rsid w:val="004D529D"/>
    <w:rsid w:val="004E1AF5"/>
    <w:rsid w:val="004E1B1F"/>
    <w:rsid w:val="004E1CA6"/>
    <w:rsid w:val="004E2DB6"/>
    <w:rsid w:val="004E6230"/>
    <w:rsid w:val="004F0EE1"/>
    <w:rsid w:val="004F10AC"/>
    <w:rsid w:val="004F2944"/>
    <w:rsid w:val="004F3423"/>
    <w:rsid w:val="004F4A59"/>
    <w:rsid w:val="004F5935"/>
    <w:rsid w:val="0050449E"/>
    <w:rsid w:val="00510068"/>
    <w:rsid w:val="00520A12"/>
    <w:rsid w:val="00522AE8"/>
    <w:rsid w:val="00530CAF"/>
    <w:rsid w:val="00536DD0"/>
    <w:rsid w:val="005412EC"/>
    <w:rsid w:val="00541615"/>
    <w:rsid w:val="005444A1"/>
    <w:rsid w:val="00550006"/>
    <w:rsid w:val="00551345"/>
    <w:rsid w:val="005542E0"/>
    <w:rsid w:val="005544BE"/>
    <w:rsid w:val="00556438"/>
    <w:rsid w:val="0055781E"/>
    <w:rsid w:val="00570DA7"/>
    <w:rsid w:val="00572285"/>
    <w:rsid w:val="0057614E"/>
    <w:rsid w:val="00576AB1"/>
    <w:rsid w:val="00582248"/>
    <w:rsid w:val="0058439D"/>
    <w:rsid w:val="00585ADB"/>
    <w:rsid w:val="005907B6"/>
    <w:rsid w:val="005976F8"/>
    <w:rsid w:val="005A4D7A"/>
    <w:rsid w:val="005A7777"/>
    <w:rsid w:val="005B1138"/>
    <w:rsid w:val="005C4004"/>
    <w:rsid w:val="005C496A"/>
    <w:rsid w:val="005C4BAD"/>
    <w:rsid w:val="005C4C0C"/>
    <w:rsid w:val="005C69B3"/>
    <w:rsid w:val="005C70F6"/>
    <w:rsid w:val="005D1FAC"/>
    <w:rsid w:val="005D29EF"/>
    <w:rsid w:val="005D2F8D"/>
    <w:rsid w:val="005D37E8"/>
    <w:rsid w:val="005D5403"/>
    <w:rsid w:val="005E2A39"/>
    <w:rsid w:val="005E3C1B"/>
    <w:rsid w:val="005E3DC3"/>
    <w:rsid w:val="005F3CDC"/>
    <w:rsid w:val="005F558B"/>
    <w:rsid w:val="00602A43"/>
    <w:rsid w:val="0060444A"/>
    <w:rsid w:val="00617518"/>
    <w:rsid w:val="006212E7"/>
    <w:rsid w:val="00621A9C"/>
    <w:rsid w:val="00624108"/>
    <w:rsid w:val="00625475"/>
    <w:rsid w:val="006312A6"/>
    <w:rsid w:val="00635CC0"/>
    <w:rsid w:val="00643A19"/>
    <w:rsid w:val="00643EFC"/>
    <w:rsid w:val="00650456"/>
    <w:rsid w:val="00651661"/>
    <w:rsid w:val="00651C0C"/>
    <w:rsid w:val="006522CB"/>
    <w:rsid w:val="00654D61"/>
    <w:rsid w:val="0065777F"/>
    <w:rsid w:val="006621C8"/>
    <w:rsid w:val="0066397C"/>
    <w:rsid w:val="00664246"/>
    <w:rsid w:val="00664375"/>
    <w:rsid w:val="0066779B"/>
    <w:rsid w:val="00671F28"/>
    <w:rsid w:val="006722A4"/>
    <w:rsid w:val="0067471D"/>
    <w:rsid w:val="0068294A"/>
    <w:rsid w:val="00684658"/>
    <w:rsid w:val="00684BCF"/>
    <w:rsid w:val="00686691"/>
    <w:rsid w:val="00690749"/>
    <w:rsid w:val="00692503"/>
    <w:rsid w:val="00693119"/>
    <w:rsid w:val="00693980"/>
    <w:rsid w:val="00693F08"/>
    <w:rsid w:val="00694EE5"/>
    <w:rsid w:val="006967A1"/>
    <w:rsid w:val="006B2068"/>
    <w:rsid w:val="006B30B6"/>
    <w:rsid w:val="006B68E6"/>
    <w:rsid w:val="006B73FF"/>
    <w:rsid w:val="006C064D"/>
    <w:rsid w:val="006C4C49"/>
    <w:rsid w:val="006C5BCE"/>
    <w:rsid w:val="006D570E"/>
    <w:rsid w:val="006D7540"/>
    <w:rsid w:val="006D7B81"/>
    <w:rsid w:val="006E2910"/>
    <w:rsid w:val="006E3078"/>
    <w:rsid w:val="006E3B9F"/>
    <w:rsid w:val="006E4F06"/>
    <w:rsid w:val="006E58AE"/>
    <w:rsid w:val="006E65FF"/>
    <w:rsid w:val="006F1C05"/>
    <w:rsid w:val="006F4D38"/>
    <w:rsid w:val="006F623A"/>
    <w:rsid w:val="00703FEE"/>
    <w:rsid w:val="0070468D"/>
    <w:rsid w:val="00707C19"/>
    <w:rsid w:val="00713759"/>
    <w:rsid w:val="00717EC6"/>
    <w:rsid w:val="007217CC"/>
    <w:rsid w:val="00725349"/>
    <w:rsid w:val="00725659"/>
    <w:rsid w:val="00726400"/>
    <w:rsid w:val="0073340A"/>
    <w:rsid w:val="007349DA"/>
    <w:rsid w:val="00735D94"/>
    <w:rsid w:val="00737B2C"/>
    <w:rsid w:val="00743437"/>
    <w:rsid w:val="00744F95"/>
    <w:rsid w:val="00745A88"/>
    <w:rsid w:val="00745DDE"/>
    <w:rsid w:val="00751708"/>
    <w:rsid w:val="00751B16"/>
    <w:rsid w:val="0075667E"/>
    <w:rsid w:val="007579E3"/>
    <w:rsid w:val="007604BD"/>
    <w:rsid w:val="00762EFE"/>
    <w:rsid w:val="00763074"/>
    <w:rsid w:val="007645BC"/>
    <w:rsid w:val="00764953"/>
    <w:rsid w:val="007712A8"/>
    <w:rsid w:val="00771BAA"/>
    <w:rsid w:val="007732FE"/>
    <w:rsid w:val="00780517"/>
    <w:rsid w:val="00782208"/>
    <w:rsid w:val="0078265C"/>
    <w:rsid w:val="0078604C"/>
    <w:rsid w:val="0079461C"/>
    <w:rsid w:val="00797852"/>
    <w:rsid w:val="00797CDD"/>
    <w:rsid w:val="007A4D77"/>
    <w:rsid w:val="007A7354"/>
    <w:rsid w:val="007B2FED"/>
    <w:rsid w:val="007C259C"/>
    <w:rsid w:val="007C2FD8"/>
    <w:rsid w:val="007C5075"/>
    <w:rsid w:val="007C5FC8"/>
    <w:rsid w:val="007C6578"/>
    <w:rsid w:val="007C6ADB"/>
    <w:rsid w:val="007C7407"/>
    <w:rsid w:val="007E2071"/>
    <w:rsid w:val="007E4A9B"/>
    <w:rsid w:val="007E531D"/>
    <w:rsid w:val="007E61CA"/>
    <w:rsid w:val="007F00FF"/>
    <w:rsid w:val="007F13A7"/>
    <w:rsid w:val="007F548B"/>
    <w:rsid w:val="007F6C87"/>
    <w:rsid w:val="007F6E50"/>
    <w:rsid w:val="00800AA5"/>
    <w:rsid w:val="008011DF"/>
    <w:rsid w:val="00804E6A"/>
    <w:rsid w:val="008059A6"/>
    <w:rsid w:val="008068EC"/>
    <w:rsid w:val="00806DA7"/>
    <w:rsid w:val="008108DE"/>
    <w:rsid w:val="0081551A"/>
    <w:rsid w:val="008202F8"/>
    <w:rsid w:val="0082157B"/>
    <w:rsid w:val="008352B8"/>
    <w:rsid w:val="0084029F"/>
    <w:rsid w:val="00842B72"/>
    <w:rsid w:val="00845FA6"/>
    <w:rsid w:val="0084670A"/>
    <w:rsid w:val="00865937"/>
    <w:rsid w:val="00866CC9"/>
    <w:rsid w:val="00870ED5"/>
    <w:rsid w:val="008720F3"/>
    <w:rsid w:val="00880747"/>
    <w:rsid w:val="00880F14"/>
    <w:rsid w:val="0089437C"/>
    <w:rsid w:val="00895EAF"/>
    <w:rsid w:val="008978E6"/>
    <w:rsid w:val="008A0B77"/>
    <w:rsid w:val="008A35BB"/>
    <w:rsid w:val="008A4817"/>
    <w:rsid w:val="008C18B6"/>
    <w:rsid w:val="008C362C"/>
    <w:rsid w:val="008D2A13"/>
    <w:rsid w:val="008D7E60"/>
    <w:rsid w:val="008E05A8"/>
    <w:rsid w:val="008E7622"/>
    <w:rsid w:val="008F555E"/>
    <w:rsid w:val="008F574F"/>
    <w:rsid w:val="009000AB"/>
    <w:rsid w:val="0090407F"/>
    <w:rsid w:val="00913034"/>
    <w:rsid w:val="00916FBE"/>
    <w:rsid w:val="00920931"/>
    <w:rsid w:val="0093375E"/>
    <w:rsid w:val="00933BF7"/>
    <w:rsid w:val="009371D8"/>
    <w:rsid w:val="009438D3"/>
    <w:rsid w:val="00944FD8"/>
    <w:rsid w:val="00945576"/>
    <w:rsid w:val="00951853"/>
    <w:rsid w:val="009537B3"/>
    <w:rsid w:val="00953E65"/>
    <w:rsid w:val="00955031"/>
    <w:rsid w:val="00955404"/>
    <w:rsid w:val="00956603"/>
    <w:rsid w:val="00970CB3"/>
    <w:rsid w:val="00975505"/>
    <w:rsid w:val="009771F7"/>
    <w:rsid w:val="009856EF"/>
    <w:rsid w:val="00994144"/>
    <w:rsid w:val="00994D18"/>
    <w:rsid w:val="009A2B85"/>
    <w:rsid w:val="009A304E"/>
    <w:rsid w:val="009A35C7"/>
    <w:rsid w:val="009A3715"/>
    <w:rsid w:val="009A3D40"/>
    <w:rsid w:val="009A5E66"/>
    <w:rsid w:val="009A6F8A"/>
    <w:rsid w:val="009A7838"/>
    <w:rsid w:val="009B2188"/>
    <w:rsid w:val="009B3598"/>
    <w:rsid w:val="009B3DF2"/>
    <w:rsid w:val="009B77C1"/>
    <w:rsid w:val="009C0AD8"/>
    <w:rsid w:val="009C18C8"/>
    <w:rsid w:val="009D4C6C"/>
    <w:rsid w:val="009E057B"/>
    <w:rsid w:val="009E0ABA"/>
    <w:rsid w:val="009E136D"/>
    <w:rsid w:val="009E2C74"/>
    <w:rsid w:val="009E41AC"/>
    <w:rsid w:val="009F1254"/>
    <w:rsid w:val="009F1EE6"/>
    <w:rsid w:val="009F5882"/>
    <w:rsid w:val="009F7073"/>
    <w:rsid w:val="00A113D8"/>
    <w:rsid w:val="00A151A9"/>
    <w:rsid w:val="00A15259"/>
    <w:rsid w:val="00A17652"/>
    <w:rsid w:val="00A264C8"/>
    <w:rsid w:val="00A34C5A"/>
    <w:rsid w:val="00A3543B"/>
    <w:rsid w:val="00A36D66"/>
    <w:rsid w:val="00A43366"/>
    <w:rsid w:val="00A45051"/>
    <w:rsid w:val="00A45EE6"/>
    <w:rsid w:val="00A51299"/>
    <w:rsid w:val="00A55D96"/>
    <w:rsid w:val="00A56727"/>
    <w:rsid w:val="00A648DF"/>
    <w:rsid w:val="00A65378"/>
    <w:rsid w:val="00A72B47"/>
    <w:rsid w:val="00A77D68"/>
    <w:rsid w:val="00A800BF"/>
    <w:rsid w:val="00A81FE3"/>
    <w:rsid w:val="00A831D8"/>
    <w:rsid w:val="00A83860"/>
    <w:rsid w:val="00A83ECD"/>
    <w:rsid w:val="00A8595C"/>
    <w:rsid w:val="00A87CA1"/>
    <w:rsid w:val="00A91562"/>
    <w:rsid w:val="00A918C9"/>
    <w:rsid w:val="00A91D52"/>
    <w:rsid w:val="00A959C0"/>
    <w:rsid w:val="00A96C4A"/>
    <w:rsid w:val="00AA20FE"/>
    <w:rsid w:val="00AA243F"/>
    <w:rsid w:val="00AA30A6"/>
    <w:rsid w:val="00AA67CF"/>
    <w:rsid w:val="00AB66E0"/>
    <w:rsid w:val="00AB6AAC"/>
    <w:rsid w:val="00AC1FE7"/>
    <w:rsid w:val="00AC6CF4"/>
    <w:rsid w:val="00AD233D"/>
    <w:rsid w:val="00AD2F06"/>
    <w:rsid w:val="00AD361C"/>
    <w:rsid w:val="00AD4C7B"/>
    <w:rsid w:val="00AD5601"/>
    <w:rsid w:val="00AD681C"/>
    <w:rsid w:val="00AE1292"/>
    <w:rsid w:val="00AE2D98"/>
    <w:rsid w:val="00AE480F"/>
    <w:rsid w:val="00AE54F1"/>
    <w:rsid w:val="00AE7A15"/>
    <w:rsid w:val="00AF3D0A"/>
    <w:rsid w:val="00AF4DB5"/>
    <w:rsid w:val="00AF7C6D"/>
    <w:rsid w:val="00B01C2C"/>
    <w:rsid w:val="00B01F42"/>
    <w:rsid w:val="00B03919"/>
    <w:rsid w:val="00B05493"/>
    <w:rsid w:val="00B1049C"/>
    <w:rsid w:val="00B11A35"/>
    <w:rsid w:val="00B11FF9"/>
    <w:rsid w:val="00B1216B"/>
    <w:rsid w:val="00B143E7"/>
    <w:rsid w:val="00B223FE"/>
    <w:rsid w:val="00B22F3F"/>
    <w:rsid w:val="00B2319D"/>
    <w:rsid w:val="00B23941"/>
    <w:rsid w:val="00B41DB3"/>
    <w:rsid w:val="00B43B15"/>
    <w:rsid w:val="00B4428D"/>
    <w:rsid w:val="00B44BAA"/>
    <w:rsid w:val="00B45F49"/>
    <w:rsid w:val="00B52494"/>
    <w:rsid w:val="00B56AA3"/>
    <w:rsid w:val="00B57BE2"/>
    <w:rsid w:val="00B602F2"/>
    <w:rsid w:val="00B61E1C"/>
    <w:rsid w:val="00B628A5"/>
    <w:rsid w:val="00B6315F"/>
    <w:rsid w:val="00B631EE"/>
    <w:rsid w:val="00B6330D"/>
    <w:rsid w:val="00B65351"/>
    <w:rsid w:val="00B75DF1"/>
    <w:rsid w:val="00B779B7"/>
    <w:rsid w:val="00B802E2"/>
    <w:rsid w:val="00B80E31"/>
    <w:rsid w:val="00B82E15"/>
    <w:rsid w:val="00B8536B"/>
    <w:rsid w:val="00B869D8"/>
    <w:rsid w:val="00B87B13"/>
    <w:rsid w:val="00B90284"/>
    <w:rsid w:val="00BC1321"/>
    <w:rsid w:val="00BC4248"/>
    <w:rsid w:val="00BC4C43"/>
    <w:rsid w:val="00BC5352"/>
    <w:rsid w:val="00BC5FF4"/>
    <w:rsid w:val="00BC79DF"/>
    <w:rsid w:val="00BE36FF"/>
    <w:rsid w:val="00BF11FF"/>
    <w:rsid w:val="00BF2527"/>
    <w:rsid w:val="00BF43C2"/>
    <w:rsid w:val="00BF7893"/>
    <w:rsid w:val="00BF7BFC"/>
    <w:rsid w:val="00C03FF2"/>
    <w:rsid w:val="00C053C4"/>
    <w:rsid w:val="00C06CD9"/>
    <w:rsid w:val="00C06DF5"/>
    <w:rsid w:val="00C1322C"/>
    <w:rsid w:val="00C13DF8"/>
    <w:rsid w:val="00C14F18"/>
    <w:rsid w:val="00C16E9B"/>
    <w:rsid w:val="00C277F1"/>
    <w:rsid w:val="00C301FD"/>
    <w:rsid w:val="00C37FD5"/>
    <w:rsid w:val="00C45974"/>
    <w:rsid w:val="00C52288"/>
    <w:rsid w:val="00C57737"/>
    <w:rsid w:val="00C62A45"/>
    <w:rsid w:val="00C63D1E"/>
    <w:rsid w:val="00C659C4"/>
    <w:rsid w:val="00C704A0"/>
    <w:rsid w:val="00C77795"/>
    <w:rsid w:val="00C821E4"/>
    <w:rsid w:val="00C82738"/>
    <w:rsid w:val="00C83401"/>
    <w:rsid w:val="00C83510"/>
    <w:rsid w:val="00C835A5"/>
    <w:rsid w:val="00C87CDA"/>
    <w:rsid w:val="00C91487"/>
    <w:rsid w:val="00C9237D"/>
    <w:rsid w:val="00C9581B"/>
    <w:rsid w:val="00C96A1D"/>
    <w:rsid w:val="00C979D2"/>
    <w:rsid w:val="00CA0885"/>
    <w:rsid w:val="00CA246B"/>
    <w:rsid w:val="00CA646F"/>
    <w:rsid w:val="00CA68DA"/>
    <w:rsid w:val="00CB481F"/>
    <w:rsid w:val="00CC074F"/>
    <w:rsid w:val="00CC3CCE"/>
    <w:rsid w:val="00CD1DCF"/>
    <w:rsid w:val="00CD205D"/>
    <w:rsid w:val="00CD2266"/>
    <w:rsid w:val="00CD551B"/>
    <w:rsid w:val="00CD67B2"/>
    <w:rsid w:val="00CE37B8"/>
    <w:rsid w:val="00CE42F4"/>
    <w:rsid w:val="00CE71F7"/>
    <w:rsid w:val="00CF03B8"/>
    <w:rsid w:val="00CF2C19"/>
    <w:rsid w:val="00CF3048"/>
    <w:rsid w:val="00CF3683"/>
    <w:rsid w:val="00CF514A"/>
    <w:rsid w:val="00D03DA6"/>
    <w:rsid w:val="00D060C8"/>
    <w:rsid w:val="00D11C07"/>
    <w:rsid w:val="00D11D6C"/>
    <w:rsid w:val="00D1316A"/>
    <w:rsid w:val="00D13A66"/>
    <w:rsid w:val="00D17074"/>
    <w:rsid w:val="00D229F7"/>
    <w:rsid w:val="00D233F5"/>
    <w:rsid w:val="00D26E19"/>
    <w:rsid w:val="00D27A4B"/>
    <w:rsid w:val="00D34EB7"/>
    <w:rsid w:val="00D3556F"/>
    <w:rsid w:val="00D375C6"/>
    <w:rsid w:val="00D37BA5"/>
    <w:rsid w:val="00D442D8"/>
    <w:rsid w:val="00D4619C"/>
    <w:rsid w:val="00D47D22"/>
    <w:rsid w:val="00D50D83"/>
    <w:rsid w:val="00D52DF9"/>
    <w:rsid w:val="00D546E2"/>
    <w:rsid w:val="00D5556E"/>
    <w:rsid w:val="00D610A0"/>
    <w:rsid w:val="00D67CA0"/>
    <w:rsid w:val="00D7118C"/>
    <w:rsid w:val="00D71EEB"/>
    <w:rsid w:val="00D778FE"/>
    <w:rsid w:val="00D8078C"/>
    <w:rsid w:val="00D8336B"/>
    <w:rsid w:val="00D85FA4"/>
    <w:rsid w:val="00D8658F"/>
    <w:rsid w:val="00D91253"/>
    <w:rsid w:val="00D94006"/>
    <w:rsid w:val="00D952FF"/>
    <w:rsid w:val="00D9603F"/>
    <w:rsid w:val="00D96C7F"/>
    <w:rsid w:val="00DA3D80"/>
    <w:rsid w:val="00DA67EF"/>
    <w:rsid w:val="00DA68EE"/>
    <w:rsid w:val="00DB05BC"/>
    <w:rsid w:val="00DB3F3F"/>
    <w:rsid w:val="00DB6A3C"/>
    <w:rsid w:val="00DC02B4"/>
    <w:rsid w:val="00DC31A1"/>
    <w:rsid w:val="00DC67DE"/>
    <w:rsid w:val="00DD5F5C"/>
    <w:rsid w:val="00DD6155"/>
    <w:rsid w:val="00DD6400"/>
    <w:rsid w:val="00DD7ABA"/>
    <w:rsid w:val="00DE07AE"/>
    <w:rsid w:val="00DE0E4F"/>
    <w:rsid w:val="00DE4B06"/>
    <w:rsid w:val="00DF0BEC"/>
    <w:rsid w:val="00DF1C6B"/>
    <w:rsid w:val="00E00E80"/>
    <w:rsid w:val="00E01518"/>
    <w:rsid w:val="00E0317A"/>
    <w:rsid w:val="00E04A30"/>
    <w:rsid w:val="00E120FB"/>
    <w:rsid w:val="00E13D2B"/>
    <w:rsid w:val="00E169E5"/>
    <w:rsid w:val="00E24E67"/>
    <w:rsid w:val="00E265C2"/>
    <w:rsid w:val="00E34014"/>
    <w:rsid w:val="00E41BF8"/>
    <w:rsid w:val="00E436F8"/>
    <w:rsid w:val="00E43CF6"/>
    <w:rsid w:val="00E44C2B"/>
    <w:rsid w:val="00E468F7"/>
    <w:rsid w:val="00E56569"/>
    <w:rsid w:val="00E63094"/>
    <w:rsid w:val="00E631D6"/>
    <w:rsid w:val="00E6468D"/>
    <w:rsid w:val="00E65C65"/>
    <w:rsid w:val="00E7504A"/>
    <w:rsid w:val="00E76A2A"/>
    <w:rsid w:val="00E7721E"/>
    <w:rsid w:val="00E809B8"/>
    <w:rsid w:val="00E8133B"/>
    <w:rsid w:val="00E8221E"/>
    <w:rsid w:val="00E8444F"/>
    <w:rsid w:val="00E84888"/>
    <w:rsid w:val="00E85328"/>
    <w:rsid w:val="00E85449"/>
    <w:rsid w:val="00E85474"/>
    <w:rsid w:val="00E86990"/>
    <w:rsid w:val="00E91E91"/>
    <w:rsid w:val="00EA4301"/>
    <w:rsid w:val="00EA4B21"/>
    <w:rsid w:val="00EA54ED"/>
    <w:rsid w:val="00EA6B9F"/>
    <w:rsid w:val="00EB09DB"/>
    <w:rsid w:val="00EB17A0"/>
    <w:rsid w:val="00EB1F7C"/>
    <w:rsid w:val="00EB46D7"/>
    <w:rsid w:val="00EB7F34"/>
    <w:rsid w:val="00EC2011"/>
    <w:rsid w:val="00EC704D"/>
    <w:rsid w:val="00EC79B7"/>
    <w:rsid w:val="00ED1097"/>
    <w:rsid w:val="00ED46AD"/>
    <w:rsid w:val="00ED4F11"/>
    <w:rsid w:val="00ED7008"/>
    <w:rsid w:val="00EE11FB"/>
    <w:rsid w:val="00EE7F03"/>
    <w:rsid w:val="00EF1459"/>
    <w:rsid w:val="00EF542B"/>
    <w:rsid w:val="00F05724"/>
    <w:rsid w:val="00F116E5"/>
    <w:rsid w:val="00F118C4"/>
    <w:rsid w:val="00F12BF1"/>
    <w:rsid w:val="00F14534"/>
    <w:rsid w:val="00F14FD6"/>
    <w:rsid w:val="00F20C51"/>
    <w:rsid w:val="00F218E9"/>
    <w:rsid w:val="00F24400"/>
    <w:rsid w:val="00F32BA5"/>
    <w:rsid w:val="00F42E41"/>
    <w:rsid w:val="00F43344"/>
    <w:rsid w:val="00F55FC4"/>
    <w:rsid w:val="00F569B2"/>
    <w:rsid w:val="00F632E0"/>
    <w:rsid w:val="00F707A7"/>
    <w:rsid w:val="00F710D9"/>
    <w:rsid w:val="00F7307C"/>
    <w:rsid w:val="00F7408D"/>
    <w:rsid w:val="00F823FD"/>
    <w:rsid w:val="00F926A8"/>
    <w:rsid w:val="00FB4552"/>
    <w:rsid w:val="00FB762D"/>
    <w:rsid w:val="00FC2AF6"/>
    <w:rsid w:val="00FC30B9"/>
    <w:rsid w:val="00FC3D61"/>
    <w:rsid w:val="00FC70A6"/>
    <w:rsid w:val="00FD00F3"/>
    <w:rsid w:val="00FD1BB0"/>
    <w:rsid w:val="00FD537E"/>
    <w:rsid w:val="00FD5E8E"/>
    <w:rsid w:val="00FD5FDC"/>
    <w:rsid w:val="00FE0D64"/>
    <w:rsid w:val="00FE22C6"/>
    <w:rsid w:val="00FE23F2"/>
    <w:rsid w:val="00FE2D6C"/>
    <w:rsid w:val="00FE7802"/>
    <w:rsid w:val="00FE791A"/>
    <w:rsid w:val="00FF145D"/>
    <w:rsid w:val="00FF17A2"/>
    <w:rsid w:val="00FF2DDE"/>
    <w:rsid w:val="00FF50D1"/>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9BEE3-2E01-422E-BEBC-02DCACAF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7A"/>
    <w:pPr>
      <w:tabs>
        <w:tab w:val="center" w:pos="4680"/>
        <w:tab w:val="right" w:pos="9360"/>
      </w:tabs>
    </w:pPr>
  </w:style>
  <w:style w:type="character" w:customStyle="1" w:styleId="HeaderChar">
    <w:name w:val="Header Char"/>
    <w:basedOn w:val="DefaultParagraphFont"/>
    <w:link w:val="Header"/>
    <w:uiPriority w:val="99"/>
    <w:rsid w:val="005A4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D7A"/>
    <w:pPr>
      <w:tabs>
        <w:tab w:val="center" w:pos="4680"/>
        <w:tab w:val="right" w:pos="9360"/>
      </w:tabs>
    </w:pPr>
  </w:style>
  <w:style w:type="character" w:customStyle="1" w:styleId="FooterChar">
    <w:name w:val="Footer Char"/>
    <w:basedOn w:val="DefaultParagraphFont"/>
    <w:link w:val="Footer"/>
    <w:uiPriority w:val="99"/>
    <w:rsid w:val="005A4D7A"/>
    <w:rPr>
      <w:rFonts w:ascii="Times New Roman" w:eastAsia="Times New Roman" w:hAnsi="Times New Roman" w:cs="Times New Roman"/>
      <w:sz w:val="24"/>
      <w:szCs w:val="24"/>
    </w:rPr>
  </w:style>
  <w:style w:type="paragraph" w:styleId="ListParagraph">
    <w:name w:val="List Paragraph"/>
    <w:basedOn w:val="Normal"/>
    <w:uiPriority w:val="34"/>
    <w:qFormat/>
    <w:rsid w:val="004A61A8"/>
    <w:pPr>
      <w:ind w:left="720"/>
      <w:contextualSpacing/>
    </w:pPr>
  </w:style>
  <w:style w:type="paragraph" w:styleId="BalloonText">
    <w:name w:val="Balloon Text"/>
    <w:basedOn w:val="Normal"/>
    <w:link w:val="BalloonTextChar"/>
    <w:uiPriority w:val="99"/>
    <w:semiHidden/>
    <w:unhideWhenUsed/>
    <w:rsid w:val="00B12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6B"/>
    <w:rPr>
      <w:rFonts w:ascii="Segoe UI" w:eastAsia="Times New Roman" w:hAnsi="Segoe UI" w:cs="Segoe UI"/>
      <w:sz w:val="18"/>
      <w:szCs w:val="18"/>
    </w:rPr>
  </w:style>
  <w:style w:type="paragraph" w:styleId="NormalWeb">
    <w:name w:val="Normal (Web)"/>
    <w:basedOn w:val="Normal"/>
    <w:uiPriority w:val="99"/>
    <w:semiHidden/>
    <w:unhideWhenUsed/>
    <w:rsid w:val="002D23E7"/>
    <w:pPr>
      <w:spacing w:before="100" w:beforeAutospacing="1" w:after="100" w:afterAutospacing="1"/>
    </w:pPr>
    <w:rPr>
      <w:lang w:val="en-ZW" w:eastAsia="en-ZW"/>
    </w:rPr>
  </w:style>
  <w:style w:type="character" w:styleId="Emphasis">
    <w:name w:val="Emphasis"/>
    <w:basedOn w:val="DefaultParagraphFont"/>
    <w:uiPriority w:val="20"/>
    <w:qFormat/>
    <w:rsid w:val="002D23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2014</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2022-07-22T11:17:00Z</cp:lastPrinted>
  <dcterms:created xsi:type="dcterms:W3CDTF">2022-07-29T09:39:00Z</dcterms:created>
  <dcterms:modified xsi:type="dcterms:W3CDTF">2022-07-29T09:39:00Z</dcterms:modified>
</cp:coreProperties>
</file>