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7640EC" w:rsidP="007640EC">
      <w:pPr>
        <w:pStyle w:val="NoSpacing"/>
        <w:rPr>
          <w:b/>
        </w:rPr>
      </w:pPr>
      <w:r>
        <w:rPr>
          <w:b/>
        </w:rPr>
        <w:t>KHAN &amp; MAWADZE MINING SYNDICATE</w:t>
      </w:r>
    </w:p>
    <w:p w:rsidR="007640EC" w:rsidRDefault="007640EC" w:rsidP="007640EC">
      <w:pPr>
        <w:pStyle w:val="NoSpacing"/>
        <w:rPr>
          <w:b/>
        </w:rPr>
      </w:pPr>
    </w:p>
    <w:p w:rsidR="007640EC" w:rsidRDefault="007640EC" w:rsidP="007640EC">
      <w:pPr>
        <w:pStyle w:val="NoSpacing"/>
        <w:rPr>
          <w:b/>
        </w:rPr>
      </w:pPr>
      <w:r>
        <w:rPr>
          <w:b/>
        </w:rPr>
        <w:t>Versus</w:t>
      </w:r>
    </w:p>
    <w:p w:rsidR="007640EC" w:rsidRDefault="007640EC" w:rsidP="007640EC">
      <w:pPr>
        <w:pStyle w:val="NoSpacing"/>
        <w:rPr>
          <w:b/>
        </w:rPr>
      </w:pPr>
    </w:p>
    <w:p w:rsidR="007640EC" w:rsidRDefault="007640EC" w:rsidP="007640EC">
      <w:pPr>
        <w:pStyle w:val="NoSpacing"/>
        <w:rPr>
          <w:b/>
        </w:rPr>
      </w:pPr>
      <w:r>
        <w:rPr>
          <w:b/>
        </w:rPr>
        <w:t>ANTECH LABORATORIES (PVT) LTD</w:t>
      </w:r>
    </w:p>
    <w:p w:rsidR="007640EC" w:rsidRDefault="007640EC" w:rsidP="007640EC">
      <w:pPr>
        <w:pStyle w:val="NoSpacing"/>
        <w:rPr>
          <w:b/>
        </w:rPr>
      </w:pPr>
    </w:p>
    <w:p w:rsidR="007640EC" w:rsidRDefault="007640EC" w:rsidP="007640EC">
      <w:pPr>
        <w:pStyle w:val="NoSpacing"/>
        <w:rPr>
          <w:b/>
        </w:rPr>
      </w:pPr>
      <w:r>
        <w:rPr>
          <w:b/>
        </w:rPr>
        <w:t>And</w:t>
      </w:r>
    </w:p>
    <w:p w:rsidR="007640EC" w:rsidRDefault="007640EC" w:rsidP="007640EC">
      <w:pPr>
        <w:pStyle w:val="NoSpacing"/>
        <w:rPr>
          <w:b/>
        </w:rPr>
      </w:pPr>
    </w:p>
    <w:p w:rsidR="007640EC" w:rsidRDefault="007640EC" w:rsidP="007640EC">
      <w:pPr>
        <w:pStyle w:val="NoSpacing"/>
        <w:rPr>
          <w:b/>
        </w:rPr>
      </w:pPr>
      <w:r>
        <w:rPr>
          <w:b/>
        </w:rPr>
        <w:t>KWEKWE CITY COUNCIL</w:t>
      </w:r>
    </w:p>
    <w:p w:rsidR="007640EC" w:rsidRDefault="007640EC" w:rsidP="007640EC">
      <w:pPr>
        <w:pStyle w:val="NoSpacing"/>
        <w:rPr>
          <w:b/>
        </w:rPr>
      </w:pPr>
    </w:p>
    <w:p w:rsidR="007640EC" w:rsidRDefault="007640EC" w:rsidP="007640EC">
      <w:pPr>
        <w:pStyle w:val="NoSpacing"/>
        <w:rPr>
          <w:b/>
        </w:rPr>
      </w:pPr>
      <w:r>
        <w:rPr>
          <w:b/>
        </w:rPr>
        <w:t>And</w:t>
      </w:r>
    </w:p>
    <w:p w:rsidR="007640EC" w:rsidRDefault="007640EC" w:rsidP="007640EC">
      <w:pPr>
        <w:pStyle w:val="NoSpacing"/>
        <w:rPr>
          <w:b/>
        </w:rPr>
      </w:pPr>
    </w:p>
    <w:p w:rsidR="007640EC" w:rsidRDefault="007640EC" w:rsidP="007640EC">
      <w:pPr>
        <w:pStyle w:val="NoSpacing"/>
        <w:rPr>
          <w:b/>
        </w:rPr>
      </w:pPr>
      <w:r>
        <w:rPr>
          <w:b/>
        </w:rPr>
        <w:t>THE SHERIFF OF THE HIGH COURT N.O.</w:t>
      </w:r>
    </w:p>
    <w:p w:rsidR="007640EC" w:rsidRDefault="007640EC" w:rsidP="007640EC">
      <w:pPr>
        <w:pStyle w:val="NoSpacing"/>
        <w:rPr>
          <w:b/>
        </w:rPr>
      </w:pPr>
    </w:p>
    <w:p w:rsidR="007640EC" w:rsidRDefault="007640EC" w:rsidP="007640EC">
      <w:pPr>
        <w:pStyle w:val="NoSpacing"/>
      </w:pPr>
      <w:r>
        <w:t>IN THE HIGH COURT OF ZIMBABWE</w:t>
      </w:r>
    </w:p>
    <w:p w:rsidR="007640EC" w:rsidRDefault="007640EC" w:rsidP="007640EC">
      <w:pPr>
        <w:pStyle w:val="NoSpacing"/>
      </w:pPr>
      <w:r>
        <w:t>MOYO J</w:t>
      </w:r>
    </w:p>
    <w:p w:rsidR="007640EC" w:rsidRDefault="007640EC" w:rsidP="007640EC">
      <w:pPr>
        <w:pStyle w:val="NoSpacing"/>
      </w:pPr>
      <w:r>
        <w:t>BULAWAYO 4 AUGUST &amp;</w:t>
      </w:r>
      <w:r w:rsidR="00232C36">
        <w:t xml:space="preserve"> 24 </w:t>
      </w:r>
      <w:r w:rsidR="000E2B83">
        <w:t xml:space="preserve">SEPTEMBER </w:t>
      </w:r>
      <w:r>
        <w:t>2020</w:t>
      </w:r>
    </w:p>
    <w:p w:rsidR="007640EC" w:rsidRDefault="007640EC" w:rsidP="007640EC">
      <w:pPr>
        <w:pStyle w:val="NoSpacing"/>
      </w:pPr>
    </w:p>
    <w:p w:rsidR="007640EC" w:rsidRDefault="007640EC" w:rsidP="007640EC">
      <w:pPr>
        <w:pStyle w:val="NoSpacing"/>
        <w:rPr>
          <w:b/>
        </w:rPr>
      </w:pPr>
      <w:r>
        <w:rPr>
          <w:b/>
        </w:rPr>
        <w:t>Urgent Chamber Application</w:t>
      </w:r>
    </w:p>
    <w:p w:rsidR="007640EC" w:rsidRDefault="007640EC" w:rsidP="007640EC">
      <w:pPr>
        <w:pStyle w:val="NoSpacing"/>
        <w:rPr>
          <w:b/>
        </w:rPr>
      </w:pPr>
    </w:p>
    <w:p w:rsidR="007640EC" w:rsidRDefault="007640EC" w:rsidP="007640EC">
      <w:pPr>
        <w:pStyle w:val="NoSpacing"/>
      </w:pPr>
      <w:r w:rsidRPr="007640EC">
        <w:rPr>
          <w:i/>
        </w:rPr>
        <w:t>A.  Madzima</w:t>
      </w:r>
      <w:r>
        <w:t xml:space="preserve"> for the applicant</w:t>
      </w:r>
    </w:p>
    <w:p w:rsidR="007640EC" w:rsidRDefault="007640EC" w:rsidP="007640EC">
      <w:pPr>
        <w:pStyle w:val="NoSpacing"/>
      </w:pPr>
      <w:r w:rsidRPr="007640EC">
        <w:rPr>
          <w:i/>
        </w:rPr>
        <w:t>E. Sarimani</w:t>
      </w:r>
      <w:r>
        <w:t xml:space="preserve"> for the 1</w:t>
      </w:r>
      <w:r w:rsidRPr="007640EC">
        <w:rPr>
          <w:vertAlign w:val="superscript"/>
        </w:rPr>
        <w:t>st</w:t>
      </w:r>
      <w:r>
        <w:t xml:space="preserve"> respondent</w:t>
      </w:r>
    </w:p>
    <w:p w:rsidR="007640EC" w:rsidRDefault="007640EC" w:rsidP="007640EC">
      <w:r>
        <w:rPr>
          <w:b/>
        </w:rPr>
        <w:tab/>
        <w:t>MOYO J:</w:t>
      </w:r>
      <w:r>
        <w:rPr>
          <w:b/>
        </w:rPr>
        <w:tab/>
      </w:r>
      <w:r w:rsidR="007F2E08">
        <w:t>The applicant in this matter seeks interim relief</w:t>
      </w:r>
      <w:r w:rsidR="00933788">
        <w:t xml:space="preserve"> </w:t>
      </w:r>
      <w:r w:rsidR="00232C36">
        <w:t>couched in the following manner:</w:t>
      </w:r>
    </w:p>
    <w:p w:rsidR="00933788" w:rsidRPr="000E2B83" w:rsidRDefault="00933788" w:rsidP="000E2B83">
      <w:pPr>
        <w:pStyle w:val="NoSpacing"/>
        <w:ind w:left="720"/>
        <w:jc w:val="both"/>
        <w:rPr>
          <w:szCs w:val="24"/>
        </w:rPr>
      </w:pPr>
      <w:r w:rsidRPr="000E2B83">
        <w:rPr>
          <w:szCs w:val="24"/>
        </w:rPr>
        <w:t>“Pending the confirmation or discharge of the order, applicant is granted the following interim relief:</w:t>
      </w:r>
    </w:p>
    <w:p w:rsidR="00933788" w:rsidRPr="000E2B83" w:rsidRDefault="00933788" w:rsidP="000E2B83">
      <w:pPr>
        <w:pStyle w:val="NoSpacing"/>
        <w:jc w:val="both"/>
        <w:rPr>
          <w:szCs w:val="24"/>
        </w:rPr>
      </w:pPr>
    </w:p>
    <w:p w:rsidR="00933788" w:rsidRPr="000E2B83" w:rsidRDefault="00933788" w:rsidP="000E2B83">
      <w:pPr>
        <w:pStyle w:val="NoSpacing"/>
        <w:numPr>
          <w:ilvl w:val="0"/>
          <w:numId w:val="2"/>
        </w:numPr>
        <w:jc w:val="both"/>
        <w:rPr>
          <w:szCs w:val="24"/>
        </w:rPr>
      </w:pPr>
      <w:r w:rsidRPr="000E2B83">
        <w:rPr>
          <w:szCs w:val="24"/>
        </w:rPr>
        <w:t>The execution of this court’s judgment under HC 2776/19 be and is hereby stayed.</w:t>
      </w:r>
    </w:p>
    <w:p w:rsidR="00933788" w:rsidRPr="000E2B83" w:rsidRDefault="00933788" w:rsidP="000E2B83">
      <w:pPr>
        <w:pStyle w:val="NoSpacing"/>
        <w:numPr>
          <w:ilvl w:val="0"/>
          <w:numId w:val="2"/>
        </w:numPr>
        <w:jc w:val="both"/>
        <w:rPr>
          <w:szCs w:val="24"/>
        </w:rPr>
      </w:pPr>
      <w:r w:rsidRPr="000E2B83">
        <w:rPr>
          <w:szCs w:val="24"/>
        </w:rPr>
        <w:t>The 3</w:t>
      </w:r>
      <w:r w:rsidRPr="000E2B83">
        <w:rPr>
          <w:szCs w:val="24"/>
          <w:vertAlign w:val="superscript"/>
        </w:rPr>
        <w:t>rd</w:t>
      </w:r>
      <w:r w:rsidRPr="000E2B83">
        <w:rPr>
          <w:szCs w:val="24"/>
        </w:rPr>
        <w:t xml:space="preserve"> respondent shall not take any steps to execute in terms of the court order dated 14 May 2020.</w:t>
      </w:r>
    </w:p>
    <w:p w:rsidR="000E2B83" w:rsidRPr="000E2B83" w:rsidRDefault="00933788" w:rsidP="000E2B83">
      <w:pPr>
        <w:pStyle w:val="NoSpacing"/>
        <w:numPr>
          <w:ilvl w:val="0"/>
          <w:numId w:val="2"/>
        </w:numPr>
        <w:jc w:val="both"/>
        <w:rPr>
          <w:szCs w:val="24"/>
        </w:rPr>
      </w:pPr>
      <w:r w:rsidRPr="000E2B83">
        <w:rPr>
          <w:szCs w:val="24"/>
        </w:rPr>
        <w:t>In the event 3</w:t>
      </w:r>
      <w:r w:rsidRPr="000E2B83">
        <w:rPr>
          <w:szCs w:val="24"/>
          <w:vertAlign w:val="superscript"/>
        </w:rPr>
        <w:t>rd</w:t>
      </w:r>
      <w:r w:rsidRPr="000E2B83">
        <w:rPr>
          <w:szCs w:val="24"/>
        </w:rPr>
        <w:t xml:space="preserve"> respondent would have executed by the time of the order, the 3</w:t>
      </w:r>
      <w:r w:rsidRPr="000E2B83">
        <w:rPr>
          <w:szCs w:val="24"/>
          <w:vertAlign w:val="superscript"/>
        </w:rPr>
        <w:t>rd</w:t>
      </w:r>
      <w:r w:rsidRPr="000E2B83">
        <w:rPr>
          <w:szCs w:val="24"/>
        </w:rPr>
        <w:t xml:space="preserve"> respondent shall restore possession to the applicant.</w:t>
      </w:r>
    </w:p>
    <w:p w:rsidR="00933788" w:rsidRPr="000E2B83" w:rsidRDefault="008905C1" w:rsidP="000E2B83">
      <w:pPr>
        <w:ind w:firstLine="720"/>
      </w:pPr>
      <w:r w:rsidRPr="000E2B83">
        <w:t>The facts of this matter are that the 1</w:t>
      </w:r>
      <w:r w:rsidRPr="000E2B83">
        <w:rPr>
          <w:vertAlign w:val="superscript"/>
        </w:rPr>
        <w:t>st</w:t>
      </w:r>
      <w:r w:rsidRPr="000E2B83">
        <w:t xml:space="preserve"> respondents obtained a provisional order against applicant on 14 </w:t>
      </w:r>
      <w:r w:rsidR="00232C36">
        <w:t>M</w:t>
      </w:r>
      <w:r w:rsidRPr="000E2B83">
        <w:t>ay 2020.  Applicant avers that it became aware of the provisional order on 22 May 2020.  The applicant then instructed its lawyers to note an appeal to the Supreme Court and a first attempt to note the appeal was made on 29 May 2020.  The Registrar queried as to why there was no appearance from leave to appeal.  A written response was made to the Registra</w:t>
      </w:r>
      <w:r w:rsidR="000E2B83" w:rsidRPr="000E2B83">
        <w:t>r</w:t>
      </w:r>
      <w:r w:rsidRPr="000E2B83">
        <w:t xml:space="preserve"> on </w:t>
      </w:r>
      <w:r w:rsidRPr="000E2B83">
        <w:lastRenderedPageBreak/>
        <w:t>5 June 2020 which response was not accepted by the Registrar.  The application for leave to appeal was then out of time so an app</w:t>
      </w:r>
      <w:r w:rsidR="00232C36">
        <w:t>lication</w:t>
      </w:r>
      <w:r w:rsidRPr="000E2B83">
        <w:t xml:space="preserve"> for condonation and that </w:t>
      </w:r>
      <w:r w:rsidR="00232C36">
        <w:t>of</w:t>
      </w:r>
      <w:r w:rsidRPr="000E2B83">
        <w:t xml:space="preserve"> leave to appeal was prepared but it was not signed on time leading to the application </w:t>
      </w:r>
      <w:r w:rsidR="00232C36">
        <w:t>being filed late on 2 July 2020.</w:t>
      </w:r>
      <w:r w:rsidRPr="000E2B83">
        <w:t xml:space="preserve"> </w:t>
      </w:r>
      <w:r w:rsidR="00232C36">
        <w:t xml:space="preserve">On 21 July 2020 </w:t>
      </w:r>
      <w:r w:rsidRPr="000E2B83">
        <w:t>applicant received a notice of removal from the Sheriff wi</w:t>
      </w:r>
      <w:r w:rsidR="00232C36">
        <w:t>th execution to be carried out on</w:t>
      </w:r>
      <w:r w:rsidRPr="000E2B83">
        <w:t xml:space="preserve"> 24 July 2020.  That resulted in the current application which was filed on 28 July 2020.  1</w:t>
      </w:r>
      <w:r w:rsidRPr="000E2B83">
        <w:rPr>
          <w:vertAlign w:val="superscript"/>
        </w:rPr>
        <w:t>st</w:t>
      </w:r>
      <w:r w:rsidRPr="000E2B83">
        <w:t xml:space="preserve"> respondent has opposed the application firstly by raising a point in limine relating to urgency and the certificate of urgency as well as that the applica</w:t>
      </w:r>
      <w:r w:rsidR="00232C36">
        <w:t>tion</w:t>
      </w:r>
      <w:r w:rsidRPr="000E2B83">
        <w:t xml:space="preserve"> has been overtaken by events as the eviction sought to be stayed has already been effected.</w:t>
      </w:r>
    </w:p>
    <w:p w:rsidR="008905C1" w:rsidRPr="000E2B83" w:rsidRDefault="00485EB9" w:rsidP="000E2B83">
      <w:pPr>
        <w:ind w:firstLine="720"/>
        <w:jc w:val="both"/>
        <w:rPr>
          <w:szCs w:val="24"/>
        </w:rPr>
      </w:pPr>
      <w:r w:rsidRPr="000E2B83">
        <w:rPr>
          <w:szCs w:val="24"/>
        </w:rPr>
        <w:t>1</w:t>
      </w:r>
      <w:r w:rsidRPr="000E2B83">
        <w:rPr>
          <w:szCs w:val="24"/>
          <w:vertAlign w:val="superscript"/>
        </w:rPr>
        <w:t>st</w:t>
      </w:r>
      <w:r w:rsidRPr="000E2B83">
        <w:rPr>
          <w:szCs w:val="24"/>
        </w:rPr>
        <w:t xml:space="preserve"> respondent avers in relation to lack of urgency that 1</w:t>
      </w:r>
      <w:r w:rsidRPr="000E2B83">
        <w:rPr>
          <w:szCs w:val="24"/>
          <w:vertAlign w:val="superscript"/>
        </w:rPr>
        <w:t>st</w:t>
      </w:r>
      <w:r w:rsidRPr="000E2B83">
        <w:rPr>
          <w:szCs w:val="24"/>
        </w:rPr>
        <w:t xml:space="preserve"> respondent became aware of the judgment on 22 May 2020 and did nothing.  That applicant</w:t>
      </w:r>
      <w:r w:rsidR="00232C36">
        <w:rPr>
          <w:szCs w:val="24"/>
        </w:rPr>
        <w:t>,</w:t>
      </w:r>
      <w:r w:rsidRPr="000E2B83">
        <w:rPr>
          <w:szCs w:val="24"/>
        </w:rPr>
        <w:t xml:space="preserve"> delayed to act and only ch</w:t>
      </w:r>
      <w:r w:rsidR="00232C36">
        <w:rPr>
          <w:szCs w:val="24"/>
        </w:rPr>
        <w:t>os</w:t>
      </w:r>
      <w:r w:rsidRPr="000E2B83">
        <w:rPr>
          <w:szCs w:val="24"/>
        </w:rPr>
        <w:t>e to act upon receipt of the notice of execution.  That applicant</w:t>
      </w:r>
      <w:r w:rsidR="00232C36">
        <w:rPr>
          <w:szCs w:val="24"/>
        </w:rPr>
        <w:t>,</w:t>
      </w:r>
      <w:r w:rsidRPr="000E2B83">
        <w:rPr>
          <w:szCs w:val="24"/>
        </w:rPr>
        <w:t xml:space="preserve"> instead chose to sit back and await the day of reckoning.  That</w:t>
      </w:r>
      <w:r w:rsidR="00232C36">
        <w:rPr>
          <w:szCs w:val="24"/>
        </w:rPr>
        <w:t>,</w:t>
      </w:r>
      <w:r w:rsidRPr="000E2B83">
        <w:rPr>
          <w:szCs w:val="24"/>
        </w:rPr>
        <w:t xml:space="preserve"> applicant’s urgency is</w:t>
      </w:r>
      <w:r w:rsidR="000E2B83" w:rsidRPr="000E2B83">
        <w:rPr>
          <w:szCs w:val="24"/>
        </w:rPr>
        <w:t xml:space="preserve"> </w:t>
      </w:r>
      <w:r w:rsidRPr="000E2B83">
        <w:rPr>
          <w:szCs w:val="24"/>
        </w:rPr>
        <w:t>thus self created.  Appl</w:t>
      </w:r>
      <w:r w:rsidR="00232C36">
        <w:rPr>
          <w:szCs w:val="24"/>
        </w:rPr>
        <w:t>icant does not dispute the course</w:t>
      </w:r>
      <w:r w:rsidRPr="000E2B83">
        <w:rPr>
          <w:szCs w:val="24"/>
        </w:rPr>
        <w:t xml:space="preserve"> of events but applicant’s counsel submitted at the hearing that without the notice of eviction or removal, there was no urgency that arose in applicant’s part.</w:t>
      </w:r>
    </w:p>
    <w:p w:rsidR="00485EB9" w:rsidRPr="000E2B83" w:rsidRDefault="00485EB9" w:rsidP="000E2B83">
      <w:pPr>
        <w:ind w:firstLine="720"/>
        <w:jc w:val="both"/>
        <w:rPr>
          <w:szCs w:val="24"/>
        </w:rPr>
      </w:pPr>
      <w:r w:rsidRPr="000E2B83">
        <w:rPr>
          <w:szCs w:val="24"/>
        </w:rPr>
        <w:t>This submission is flawed for it cuts through the very essence of urgency.  When the provisional order was granted, the eviction became inevitable, it was looming.  Applicant must ha</w:t>
      </w:r>
      <w:r w:rsidR="000E2B83" w:rsidRPr="000E2B83">
        <w:rPr>
          <w:szCs w:val="24"/>
        </w:rPr>
        <w:t>v</w:t>
      </w:r>
      <w:r w:rsidRPr="000E2B83">
        <w:rPr>
          <w:szCs w:val="24"/>
        </w:rPr>
        <w:t>e known that the Sheriff wi</w:t>
      </w:r>
      <w:r w:rsidR="000E2B83" w:rsidRPr="000E2B83">
        <w:rPr>
          <w:szCs w:val="24"/>
        </w:rPr>
        <w:t>l</w:t>
      </w:r>
      <w:r w:rsidRPr="000E2B83">
        <w:rPr>
          <w:szCs w:val="24"/>
        </w:rPr>
        <w:t>l be knocking on its door at any time to effect the provisional order.  Surely applicant did not expect 1</w:t>
      </w:r>
      <w:r w:rsidRPr="000E2B83">
        <w:rPr>
          <w:szCs w:val="24"/>
          <w:vertAlign w:val="superscript"/>
        </w:rPr>
        <w:t>st</w:t>
      </w:r>
      <w:r w:rsidRPr="000E2B83">
        <w:rPr>
          <w:szCs w:val="24"/>
        </w:rPr>
        <w:t xml:space="preserve"> respondent to seek a provisional order for the eviction of applicant’s employees only to thereafter file it away and do nothing.  The applicant should thus have acted on an urgent basis 2 months before the 28</w:t>
      </w:r>
      <w:r w:rsidRPr="000E2B83">
        <w:rPr>
          <w:szCs w:val="24"/>
          <w:vertAlign w:val="superscript"/>
        </w:rPr>
        <w:t>th</w:t>
      </w:r>
      <w:r w:rsidRPr="000E2B83">
        <w:rPr>
          <w:szCs w:val="24"/>
        </w:rPr>
        <w:t xml:space="preserve"> of July when it became necessary in its own view to undo the effects of the provisional order.  Applicant became aware of the provisional order and its detrimental effects way back in May,</w:t>
      </w:r>
      <w:r w:rsidR="000E2B83" w:rsidRPr="000E2B83">
        <w:rPr>
          <w:szCs w:val="24"/>
        </w:rPr>
        <w:t xml:space="preserve"> </w:t>
      </w:r>
      <w:r w:rsidRPr="000E2B83">
        <w:rPr>
          <w:szCs w:val="24"/>
        </w:rPr>
        <w:t xml:space="preserve">that is precisely when the urgency of the situation arose.  That is exactly the time that applicant should have been prompted to act on an urgent basis to </w:t>
      </w:r>
      <w:r w:rsidR="00703D6C" w:rsidRPr="000E2B83">
        <w:rPr>
          <w:szCs w:val="24"/>
        </w:rPr>
        <w:t>forestall the impending</w:t>
      </w:r>
      <w:r w:rsidR="000E2B83" w:rsidRPr="000E2B83">
        <w:rPr>
          <w:szCs w:val="24"/>
        </w:rPr>
        <w:t xml:space="preserve"> </w:t>
      </w:r>
      <w:r w:rsidR="00703D6C" w:rsidRPr="000E2B83">
        <w:rPr>
          <w:szCs w:val="24"/>
        </w:rPr>
        <w:t xml:space="preserve">eviction.  The need to act thus arose in </w:t>
      </w:r>
      <w:r w:rsidR="000E2B83" w:rsidRPr="000E2B83">
        <w:rPr>
          <w:szCs w:val="24"/>
        </w:rPr>
        <w:t>M</w:t>
      </w:r>
      <w:r w:rsidR="00703D6C" w:rsidRPr="000E2B83">
        <w:rPr>
          <w:szCs w:val="24"/>
        </w:rPr>
        <w:t xml:space="preserve">ay 2020, and surely it </w:t>
      </w:r>
      <w:r w:rsidR="00232C36">
        <w:rPr>
          <w:szCs w:val="24"/>
        </w:rPr>
        <w:t>could</w:t>
      </w:r>
      <w:r w:rsidR="00703D6C" w:rsidRPr="000E2B83">
        <w:rPr>
          <w:szCs w:val="24"/>
        </w:rPr>
        <w:t xml:space="preserve"> not have taken the applicant 2 months to act.  In fact</w:t>
      </w:r>
      <w:r w:rsidR="00232C36">
        <w:rPr>
          <w:szCs w:val="24"/>
        </w:rPr>
        <w:t>,</w:t>
      </w:r>
      <w:r w:rsidR="00703D6C" w:rsidRPr="000E2B83">
        <w:rPr>
          <w:szCs w:val="24"/>
        </w:rPr>
        <w:t xml:space="preserve"> clearly</w:t>
      </w:r>
      <w:r w:rsidR="00232C36">
        <w:rPr>
          <w:szCs w:val="24"/>
        </w:rPr>
        <w:t>,</w:t>
      </w:r>
      <w:r w:rsidR="00703D6C" w:rsidRPr="000E2B83">
        <w:rPr>
          <w:szCs w:val="24"/>
        </w:rPr>
        <w:t xml:space="preserve"> f</w:t>
      </w:r>
      <w:r w:rsidR="000E2B83" w:rsidRPr="000E2B83">
        <w:rPr>
          <w:szCs w:val="24"/>
        </w:rPr>
        <w:t>r</w:t>
      </w:r>
      <w:r w:rsidR="00703D6C" w:rsidRPr="000E2B83">
        <w:rPr>
          <w:szCs w:val="24"/>
        </w:rPr>
        <w:t>om applicant’s own papers, they did not see any need to jump until when they were served with the notice</w:t>
      </w:r>
      <w:r w:rsidR="000E2B83" w:rsidRPr="000E2B83">
        <w:rPr>
          <w:szCs w:val="24"/>
        </w:rPr>
        <w:t xml:space="preserve"> of eviction.  This is not the ur</w:t>
      </w:r>
      <w:r w:rsidR="00703D6C" w:rsidRPr="000E2B83">
        <w:rPr>
          <w:szCs w:val="24"/>
        </w:rPr>
        <w:t>gency envisaged by the rules.  A matter cannot be urgent when the applicant sits back and does nothing to forestall the impending d</w:t>
      </w:r>
      <w:r w:rsidR="00232C36">
        <w:rPr>
          <w:szCs w:val="24"/>
        </w:rPr>
        <w:t>oom</w:t>
      </w:r>
      <w:r w:rsidR="00703D6C" w:rsidRPr="000E2B83">
        <w:rPr>
          <w:szCs w:val="24"/>
        </w:rPr>
        <w:t xml:space="preserve"> until such a time that the </w:t>
      </w:r>
      <w:r w:rsidR="00703D6C" w:rsidRPr="000E2B83">
        <w:rPr>
          <w:szCs w:val="24"/>
        </w:rPr>
        <w:lastRenderedPageBreak/>
        <w:t>Sheriff knocks on its doors.  In such a situation the applicant will have failed to act prudently and diligently when an urgent situation requires such action from the applicant until the applicant jumps at the eleventh hour when the long expected outcome takes practical effect. This is not how a litigant exe</w:t>
      </w:r>
      <w:r w:rsidR="00232C36">
        <w:rPr>
          <w:szCs w:val="24"/>
        </w:rPr>
        <w:t>rcises</w:t>
      </w:r>
      <w:r w:rsidR="00703D6C" w:rsidRPr="000E2B83">
        <w:rPr>
          <w:szCs w:val="24"/>
        </w:rPr>
        <w:t xml:space="preserve"> their right to urgency.  Such a litigant will have neglected the situation which is clearly unfolding before their eyes, only to act at the</w:t>
      </w:r>
      <w:r w:rsidR="006B100C" w:rsidRPr="000E2B83">
        <w:rPr>
          <w:szCs w:val="24"/>
        </w:rPr>
        <w:t xml:space="preserve"> last minute when the day of reckoning has arrived.  Such a litigant cannot be accepted on the urgency platform for they themselves have not treated the matter as urgent.  Such litigant will have failed to act when the need to act arose only to be propelled into action by the day of reckoning.   Refer to the case of </w:t>
      </w:r>
      <w:r w:rsidR="006B100C" w:rsidRPr="000E2B83">
        <w:rPr>
          <w:i/>
          <w:szCs w:val="24"/>
        </w:rPr>
        <w:t>Kuvarega</w:t>
      </w:r>
      <w:r w:rsidR="006B100C" w:rsidRPr="000E2B83">
        <w:rPr>
          <w:szCs w:val="24"/>
        </w:rPr>
        <w:t xml:space="preserve"> vs </w:t>
      </w:r>
      <w:r w:rsidR="006B100C" w:rsidRPr="000E2B83">
        <w:rPr>
          <w:i/>
          <w:szCs w:val="24"/>
        </w:rPr>
        <w:t>Registrar-General</w:t>
      </w:r>
      <w:r w:rsidR="006B100C" w:rsidRPr="000E2B83">
        <w:rPr>
          <w:szCs w:val="24"/>
        </w:rPr>
        <w:t xml:space="preserve"> 1998 (1) ZLR 188 (H) on the meaning of urgency as provided for in the High Court rules.</w:t>
      </w:r>
    </w:p>
    <w:p w:rsidR="006B100C" w:rsidRPr="000E2B83" w:rsidRDefault="006B100C" w:rsidP="000E2B83">
      <w:pPr>
        <w:ind w:firstLine="720"/>
        <w:jc w:val="both"/>
        <w:rPr>
          <w:szCs w:val="24"/>
        </w:rPr>
      </w:pPr>
      <w:r w:rsidRPr="000E2B83">
        <w:rPr>
          <w:szCs w:val="24"/>
        </w:rPr>
        <w:t>I thus hold that the applicant has failed to make a case for urgency and I will not proceed to deal with the rest of the points in limine as this point on its own is sufficient to dispose of the matter.</w:t>
      </w:r>
    </w:p>
    <w:p w:rsidR="006B100C" w:rsidRPr="000E2B83" w:rsidRDefault="006B100C" w:rsidP="000E2B83">
      <w:pPr>
        <w:ind w:left="360"/>
        <w:jc w:val="both"/>
        <w:rPr>
          <w:szCs w:val="24"/>
        </w:rPr>
      </w:pPr>
      <w:r w:rsidRPr="000E2B83">
        <w:rPr>
          <w:szCs w:val="24"/>
        </w:rPr>
        <w:tab/>
        <w:t>I accordingly uphold the point in limine and order as follows:</w:t>
      </w:r>
    </w:p>
    <w:p w:rsidR="006B100C" w:rsidRPr="000E2B83" w:rsidRDefault="006B100C" w:rsidP="000E2B83">
      <w:pPr>
        <w:ind w:left="360" w:firstLine="360"/>
        <w:jc w:val="both"/>
        <w:rPr>
          <w:szCs w:val="24"/>
        </w:rPr>
      </w:pPr>
      <w:r w:rsidRPr="000E2B83">
        <w:rPr>
          <w:szCs w:val="24"/>
        </w:rPr>
        <w:t>The application is accordingly struck off the roll of urgent matters with applicant bearing the costs.</w:t>
      </w:r>
    </w:p>
    <w:p w:rsidR="006B100C" w:rsidRPr="000E2B83" w:rsidRDefault="006B100C" w:rsidP="000E2B83">
      <w:pPr>
        <w:ind w:left="360"/>
        <w:jc w:val="both"/>
        <w:rPr>
          <w:szCs w:val="24"/>
        </w:rPr>
      </w:pPr>
    </w:p>
    <w:p w:rsidR="006B100C" w:rsidRDefault="006B100C" w:rsidP="000E2B83">
      <w:pPr>
        <w:pStyle w:val="NoSpacing"/>
        <w:jc w:val="both"/>
        <w:rPr>
          <w:szCs w:val="24"/>
        </w:rPr>
      </w:pPr>
    </w:p>
    <w:p w:rsidR="000E2B83" w:rsidRPr="000E2B83" w:rsidRDefault="000E2B83" w:rsidP="000E2B83">
      <w:pPr>
        <w:pStyle w:val="NoSpacing"/>
        <w:jc w:val="both"/>
        <w:rPr>
          <w:szCs w:val="24"/>
        </w:rPr>
      </w:pPr>
    </w:p>
    <w:p w:rsidR="006B100C" w:rsidRPr="000E2B83" w:rsidRDefault="006B100C" w:rsidP="000E2B83">
      <w:pPr>
        <w:pStyle w:val="NoSpacing"/>
        <w:jc w:val="both"/>
        <w:rPr>
          <w:szCs w:val="24"/>
        </w:rPr>
      </w:pPr>
      <w:r w:rsidRPr="000E2B83">
        <w:rPr>
          <w:i/>
          <w:szCs w:val="24"/>
        </w:rPr>
        <w:t>Farai &amp; Associates</w:t>
      </w:r>
      <w:r w:rsidRPr="000E2B83">
        <w:rPr>
          <w:szCs w:val="24"/>
        </w:rPr>
        <w:t>, 1</w:t>
      </w:r>
      <w:r w:rsidRPr="000E2B83">
        <w:rPr>
          <w:szCs w:val="24"/>
          <w:vertAlign w:val="superscript"/>
        </w:rPr>
        <w:t>st</w:t>
      </w:r>
      <w:r w:rsidRPr="000E2B83">
        <w:rPr>
          <w:szCs w:val="24"/>
        </w:rPr>
        <w:t xml:space="preserve"> respondent’s legal practitioners</w:t>
      </w:r>
    </w:p>
    <w:p w:rsidR="006B100C" w:rsidRPr="000E2B83" w:rsidRDefault="006B100C" w:rsidP="000E2B83">
      <w:pPr>
        <w:pStyle w:val="NoSpacing"/>
        <w:jc w:val="both"/>
        <w:rPr>
          <w:szCs w:val="24"/>
        </w:rPr>
      </w:pPr>
      <w:r w:rsidRPr="000E2B83">
        <w:rPr>
          <w:i/>
          <w:szCs w:val="24"/>
        </w:rPr>
        <w:t>Coghlan &amp; Welsh</w:t>
      </w:r>
      <w:r w:rsidRPr="000E2B83">
        <w:rPr>
          <w:szCs w:val="24"/>
        </w:rPr>
        <w:t>, applicant’s legal practitioners</w:t>
      </w:r>
    </w:p>
    <w:p w:rsidR="007640EC" w:rsidRPr="000E2B83" w:rsidRDefault="007640EC" w:rsidP="000E2B83">
      <w:pPr>
        <w:pStyle w:val="NoSpacing"/>
        <w:jc w:val="both"/>
        <w:rPr>
          <w:szCs w:val="24"/>
        </w:rPr>
      </w:pPr>
    </w:p>
    <w:sectPr w:rsidR="007640EC" w:rsidRPr="000E2B8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B0" w:rsidRDefault="001C72B0" w:rsidP="007640EC">
      <w:pPr>
        <w:spacing w:before="0" w:after="0" w:line="240" w:lineRule="auto"/>
      </w:pPr>
      <w:r>
        <w:separator/>
      </w:r>
    </w:p>
  </w:endnote>
  <w:endnote w:type="continuationSeparator" w:id="1">
    <w:p w:rsidR="001C72B0" w:rsidRDefault="001C72B0" w:rsidP="007640E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B0" w:rsidRDefault="001C72B0" w:rsidP="007640EC">
      <w:pPr>
        <w:spacing w:before="0" w:after="0" w:line="240" w:lineRule="auto"/>
      </w:pPr>
      <w:r>
        <w:separator/>
      </w:r>
    </w:p>
  </w:footnote>
  <w:footnote w:type="continuationSeparator" w:id="1">
    <w:p w:rsidR="001C72B0" w:rsidRDefault="001C72B0" w:rsidP="007640E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103"/>
      <w:docPartObj>
        <w:docPartGallery w:val="Page Numbers (Top of Page)"/>
        <w:docPartUnique/>
      </w:docPartObj>
    </w:sdtPr>
    <w:sdtContent>
      <w:p w:rsidR="00703D6C" w:rsidRDefault="00DC70D5">
        <w:pPr>
          <w:pStyle w:val="Header"/>
          <w:jc w:val="right"/>
        </w:pPr>
        <w:fldSimple w:instr=" PAGE   \* MERGEFORMAT ">
          <w:r w:rsidR="00232C36">
            <w:rPr>
              <w:noProof/>
            </w:rPr>
            <w:t>2</w:t>
          </w:r>
        </w:fldSimple>
      </w:p>
      <w:p w:rsidR="00703D6C" w:rsidRDefault="00232C36" w:rsidP="00232C36">
        <w:pPr>
          <w:pStyle w:val="NoSpacing"/>
          <w:ind w:left="7920"/>
        </w:pPr>
        <w:r>
          <w:t xml:space="preserve">     HB</w:t>
        </w:r>
        <w:r w:rsidR="00703D6C">
          <w:t>.</w:t>
        </w:r>
        <w:r>
          <w:t>198/</w:t>
        </w:r>
        <w:r w:rsidR="00703D6C">
          <w:t>20</w:t>
        </w:r>
      </w:p>
      <w:p w:rsidR="00703D6C" w:rsidRDefault="00232C36" w:rsidP="00232C36">
        <w:pPr>
          <w:pStyle w:val="NoSpacing"/>
          <w:ind w:left="7920"/>
        </w:pPr>
        <w:r>
          <w:t xml:space="preserve">    </w:t>
        </w:r>
        <w:r w:rsidR="00703D6C">
          <w:t>HC 1140/20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151DD"/>
    <w:multiLevelType w:val="hybridMultilevel"/>
    <w:tmpl w:val="6644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991B8F"/>
    <w:multiLevelType w:val="hybridMultilevel"/>
    <w:tmpl w:val="42A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40EC"/>
    <w:rsid w:val="00081618"/>
    <w:rsid w:val="000E2B83"/>
    <w:rsid w:val="001016D4"/>
    <w:rsid w:val="001C72B0"/>
    <w:rsid w:val="001D126B"/>
    <w:rsid w:val="00232C36"/>
    <w:rsid w:val="002C7F8A"/>
    <w:rsid w:val="003A3365"/>
    <w:rsid w:val="003E5BAA"/>
    <w:rsid w:val="00477B02"/>
    <w:rsid w:val="0048390B"/>
    <w:rsid w:val="00485EB9"/>
    <w:rsid w:val="0054317D"/>
    <w:rsid w:val="0068662E"/>
    <w:rsid w:val="006A03C9"/>
    <w:rsid w:val="006B100C"/>
    <w:rsid w:val="00701C30"/>
    <w:rsid w:val="00703D6C"/>
    <w:rsid w:val="007640EC"/>
    <w:rsid w:val="007B49A6"/>
    <w:rsid w:val="007D0B26"/>
    <w:rsid w:val="007D2790"/>
    <w:rsid w:val="007F2E08"/>
    <w:rsid w:val="008905C1"/>
    <w:rsid w:val="008A7672"/>
    <w:rsid w:val="008C3209"/>
    <w:rsid w:val="00933788"/>
    <w:rsid w:val="009E5C1A"/>
    <w:rsid w:val="00A50BC8"/>
    <w:rsid w:val="00C61900"/>
    <w:rsid w:val="00D20B4C"/>
    <w:rsid w:val="00DC70D5"/>
    <w:rsid w:val="00E10C27"/>
    <w:rsid w:val="00E234F5"/>
    <w:rsid w:val="00FB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640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40EC"/>
    <w:rPr>
      <w:rFonts w:ascii="Times New Roman" w:hAnsi="Times New Roman"/>
      <w:sz w:val="24"/>
    </w:rPr>
  </w:style>
  <w:style w:type="paragraph" w:styleId="Footer">
    <w:name w:val="footer"/>
    <w:basedOn w:val="Normal"/>
    <w:link w:val="FooterChar"/>
    <w:uiPriority w:val="99"/>
    <w:semiHidden/>
    <w:unhideWhenUsed/>
    <w:rsid w:val="007640E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640E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2020-09-22T06:46:00Z</cp:lastPrinted>
  <dcterms:created xsi:type="dcterms:W3CDTF">2020-09-18T07:42:00Z</dcterms:created>
  <dcterms:modified xsi:type="dcterms:W3CDTF">2020-09-22T06:47:00Z</dcterms:modified>
</cp:coreProperties>
</file>