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FC7" w:rsidRDefault="00702563">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KENSINGTON CENTRE (PRIVATE) LIMITED</w:t>
      </w:r>
    </w:p>
    <w:p w:rsidR="00862FC7" w:rsidRDefault="00702563">
      <w:pPr>
        <w:spacing w:after="0" w:line="240" w:lineRule="auto"/>
        <w:jc w:val="both"/>
        <w:rPr>
          <w:rFonts w:ascii="Times New Roman" w:hAnsi="Times New Roman"/>
          <w:sz w:val="24"/>
          <w:szCs w:val="24"/>
        </w:rPr>
      </w:pPr>
      <w:r>
        <w:rPr>
          <w:rFonts w:ascii="Times New Roman" w:hAnsi="Times New Roman"/>
          <w:sz w:val="24"/>
          <w:szCs w:val="24"/>
        </w:rPr>
        <w:t>versus</w:t>
      </w:r>
    </w:p>
    <w:p w:rsidR="00862FC7" w:rsidRDefault="00702563">
      <w:pPr>
        <w:spacing w:after="0" w:line="240" w:lineRule="auto"/>
        <w:jc w:val="both"/>
        <w:rPr>
          <w:rFonts w:ascii="Times New Roman" w:hAnsi="Times New Roman"/>
          <w:sz w:val="24"/>
          <w:szCs w:val="24"/>
        </w:rPr>
      </w:pPr>
      <w:r>
        <w:rPr>
          <w:rFonts w:ascii="Times New Roman" w:hAnsi="Times New Roman"/>
          <w:sz w:val="24"/>
          <w:szCs w:val="24"/>
        </w:rPr>
        <w:t>VALIS BAKERY (PRIVATE) LIMITED</w:t>
      </w:r>
    </w:p>
    <w:p w:rsidR="00862FC7" w:rsidRDefault="00862FC7">
      <w:pPr>
        <w:spacing w:after="0" w:line="240" w:lineRule="auto"/>
        <w:jc w:val="both"/>
        <w:rPr>
          <w:rFonts w:ascii="Times New Roman" w:hAnsi="Times New Roman"/>
          <w:sz w:val="24"/>
          <w:szCs w:val="24"/>
        </w:rPr>
      </w:pPr>
    </w:p>
    <w:p w:rsidR="00862FC7" w:rsidRDefault="00862FC7">
      <w:pPr>
        <w:spacing w:after="0" w:line="240" w:lineRule="auto"/>
        <w:jc w:val="both"/>
        <w:rPr>
          <w:rFonts w:ascii="Times New Roman" w:hAnsi="Times New Roman"/>
          <w:sz w:val="24"/>
          <w:szCs w:val="24"/>
        </w:rPr>
      </w:pPr>
    </w:p>
    <w:p w:rsidR="00862FC7" w:rsidRDefault="00702563">
      <w:pPr>
        <w:spacing w:after="0" w:line="240" w:lineRule="auto"/>
        <w:jc w:val="both"/>
        <w:rPr>
          <w:rFonts w:ascii="Times New Roman" w:hAnsi="Times New Roman"/>
          <w:sz w:val="24"/>
          <w:szCs w:val="24"/>
        </w:rPr>
      </w:pPr>
      <w:r>
        <w:rPr>
          <w:rFonts w:ascii="Times New Roman" w:hAnsi="Times New Roman"/>
          <w:sz w:val="24"/>
          <w:szCs w:val="24"/>
        </w:rPr>
        <w:t>HIGH COURT OF ZIMBABWE</w:t>
      </w:r>
    </w:p>
    <w:p w:rsidR="00862FC7" w:rsidRDefault="00702563">
      <w:pPr>
        <w:spacing w:after="0" w:line="240" w:lineRule="auto"/>
        <w:jc w:val="both"/>
        <w:rPr>
          <w:rFonts w:ascii="Times New Roman" w:hAnsi="Times New Roman"/>
          <w:b/>
          <w:bCs/>
          <w:sz w:val="24"/>
          <w:szCs w:val="24"/>
        </w:rPr>
      </w:pPr>
      <w:r>
        <w:rPr>
          <w:rFonts w:ascii="Times New Roman" w:hAnsi="Times New Roman"/>
          <w:b/>
          <w:bCs/>
          <w:sz w:val="24"/>
          <w:szCs w:val="24"/>
        </w:rPr>
        <w:t>MUSHURE J</w:t>
      </w:r>
    </w:p>
    <w:p w:rsidR="00862FC7" w:rsidRDefault="00702563">
      <w:pPr>
        <w:spacing w:after="0" w:line="240" w:lineRule="auto"/>
        <w:jc w:val="both"/>
        <w:rPr>
          <w:rFonts w:ascii="Times New Roman" w:hAnsi="Times New Roman"/>
          <w:sz w:val="24"/>
          <w:szCs w:val="24"/>
        </w:rPr>
      </w:pPr>
      <w:r>
        <w:rPr>
          <w:rFonts w:ascii="Times New Roman" w:hAnsi="Times New Roman"/>
          <w:sz w:val="24"/>
          <w:szCs w:val="24"/>
        </w:rPr>
        <w:t xml:space="preserve">HARARE; 27 March &amp; 24 April 2025 </w:t>
      </w:r>
    </w:p>
    <w:p w:rsidR="00862FC7" w:rsidRDefault="00862FC7">
      <w:pPr>
        <w:spacing w:after="0" w:line="240" w:lineRule="auto"/>
        <w:jc w:val="both"/>
        <w:rPr>
          <w:rFonts w:ascii="Times New Roman" w:hAnsi="Times New Roman"/>
          <w:sz w:val="24"/>
          <w:szCs w:val="24"/>
        </w:rPr>
      </w:pPr>
    </w:p>
    <w:p w:rsidR="00862FC7" w:rsidRDefault="00862FC7">
      <w:pPr>
        <w:spacing w:after="0" w:line="240" w:lineRule="auto"/>
        <w:jc w:val="both"/>
        <w:rPr>
          <w:rFonts w:ascii="Times New Roman" w:hAnsi="Times New Roman"/>
          <w:sz w:val="24"/>
          <w:szCs w:val="24"/>
        </w:rPr>
      </w:pPr>
    </w:p>
    <w:p w:rsidR="00862FC7" w:rsidRDefault="00702563">
      <w:pPr>
        <w:spacing w:after="0"/>
        <w:jc w:val="both"/>
        <w:rPr>
          <w:rFonts w:ascii="Times New Roman" w:hAnsi="Times New Roman"/>
          <w:b/>
          <w:sz w:val="24"/>
          <w:szCs w:val="24"/>
        </w:rPr>
      </w:pPr>
      <w:r>
        <w:rPr>
          <w:rFonts w:ascii="Times New Roman" w:hAnsi="Times New Roman"/>
          <w:b/>
          <w:sz w:val="24"/>
          <w:szCs w:val="24"/>
        </w:rPr>
        <w:t>Opposed application for a declaratur</w:t>
      </w:r>
    </w:p>
    <w:p w:rsidR="00862FC7" w:rsidRDefault="00862FC7">
      <w:pPr>
        <w:pStyle w:val="NoSpacing"/>
        <w:jc w:val="both"/>
        <w:rPr>
          <w:i/>
        </w:rPr>
      </w:pPr>
    </w:p>
    <w:p w:rsidR="00862FC7" w:rsidRDefault="00862FC7">
      <w:pPr>
        <w:pStyle w:val="NoSpacing"/>
        <w:jc w:val="both"/>
        <w:rPr>
          <w:i/>
        </w:rPr>
      </w:pPr>
    </w:p>
    <w:p w:rsidR="00862FC7" w:rsidRDefault="00702563">
      <w:pPr>
        <w:pStyle w:val="NoSpacing"/>
        <w:jc w:val="both"/>
        <w:rPr>
          <w:rFonts w:ascii="Times New Roman" w:hAnsi="Times New Roman" w:cs="Times New Roman"/>
          <w:sz w:val="24"/>
          <w:szCs w:val="24"/>
        </w:rPr>
      </w:pPr>
      <w:r>
        <w:rPr>
          <w:rFonts w:ascii="Times New Roman" w:hAnsi="Times New Roman" w:cs="Times New Roman"/>
          <w:i/>
          <w:sz w:val="24"/>
          <w:szCs w:val="24"/>
        </w:rPr>
        <w:t>T Zhuwarara,</w:t>
      </w:r>
      <w:r>
        <w:rPr>
          <w:rFonts w:ascii="Times New Roman" w:hAnsi="Times New Roman" w:cs="Times New Roman"/>
          <w:sz w:val="24"/>
          <w:szCs w:val="24"/>
        </w:rPr>
        <w:t xml:space="preserve"> for the applicant</w:t>
      </w:r>
    </w:p>
    <w:p w:rsidR="00862FC7" w:rsidRDefault="00702563">
      <w:pPr>
        <w:spacing w:after="0" w:line="240" w:lineRule="auto"/>
        <w:jc w:val="both"/>
        <w:rPr>
          <w:rFonts w:ascii="Times New Roman" w:hAnsi="Times New Roman"/>
          <w:sz w:val="24"/>
          <w:szCs w:val="24"/>
        </w:rPr>
      </w:pPr>
      <w:r>
        <w:rPr>
          <w:rFonts w:ascii="Times New Roman" w:hAnsi="Times New Roman"/>
          <w:i/>
          <w:sz w:val="24"/>
          <w:szCs w:val="24"/>
        </w:rPr>
        <w:t>T Mpofu &amp; A Rubaya</w:t>
      </w:r>
      <w:r>
        <w:rPr>
          <w:rFonts w:ascii="Times New Roman" w:hAnsi="Times New Roman"/>
          <w:sz w:val="24"/>
          <w:szCs w:val="24"/>
        </w:rPr>
        <w:t xml:space="preserve">, for the respondent </w:t>
      </w:r>
    </w:p>
    <w:p w:rsidR="00862FC7" w:rsidRDefault="00862FC7">
      <w:pPr>
        <w:spacing w:after="0" w:line="240" w:lineRule="auto"/>
        <w:jc w:val="both"/>
        <w:rPr>
          <w:rFonts w:ascii="Times New Roman" w:hAnsi="Times New Roman"/>
          <w:sz w:val="24"/>
          <w:szCs w:val="24"/>
        </w:rPr>
      </w:pPr>
    </w:p>
    <w:p w:rsidR="00862FC7" w:rsidRDefault="00702563">
      <w:pPr>
        <w:tabs>
          <w:tab w:val="left" w:pos="720"/>
          <w:tab w:val="left" w:pos="1440"/>
          <w:tab w:val="left" w:pos="2160"/>
          <w:tab w:val="left" w:pos="66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MUSHURE J:</w:t>
      </w:r>
      <w:r>
        <w:rPr>
          <w:rFonts w:ascii="Times New Roman" w:hAnsi="Times New Roman" w:cs="Times New Roman"/>
          <w:sz w:val="24"/>
          <w:szCs w:val="24"/>
        </w:rPr>
        <w:tab/>
      </w:r>
      <w:r>
        <w:rPr>
          <w:rFonts w:ascii="Times New Roman" w:hAnsi="Times New Roman" w:cs="Times New Roman"/>
          <w:sz w:val="24"/>
          <w:szCs w:val="24"/>
        </w:rPr>
        <w:tab/>
      </w:r>
    </w:p>
    <w:p w:rsidR="00862FC7" w:rsidRDefault="00862FC7">
      <w:pPr>
        <w:spacing w:after="0" w:line="240" w:lineRule="auto"/>
        <w:jc w:val="both"/>
        <w:rPr>
          <w:rFonts w:ascii="Times New Roman" w:hAnsi="Times New Roman" w:cs="Times New Roman"/>
          <w:sz w:val="24"/>
          <w:szCs w:val="24"/>
          <w:u w:val="single"/>
        </w:rPr>
      </w:pPr>
    </w:p>
    <w:p w:rsidR="00862FC7" w:rsidRDefault="00702563">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I have before me an opposed application for a declaratur and consequential relief filed in terms of s14 of the High Court Act [</w:t>
      </w:r>
      <w:r>
        <w:rPr>
          <w:rFonts w:ascii="Times New Roman" w:hAnsi="Times New Roman" w:cs="Times New Roman"/>
          <w:i/>
          <w:sz w:val="24"/>
          <w:szCs w:val="24"/>
        </w:rPr>
        <w:t>Chapter 7:06</w:t>
      </w:r>
      <w:r>
        <w:rPr>
          <w:rFonts w:ascii="Times New Roman" w:hAnsi="Times New Roman" w:cs="Times New Roman"/>
          <w:sz w:val="24"/>
          <w:szCs w:val="24"/>
        </w:rPr>
        <w:t>]. The applicant seeks the following order:-</w:t>
      </w:r>
    </w:p>
    <w:p w:rsidR="00862FC7" w:rsidRDefault="00702563">
      <w:pPr>
        <w:pStyle w:val="ListParagraph"/>
        <w:numPr>
          <w:ilvl w:val="3"/>
          <w:numId w:val="1"/>
        </w:numPr>
        <w:tabs>
          <w:tab w:val="left" w:pos="270"/>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The application for a declaratur be and is hereby granted. </w:t>
      </w:r>
    </w:p>
    <w:p w:rsidR="00862FC7" w:rsidRDefault="00702563">
      <w:pPr>
        <w:pStyle w:val="ListParagraph"/>
        <w:numPr>
          <w:ilvl w:val="3"/>
          <w:numId w:val="1"/>
        </w:numPr>
        <w:tabs>
          <w:tab w:val="left" w:pos="27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It is declared that the respondent is not a statutory tenant of the applicant and enjoys no statutory protection under the Commercial Premises (Rent) Regulations, 1983.</w:t>
      </w:r>
    </w:p>
    <w:p w:rsidR="00862FC7" w:rsidRDefault="00702563">
      <w:pPr>
        <w:pStyle w:val="ListParagraph"/>
        <w:tabs>
          <w:tab w:val="left" w:pos="270"/>
        </w:tabs>
        <w:spacing w:after="0" w:line="240" w:lineRule="auto"/>
        <w:ind w:left="2171"/>
        <w:jc w:val="both"/>
        <w:rPr>
          <w:rFonts w:ascii="Times New Roman" w:hAnsi="Times New Roman" w:cs="Times New Roman"/>
          <w:sz w:val="24"/>
          <w:szCs w:val="24"/>
          <w:u w:val="single"/>
        </w:rPr>
      </w:pPr>
      <w:r>
        <w:rPr>
          <w:rFonts w:ascii="Times New Roman" w:hAnsi="Times New Roman" w:cs="Times New Roman"/>
          <w:sz w:val="24"/>
          <w:szCs w:val="24"/>
        </w:rPr>
        <w:t xml:space="preserve">Consequently </w:t>
      </w:r>
    </w:p>
    <w:p w:rsidR="00862FC7" w:rsidRDefault="00702563">
      <w:pPr>
        <w:pStyle w:val="ListParagraph"/>
        <w:numPr>
          <w:ilvl w:val="3"/>
          <w:numId w:val="1"/>
        </w:numPr>
        <w:tabs>
          <w:tab w:val="left" w:pos="27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The respondent, and all those claiming occupation through it, be and are hereby ejected from a certain commercial premises being shops 10 and 11 Kensington Centre, Kensington, Harare. </w:t>
      </w:r>
    </w:p>
    <w:p w:rsidR="00862FC7" w:rsidRDefault="00702563">
      <w:pPr>
        <w:pStyle w:val="ListParagraph"/>
        <w:numPr>
          <w:ilvl w:val="3"/>
          <w:numId w:val="1"/>
        </w:numPr>
        <w:tabs>
          <w:tab w:val="left" w:pos="27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The respondent shall pay costs of this application </w:t>
      </w:r>
    </w:p>
    <w:p w:rsidR="00862FC7" w:rsidRDefault="00862FC7">
      <w:pPr>
        <w:pStyle w:val="ListParagraph"/>
        <w:tabs>
          <w:tab w:val="left" w:pos="270"/>
        </w:tabs>
        <w:spacing w:after="0" w:line="360" w:lineRule="auto"/>
        <w:ind w:left="2171"/>
        <w:jc w:val="both"/>
        <w:rPr>
          <w:rFonts w:ascii="Times New Roman" w:hAnsi="Times New Roman" w:cs="Times New Roman"/>
          <w:b/>
          <w:sz w:val="24"/>
          <w:szCs w:val="24"/>
          <w:u w:val="single"/>
        </w:rPr>
      </w:pPr>
    </w:p>
    <w:p w:rsidR="00862FC7" w:rsidRDefault="00702563">
      <w:pPr>
        <w:tabs>
          <w:tab w:val="left" w:pos="270"/>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BACKGROUND</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The fa</w:t>
      </w:r>
      <w:r>
        <w:rPr>
          <w:rFonts w:ascii="Times New Roman" w:hAnsi="Times New Roman" w:cs="Times New Roman"/>
          <w:sz w:val="24"/>
          <w:szCs w:val="24"/>
        </w:rPr>
        <w:t xml:space="preserve">cts emerging from this suit are largely common cause. I summarise them as follows- The applicant has been leasing its commercial premises being stand 66 Kensington Estate measuring 2951 square metres in extent, commonly known as shops 10 and 11 Kensington </w:t>
      </w:r>
      <w:r>
        <w:rPr>
          <w:rFonts w:ascii="Times New Roman" w:hAnsi="Times New Roman" w:cs="Times New Roman"/>
          <w:sz w:val="24"/>
          <w:szCs w:val="24"/>
        </w:rPr>
        <w:t xml:space="preserve">Centre, to the respondent. The lease has subsisted for a period in excess of twenty-five years. To give effect to the lease, the parties have been entering into periodic lease agreements.  The last lease agreement, for the period 1 September </w:t>
      </w:r>
      <w:r>
        <w:rPr>
          <w:rFonts w:ascii="Times New Roman" w:hAnsi="Times New Roman" w:cs="Times New Roman"/>
          <w:sz w:val="24"/>
          <w:szCs w:val="24"/>
        </w:rPr>
        <w:lastRenderedPageBreak/>
        <w:t>2019 to 31 Dec</w:t>
      </w:r>
      <w:r>
        <w:rPr>
          <w:rFonts w:ascii="Times New Roman" w:hAnsi="Times New Roman" w:cs="Times New Roman"/>
          <w:sz w:val="24"/>
          <w:szCs w:val="24"/>
        </w:rPr>
        <w:t>ember 2020, was executed on 12 September 2019. This lease agreement is the genesis of the legal dispute between the parties. From the record, the applicant unilaterally increased the rentals payable by the respondent contrary to the terms of the lease agre</w:t>
      </w:r>
      <w:r>
        <w:rPr>
          <w:rFonts w:ascii="Times New Roman" w:hAnsi="Times New Roman" w:cs="Times New Roman"/>
          <w:sz w:val="24"/>
          <w:szCs w:val="24"/>
        </w:rPr>
        <w:t xml:space="preserve">ement. This dispute spilled into the magistrates’ court at the instance of the applicant where it obtained an order for the cancellation of the lease agreement, the eviction of the respondent, payment of arrear rentals and levies/ operating costs, payment </w:t>
      </w:r>
      <w:r>
        <w:rPr>
          <w:rFonts w:ascii="Times New Roman" w:hAnsi="Times New Roman" w:cs="Times New Roman"/>
          <w:sz w:val="24"/>
          <w:szCs w:val="24"/>
        </w:rPr>
        <w:t xml:space="preserve">of holding over damages, interest and costs of suit. </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Both parties raised grievances with the decision of the Magistrates’ Court and appealed to this court under CIV ‘A’ 416-22. In this court, the applicant prayed for part of the Magistrates’ Court order t</w:t>
      </w:r>
      <w:r>
        <w:rPr>
          <w:rFonts w:ascii="Times New Roman" w:hAnsi="Times New Roman" w:cs="Times New Roman"/>
          <w:sz w:val="24"/>
          <w:szCs w:val="24"/>
        </w:rPr>
        <w:t>o be set aside only to the extent that it did not specify the period from which the respondent was supposed to pay holding over damages. Unfortunately, the applicant was not successful on the basis that it had filed its cross-appeal out of time. On the oth</w:t>
      </w:r>
      <w:r>
        <w:rPr>
          <w:rFonts w:ascii="Times New Roman" w:hAnsi="Times New Roman" w:cs="Times New Roman"/>
          <w:sz w:val="24"/>
          <w:szCs w:val="24"/>
        </w:rPr>
        <w:t xml:space="preserve">er hand, the court found in favour of the respondent and allowed the appeal in its entirety. The appeal turned on the unilateral increase of the rentals. </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Pursuant to the appeal, the applicant offered the respondent a new one year lease for 2024. The parti</w:t>
      </w:r>
      <w:r>
        <w:rPr>
          <w:rFonts w:ascii="Times New Roman" w:hAnsi="Times New Roman" w:cs="Times New Roman"/>
          <w:sz w:val="24"/>
          <w:szCs w:val="24"/>
        </w:rPr>
        <w:t>es failed to agree. On 6 December 2023, the applicant issued the respondent with a notice to vacate its commercial premises within seven days of receipt of the notice. The respondent did not budge. The applicant approached the Magistrates’ Court seeking co</w:t>
      </w:r>
      <w:r>
        <w:rPr>
          <w:rFonts w:ascii="Times New Roman" w:hAnsi="Times New Roman" w:cs="Times New Roman"/>
          <w:sz w:val="24"/>
          <w:szCs w:val="24"/>
        </w:rPr>
        <w:t>nfirmation of the termination of the lease agreement, the respondent’s ejectment, holding over damages and costs of suit. According to the magistrates’ court record, three issues had been referred to it for trial, namely whether s22 and 23 of the Rent Regu</w:t>
      </w:r>
      <w:r>
        <w:rPr>
          <w:rFonts w:ascii="Times New Roman" w:hAnsi="Times New Roman" w:cs="Times New Roman"/>
          <w:sz w:val="24"/>
          <w:szCs w:val="24"/>
        </w:rPr>
        <w:t>lations Act (</w:t>
      </w:r>
      <w:r>
        <w:rPr>
          <w:rFonts w:ascii="Times New Roman" w:hAnsi="Times New Roman" w:cs="Times New Roman"/>
          <w:i/>
          <w:sz w:val="24"/>
          <w:szCs w:val="24"/>
        </w:rPr>
        <w:t>sic</w:t>
      </w:r>
      <w:r>
        <w:rPr>
          <w:rFonts w:ascii="Times New Roman" w:hAnsi="Times New Roman" w:cs="Times New Roman"/>
          <w:sz w:val="24"/>
          <w:szCs w:val="24"/>
        </w:rPr>
        <w:t xml:space="preserve">) still form part of the law in light of the High Court declaratur in </w:t>
      </w:r>
      <w:r>
        <w:rPr>
          <w:rFonts w:ascii="Times New Roman" w:hAnsi="Times New Roman" w:cs="Times New Roman"/>
          <w:i/>
          <w:sz w:val="24"/>
          <w:szCs w:val="24"/>
        </w:rPr>
        <w:t xml:space="preserve">Elnour United Engineering Group </w:t>
      </w:r>
      <w:r>
        <w:rPr>
          <w:rFonts w:ascii="Times New Roman" w:hAnsi="Times New Roman" w:cs="Times New Roman"/>
          <w:sz w:val="24"/>
          <w:szCs w:val="24"/>
        </w:rPr>
        <w:t>v</w:t>
      </w:r>
      <w:r>
        <w:rPr>
          <w:rFonts w:ascii="Times New Roman" w:hAnsi="Times New Roman" w:cs="Times New Roman"/>
          <w:i/>
          <w:sz w:val="24"/>
          <w:szCs w:val="24"/>
        </w:rPr>
        <w:t xml:space="preserve"> Ministry of Industry and Commerce</w:t>
      </w:r>
      <w:r>
        <w:rPr>
          <w:rFonts w:ascii="Times New Roman" w:hAnsi="Times New Roman" w:cs="Times New Roman"/>
          <w:sz w:val="24"/>
          <w:szCs w:val="24"/>
        </w:rPr>
        <w:t xml:space="preserve"> HH81-23, whether the matter was </w:t>
      </w:r>
      <w:r>
        <w:rPr>
          <w:rFonts w:ascii="Times New Roman" w:hAnsi="Times New Roman" w:cs="Times New Roman"/>
          <w:i/>
          <w:sz w:val="24"/>
          <w:szCs w:val="24"/>
        </w:rPr>
        <w:t>res judicata</w:t>
      </w:r>
      <w:r>
        <w:rPr>
          <w:rFonts w:ascii="Times New Roman" w:hAnsi="Times New Roman" w:cs="Times New Roman"/>
          <w:sz w:val="24"/>
          <w:szCs w:val="24"/>
        </w:rPr>
        <w:t xml:space="preserve"> and whether the respondent had any legal basis to remain </w:t>
      </w:r>
      <w:r>
        <w:rPr>
          <w:rFonts w:ascii="Times New Roman" w:hAnsi="Times New Roman" w:cs="Times New Roman"/>
          <w:sz w:val="24"/>
          <w:szCs w:val="24"/>
        </w:rPr>
        <w:t xml:space="preserve">in occupation of the applicant’s premises.  </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At the end of the applicant’s case, the magistrates’ court granted the respondent’s application for absolution from the instance. In coming up with its decision, the magistrates court found that the applicant’s </w:t>
      </w:r>
      <w:r>
        <w:rPr>
          <w:rFonts w:ascii="Times New Roman" w:hAnsi="Times New Roman" w:cs="Times New Roman"/>
          <w:sz w:val="24"/>
          <w:szCs w:val="24"/>
        </w:rPr>
        <w:t xml:space="preserve">sole witness had not presented any proof that she was a duly authorised representative of the applicant. The court also found that the applicant had not addressed an issue relating to the prescription of its cause of action on </w:t>
      </w:r>
      <w:r>
        <w:rPr>
          <w:rFonts w:ascii="Times New Roman" w:hAnsi="Times New Roman" w:cs="Times New Roman"/>
          <w:sz w:val="24"/>
          <w:szCs w:val="24"/>
        </w:rPr>
        <w:lastRenderedPageBreak/>
        <w:t>31 December 2023 and that the</w:t>
      </w:r>
      <w:r>
        <w:rPr>
          <w:rFonts w:ascii="Times New Roman" w:hAnsi="Times New Roman" w:cs="Times New Roman"/>
          <w:sz w:val="24"/>
          <w:szCs w:val="24"/>
        </w:rPr>
        <w:t xml:space="preserve"> applicant was supposed to have instituted proceedings against the respondent on the basis of the lease agreement having expired on 31 December 2020. The court further found that the decision in </w:t>
      </w:r>
      <w:r>
        <w:rPr>
          <w:rFonts w:ascii="Times New Roman" w:hAnsi="Times New Roman" w:cs="Times New Roman"/>
          <w:i/>
          <w:sz w:val="24"/>
          <w:szCs w:val="24"/>
        </w:rPr>
        <w:t xml:space="preserve">Elnour United Engineering Group supra </w:t>
      </w:r>
      <w:r>
        <w:rPr>
          <w:rFonts w:ascii="Times New Roman" w:hAnsi="Times New Roman" w:cs="Times New Roman"/>
          <w:sz w:val="24"/>
          <w:szCs w:val="24"/>
        </w:rPr>
        <w:t xml:space="preserve">is yet to be confirmed </w:t>
      </w:r>
      <w:r>
        <w:rPr>
          <w:rFonts w:ascii="Times New Roman" w:hAnsi="Times New Roman" w:cs="Times New Roman"/>
          <w:sz w:val="24"/>
          <w:szCs w:val="24"/>
        </w:rPr>
        <w:t xml:space="preserve">by the Constitutional Court. The court ruled that no allegation of breach had been made on the part of the respondent. The court </w:t>
      </w:r>
      <w:r>
        <w:rPr>
          <w:rFonts w:ascii="Times New Roman" w:hAnsi="Times New Roman" w:cs="Times New Roman"/>
          <w:i/>
          <w:iCs/>
          <w:sz w:val="24"/>
          <w:szCs w:val="24"/>
        </w:rPr>
        <w:t xml:space="preserve">a </w:t>
      </w:r>
      <w:r>
        <w:rPr>
          <w:rFonts w:ascii="Times New Roman" w:hAnsi="Times New Roman" w:cs="Times New Roman"/>
          <w:i/>
          <w:sz w:val="24"/>
          <w:szCs w:val="24"/>
        </w:rPr>
        <w:t>quo</w:t>
      </w:r>
      <w:r>
        <w:rPr>
          <w:rFonts w:ascii="Times New Roman" w:hAnsi="Times New Roman" w:cs="Times New Roman"/>
          <w:sz w:val="24"/>
          <w:szCs w:val="24"/>
        </w:rPr>
        <w:t xml:space="preserve"> concluded that </w:t>
      </w:r>
    </w:p>
    <w:p w:rsidR="00862FC7" w:rsidRDefault="00702563">
      <w:pPr>
        <w:pStyle w:val="ListParagraph"/>
        <w:tabs>
          <w:tab w:val="left" w:pos="270"/>
        </w:tabs>
        <w:spacing w:line="240" w:lineRule="auto"/>
        <w:ind w:left="1440"/>
        <w:jc w:val="both"/>
        <w:rPr>
          <w:rFonts w:ascii="Times New Roman" w:hAnsi="Times New Roman" w:cs="Times New Roman"/>
          <w:b/>
          <w:sz w:val="24"/>
          <w:szCs w:val="24"/>
          <w:u w:val="single"/>
        </w:rPr>
      </w:pPr>
      <w:r>
        <w:rPr>
          <w:rFonts w:ascii="Times New Roman" w:hAnsi="Times New Roman" w:cs="Times New Roman"/>
          <w:szCs w:val="24"/>
        </w:rPr>
        <w:t xml:space="preserve">“In </w:t>
      </w:r>
      <w:r>
        <w:rPr>
          <w:rFonts w:ascii="Times New Roman" w:hAnsi="Times New Roman" w:cs="Times New Roman"/>
          <w:i/>
          <w:szCs w:val="24"/>
        </w:rPr>
        <w:t>casu</w:t>
      </w:r>
      <w:r>
        <w:rPr>
          <w:rFonts w:ascii="Times New Roman" w:hAnsi="Times New Roman" w:cs="Times New Roman"/>
          <w:szCs w:val="24"/>
        </w:rPr>
        <w:t>, the court was satisfied that plaintiff (applicant herein) did not present sufficient evidence w</w:t>
      </w:r>
      <w:r>
        <w:rPr>
          <w:rFonts w:ascii="Times New Roman" w:hAnsi="Times New Roman" w:cs="Times New Roman"/>
          <w:szCs w:val="24"/>
        </w:rPr>
        <w:t>arranting putting defendant (respondent herein) to its defence. No proof of authorization was presented, the judgment being relied on was not confirmed by the constitutional court and the aspect of prescription was not addressed. The court was therefore no</w:t>
      </w:r>
      <w:r>
        <w:rPr>
          <w:rFonts w:ascii="Times New Roman" w:hAnsi="Times New Roman" w:cs="Times New Roman"/>
          <w:szCs w:val="24"/>
        </w:rPr>
        <w:t xml:space="preserve">t satisfied that a </w:t>
      </w:r>
      <w:r>
        <w:rPr>
          <w:rFonts w:ascii="Times New Roman" w:hAnsi="Times New Roman" w:cs="Times New Roman"/>
          <w:i/>
          <w:szCs w:val="24"/>
        </w:rPr>
        <w:t>prima facie</w:t>
      </w:r>
      <w:r>
        <w:rPr>
          <w:rFonts w:ascii="Times New Roman" w:hAnsi="Times New Roman" w:cs="Times New Roman"/>
          <w:szCs w:val="24"/>
        </w:rPr>
        <w:t xml:space="preserve"> case was presented</w:t>
      </w:r>
      <w:r>
        <w:rPr>
          <w:rFonts w:ascii="Times New Roman" w:hAnsi="Times New Roman" w:cs="Times New Roman"/>
          <w:sz w:val="24"/>
          <w:szCs w:val="24"/>
        </w:rPr>
        <w:t xml:space="preserve">.” </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Aggrieved by the Magistrates’ Court decision, the applicant instituted the current proceedings seeking a declaratur that the respondent is not its statutory tenant and cannot shelter under the provisions</w:t>
      </w:r>
      <w:r>
        <w:rPr>
          <w:rFonts w:ascii="Times New Roman" w:hAnsi="Times New Roman" w:cs="Times New Roman"/>
          <w:sz w:val="24"/>
          <w:szCs w:val="24"/>
        </w:rPr>
        <w:t xml:space="preserve"> of s22 and s23 of the Commercial Premises (Rent) Regulations, 1983 as such provisions were adjudged to be </w:t>
      </w:r>
      <w:r>
        <w:rPr>
          <w:rFonts w:ascii="Times New Roman" w:hAnsi="Times New Roman" w:cs="Times New Roman"/>
          <w:i/>
          <w:sz w:val="24"/>
          <w:szCs w:val="24"/>
        </w:rPr>
        <w:t>ultra vires</w:t>
      </w:r>
      <w:r>
        <w:rPr>
          <w:rFonts w:ascii="Times New Roman" w:hAnsi="Times New Roman" w:cs="Times New Roman"/>
          <w:sz w:val="24"/>
          <w:szCs w:val="24"/>
        </w:rPr>
        <w:t xml:space="preserve"> the Commercial (Lease Control) Act. The application is being resisted by the respondent. </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When the matter was placed before me for set do</w:t>
      </w:r>
      <w:r>
        <w:rPr>
          <w:rFonts w:ascii="Times New Roman" w:hAnsi="Times New Roman" w:cs="Times New Roman"/>
          <w:sz w:val="24"/>
          <w:szCs w:val="24"/>
        </w:rPr>
        <w:t xml:space="preserve">wn, it struck me that the applicant was aggrieved by an extant decision of the Magistrates’ Court. The issue that exercised my mind was the procedural competency of the application in light of the Supreme Court decision in </w:t>
      </w:r>
      <w:r>
        <w:rPr>
          <w:rFonts w:ascii="Times New Roman" w:hAnsi="Times New Roman" w:cs="Times New Roman"/>
          <w:i/>
          <w:sz w:val="24"/>
          <w:szCs w:val="24"/>
        </w:rPr>
        <w:t xml:space="preserve">Elephant College </w:t>
      </w:r>
      <w:r>
        <w:rPr>
          <w:rFonts w:ascii="Times New Roman" w:hAnsi="Times New Roman" w:cs="Times New Roman"/>
          <w:sz w:val="24"/>
          <w:szCs w:val="24"/>
        </w:rPr>
        <w:t>v</w:t>
      </w:r>
      <w:r>
        <w:rPr>
          <w:rFonts w:ascii="Times New Roman" w:hAnsi="Times New Roman" w:cs="Times New Roman"/>
          <w:i/>
          <w:sz w:val="24"/>
          <w:szCs w:val="24"/>
        </w:rPr>
        <w:t xml:space="preserve"> Chiyangwa &amp; An</w:t>
      </w:r>
      <w:r>
        <w:rPr>
          <w:rFonts w:ascii="Times New Roman" w:hAnsi="Times New Roman" w:cs="Times New Roman"/>
          <w:i/>
          <w:sz w:val="24"/>
          <w:szCs w:val="24"/>
        </w:rPr>
        <w:t xml:space="preserve">or </w:t>
      </w:r>
      <w:r>
        <w:rPr>
          <w:rFonts w:ascii="Times New Roman" w:hAnsi="Times New Roman" w:cs="Times New Roman"/>
          <w:sz w:val="24"/>
          <w:szCs w:val="24"/>
        </w:rPr>
        <w:t>2020 (1) ZLR 1287 (S). In that case, the Supreme Court settled the position of the law that the discretion granted by s14 of the High Court Act to inquire into and determine any existing, future or contingent right or obligation, notwithstanding that th</w:t>
      </w:r>
      <w:r>
        <w:rPr>
          <w:rFonts w:ascii="Times New Roman" w:hAnsi="Times New Roman" w:cs="Times New Roman"/>
          <w:sz w:val="24"/>
          <w:szCs w:val="24"/>
        </w:rPr>
        <w:t xml:space="preserve">e person approaching it cannot claim any relief consequential upon such determination, is not exercisable where the right or obligation has already been determined by another competent court. Such an extant judgment can only be vacated by way of appeal or </w:t>
      </w:r>
      <w:r>
        <w:rPr>
          <w:rFonts w:ascii="Times New Roman" w:hAnsi="Times New Roman" w:cs="Times New Roman"/>
          <w:sz w:val="24"/>
          <w:szCs w:val="24"/>
        </w:rPr>
        <w:t xml:space="preserve">review. </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On 14 March 2025, when the matter was initially due for argument, Mr </w:t>
      </w:r>
      <w:r>
        <w:rPr>
          <w:rFonts w:ascii="Times New Roman" w:hAnsi="Times New Roman" w:cs="Times New Roman"/>
          <w:i/>
          <w:sz w:val="24"/>
          <w:szCs w:val="24"/>
        </w:rPr>
        <w:t>Zhuwarara,</w:t>
      </w:r>
      <w:r>
        <w:rPr>
          <w:rFonts w:ascii="Times New Roman" w:hAnsi="Times New Roman" w:cs="Times New Roman"/>
          <w:sz w:val="24"/>
          <w:szCs w:val="24"/>
        </w:rPr>
        <w:t xml:space="preserve"> for the applicant, and Mr </w:t>
      </w:r>
      <w:r>
        <w:rPr>
          <w:rFonts w:ascii="Times New Roman" w:hAnsi="Times New Roman" w:cs="Times New Roman"/>
          <w:i/>
          <w:sz w:val="24"/>
          <w:szCs w:val="24"/>
        </w:rPr>
        <w:t>Mpofu,</w:t>
      </w:r>
      <w:r>
        <w:rPr>
          <w:rFonts w:ascii="Times New Roman" w:hAnsi="Times New Roman" w:cs="Times New Roman"/>
          <w:sz w:val="24"/>
          <w:szCs w:val="24"/>
        </w:rPr>
        <w:t xml:space="preserve"> for the respondent, requested to see me in chambers. They alerted me that Mr </w:t>
      </w:r>
      <w:r>
        <w:rPr>
          <w:rFonts w:ascii="Times New Roman" w:hAnsi="Times New Roman" w:cs="Times New Roman"/>
          <w:i/>
          <w:sz w:val="24"/>
          <w:szCs w:val="24"/>
        </w:rPr>
        <w:t xml:space="preserve">Mpofu </w:t>
      </w:r>
      <w:r>
        <w:rPr>
          <w:rFonts w:ascii="Times New Roman" w:hAnsi="Times New Roman" w:cs="Times New Roman"/>
          <w:sz w:val="24"/>
          <w:szCs w:val="24"/>
        </w:rPr>
        <w:t xml:space="preserve">had put Mr </w:t>
      </w:r>
      <w:r>
        <w:rPr>
          <w:rFonts w:ascii="Times New Roman" w:hAnsi="Times New Roman" w:cs="Times New Roman"/>
          <w:i/>
          <w:sz w:val="24"/>
          <w:szCs w:val="24"/>
        </w:rPr>
        <w:t>Zhuwarara</w:t>
      </w:r>
      <w:r>
        <w:rPr>
          <w:rFonts w:ascii="Times New Roman" w:hAnsi="Times New Roman" w:cs="Times New Roman"/>
          <w:sz w:val="24"/>
          <w:szCs w:val="24"/>
        </w:rPr>
        <w:t xml:space="preserve"> on notice that he intended to raise a preliminary point on the procedure adopted by the applicant on the authority of </w:t>
      </w:r>
      <w:r>
        <w:rPr>
          <w:rFonts w:ascii="Times New Roman" w:hAnsi="Times New Roman" w:cs="Times New Roman"/>
          <w:i/>
          <w:sz w:val="24"/>
          <w:szCs w:val="24"/>
        </w:rPr>
        <w:t xml:space="preserve">Nyaguwa </w:t>
      </w:r>
      <w:r>
        <w:rPr>
          <w:rFonts w:ascii="Times New Roman" w:hAnsi="Times New Roman" w:cs="Times New Roman"/>
          <w:sz w:val="24"/>
          <w:szCs w:val="24"/>
        </w:rPr>
        <w:t>v</w:t>
      </w:r>
      <w:r>
        <w:rPr>
          <w:rFonts w:ascii="Times New Roman" w:hAnsi="Times New Roman" w:cs="Times New Roman"/>
          <w:i/>
          <w:sz w:val="24"/>
          <w:szCs w:val="24"/>
        </w:rPr>
        <w:t xml:space="preserve"> Gwinyayi </w:t>
      </w:r>
      <w:r>
        <w:rPr>
          <w:rFonts w:ascii="Times New Roman" w:hAnsi="Times New Roman" w:cs="Times New Roman"/>
          <w:sz w:val="24"/>
          <w:szCs w:val="24"/>
        </w:rPr>
        <w:t xml:space="preserve">1981 ZLR 25. Both parties had agreed to seek a postponement of the matter to allow Mr </w:t>
      </w:r>
      <w:r>
        <w:rPr>
          <w:rFonts w:ascii="Times New Roman" w:hAnsi="Times New Roman" w:cs="Times New Roman"/>
          <w:i/>
          <w:sz w:val="24"/>
          <w:szCs w:val="24"/>
        </w:rPr>
        <w:t>Zhuwarara</w:t>
      </w:r>
      <w:r>
        <w:rPr>
          <w:rFonts w:ascii="Times New Roman" w:hAnsi="Times New Roman" w:cs="Times New Roman"/>
          <w:sz w:val="24"/>
          <w:szCs w:val="24"/>
        </w:rPr>
        <w:t xml:space="preserve"> time to prepare supple</w:t>
      </w:r>
      <w:r>
        <w:rPr>
          <w:rFonts w:ascii="Times New Roman" w:hAnsi="Times New Roman" w:cs="Times New Roman"/>
          <w:sz w:val="24"/>
          <w:szCs w:val="24"/>
        </w:rPr>
        <w:t xml:space="preserve">mentary heads of argument on the issue. I </w:t>
      </w:r>
      <w:r>
        <w:rPr>
          <w:rFonts w:ascii="Times New Roman" w:hAnsi="Times New Roman" w:cs="Times New Roman"/>
          <w:sz w:val="24"/>
          <w:szCs w:val="24"/>
        </w:rPr>
        <w:lastRenderedPageBreak/>
        <w:t xml:space="preserve">obliged them and at the same time, took the opportunity to bring to counsel’s attention the decision in </w:t>
      </w:r>
      <w:r>
        <w:rPr>
          <w:rFonts w:ascii="Times New Roman" w:hAnsi="Times New Roman" w:cs="Times New Roman"/>
          <w:i/>
          <w:sz w:val="24"/>
          <w:szCs w:val="24"/>
        </w:rPr>
        <w:t>Elephant College supra</w:t>
      </w:r>
      <w:r>
        <w:rPr>
          <w:rFonts w:ascii="Times New Roman" w:hAnsi="Times New Roman" w:cs="Times New Roman"/>
          <w:sz w:val="24"/>
          <w:szCs w:val="24"/>
        </w:rPr>
        <w:t xml:space="preserve"> so that they could address their minds to the decision, if necessary. Per their agreeme</w:t>
      </w:r>
      <w:r>
        <w:rPr>
          <w:rFonts w:ascii="Times New Roman" w:hAnsi="Times New Roman" w:cs="Times New Roman"/>
          <w:sz w:val="24"/>
          <w:szCs w:val="24"/>
        </w:rPr>
        <w:t xml:space="preserve">nt, Mr </w:t>
      </w:r>
      <w:r>
        <w:rPr>
          <w:rFonts w:ascii="Times New Roman" w:hAnsi="Times New Roman" w:cs="Times New Roman"/>
          <w:i/>
          <w:sz w:val="24"/>
          <w:szCs w:val="24"/>
        </w:rPr>
        <w:t>Zhuwarara</w:t>
      </w:r>
      <w:r>
        <w:rPr>
          <w:rFonts w:ascii="Times New Roman" w:hAnsi="Times New Roman" w:cs="Times New Roman"/>
          <w:sz w:val="24"/>
          <w:szCs w:val="24"/>
        </w:rPr>
        <w:t xml:space="preserve"> would file his supplementary heads of argument by not later than the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2025, and the respondent would file its supplementary heads of argument, if need be, by not later than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2025. By consent of both parties, I</w:t>
      </w:r>
      <w:r>
        <w:rPr>
          <w:rFonts w:ascii="Times New Roman" w:hAnsi="Times New Roman" w:cs="Times New Roman"/>
          <w:sz w:val="24"/>
          <w:szCs w:val="24"/>
        </w:rPr>
        <w:t xml:space="preserve"> postponed the matter to 27 March 2025, for argument. Mr </w:t>
      </w:r>
      <w:r>
        <w:rPr>
          <w:rFonts w:ascii="Times New Roman" w:hAnsi="Times New Roman" w:cs="Times New Roman"/>
          <w:i/>
          <w:sz w:val="24"/>
          <w:szCs w:val="24"/>
        </w:rPr>
        <w:t>Zhuwarara</w:t>
      </w:r>
      <w:r>
        <w:rPr>
          <w:rFonts w:ascii="Times New Roman" w:hAnsi="Times New Roman" w:cs="Times New Roman"/>
          <w:sz w:val="24"/>
          <w:szCs w:val="24"/>
        </w:rPr>
        <w:t xml:space="preserve"> only filed his supplementary heads on 24 March 2025. </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In the supplementary heads of argument, Mr </w:t>
      </w:r>
      <w:r>
        <w:rPr>
          <w:rFonts w:ascii="Times New Roman" w:hAnsi="Times New Roman" w:cs="Times New Roman"/>
          <w:i/>
          <w:sz w:val="24"/>
          <w:szCs w:val="24"/>
        </w:rPr>
        <w:t>Zhuwarara</w:t>
      </w:r>
      <w:r>
        <w:rPr>
          <w:rFonts w:ascii="Times New Roman" w:hAnsi="Times New Roman" w:cs="Times New Roman"/>
          <w:sz w:val="24"/>
          <w:szCs w:val="24"/>
        </w:rPr>
        <w:t xml:space="preserve"> took the position that the application was procedurally competent and substantivel</w:t>
      </w:r>
      <w:r>
        <w:rPr>
          <w:rFonts w:ascii="Times New Roman" w:hAnsi="Times New Roman" w:cs="Times New Roman"/>
          <w:sz w:val="24"/>
          <w:szCs w:val="24"/>
        </w:rPr>
        <w:t xml:space="preserve">y tenable. He drew the attention of the court to the decisions in </w:t>
      </w:r>
      <w:r>
        <w:rPr>
          <w:rFonts w:ascii="Times New Roman" w:hAnsi="Times New Roman" w:cs="Times New Roman"/>
          <w:i/>
          <w:sz w:val="24"/>
          <w:szCs w:val="24"/>
        </w:rPr>
        <w:t xml:space="preserve">MC Plumbing (Private) Limited </w:t>
      </w:r>
      <w:r>
        <w:rPr>
          <w:rFonts w:ascii="Times New Roman" w:hAnsi="Times New Roman" w:cs="Times New Roman"/>
          <w:sz w:val="24"/>
          <w:szCs w:val="24"/>
        </w:rPr>
        <w:t xml:space="preserve">v </w:t>
      </w:r>
      <w:r>
        <w:rPr>
          <w:rFonts w:ascii="Times New Roman" w:hAnsi="Times New Roman" w:cs="Times New Roman"/>
          <w:i/>
          <w:sz w:val="24"/>
          <w:szCs w:val="24"/>
        </w:rPr>
        <w:t xml:space="preserve">Hualong Construction (Private) Limited </w:t>
      </w:r>
      <w:r>
        <w:rPr>
          <w:rFonts w:ascii="Times New Roman" w:hAnsi="Times New Roman" w:cs="Times New Roman"/>
          <w:sz w:val="24"/>
          <w:szCs w:val="24"/>
        </w:rPr>
        <w:t xml:space="preserve">2015 (1) ZLR 138 (H); </w:t>
      </w:r>
      <w:r>
        <w:rPr>
          <w:rFonts w:ascii="Times New Roman" w:hAnsi="Times New Roman" w:cs="Times New Roman"/>
          <w:i/>
          <w:sz w:val="24"/>
          <w:szCs w:val="24"/>
        </w:rPr>
        <w:t xml:space="preserve">Sibanda </w:t>
      </w:r>
      <w:r>
        <w:rPr>
          <w:rFonts w:ascii="Times New Roman" w:hAnsi="Times New Roman" w:cs="Times New Roman"/>
          <w:sz w:val="24"/>
          <w:szCs w:val="24"/>
        </w:rPr>
        <w:t>v</w:t>
      </w:r>
      <w:r>
        <w:rPr>
          <w:rFonts w:ascii="Times New Roman" w:hAnsi="Times New Roman" w:cs="Times New Roman"/>
          <w:i/>
          <w:sz w:val="24"/>
          <w:szCs w:val="24"/>
        </w:rPr>
        <w:t xml:space="preserve"> Chikumba &amp; Anor</w:t>
      </w:r>
      <w:r>
        <w:rPr>
          <w:rFonts w:ascii="Times New Roman" w:hAnsi="Times New Roman" w:cs="Times New Roman"/>
          <w:sz w:val="24"/>
          <w:szCs w:val="24"/>
        </w:rPr>
        <w:t xml:space="preserve"> 2014 (1) ZLR 219 (H), </w:t>
      </w:r>
      <w:r>
        <w:rPr>
          <w:rFonts w:ascii="Times New Roman" w:hAnsi="Times New Roman" w:cs="Times New Roman"/>
          <w:i/>
          <w:sz w:val="24"/>
          <w:szCs w:val="24"/>
        </w:rPr>
        <w:t xml:space="preserve">Tshuma </w:t>
      </w:r>
      <w:r>
        <w:rPr>
          <w:rFonts w:ascii="Times New Roman" w:hAnsi="Times New Roman" w:cs="Times New Roman"/>
          <w:sz w:val="24"/>
          <w:szCs w:val="24"/>
        </w:rPr>
        <w:t>v</w:t>
      </w:r>
      <w:r>
        <w:rPr>
          <w:rFonts w:ascii="Times New Roman" w:hAnsi="Times New Roman" w:cs="Times New Roman"/>
          <w:i/>
          <w:sz w:val="24"/>
          <w:szCs w:val="24"/>
        </w:rPr>
        <w:t xml:space="preserve"> Musemburi &amp; Ors</w:t>
      </w:r>
      <w:r>
        <w:rPr>
          <w:rFonts w:ascii="Times New Roman" w:hAnsi="Times New Roman" w:cs="Times New Roman"/>
          <w:sz w:val="24"/>
          <w:szCs w:val="24"/>
        </w:rPr>
        <w:t xml:space="preserve"> 2001 (1) 342 (H), </w:t>
      </w:r>
      <w:r>
        <w:rPr>
          <w:rFonts w:ascii="Times New Roman" w:hAnsi="Times New Roman" w:cs="Times New Roman"/>
          <w:i/>
          <w:sz w:val="24"/>
          <w:szCs w:val="24"/>
        </w:rPr>
        <w:t>Stream</w:t>
      </w:r>
      <w:r>
        <w:rPr>
          <w:rFonts w:ascii="Times New Roman" w:hAnsi="Times New Roman" w:cs="Times New Roman"/>
          <w:i/>
          <w:sz w:val="24"/>
          <w:szCs w:val="24"/>
        </w:rPr>
        <w:t xml:space="preserve">sleigh Investments (Private)  Limited </w:t>
      </w:r>
      <w:r>
        <w:rPr>
          <w:rFonts w:ascii="Times New Roman" w:hAnsi="Times New Roman" w:cs="Times New Roman"/>
          <w:sz w:val="24"/>
          <w:szCs w:val="24"/>
        </w:rPr>
        <w:t>v</w:t>
      </w:r>
      <w:r>
        <w:rPr>
          <w:rFonts w:ascii="Times New Roman" w:hAnsi="Times New Roman" w:cs="Times New Roman"/>
          <w:i/>
          <w:sz w:val="24"/>
          <w:szCs w:val="24"/>
        </w:rPr>
        <w:t xml:space="preserve"> Autoband Investments (Private) Limited </w:t>
      </w:r>
      <w:r>
        <w:rPr>
          <w:rFonts w:ascii="Times New Roman" w:hAnsi="Times New Roman" w:cs="Times New Roman"/>
          <w:sz w:val="24"/>
          <w:szCs w:val="24"/>
        </w:rPr>
        <w:t xml:space="preserve">2014 (1) ZLR 736 (S) and </w:t>
      </w:r>
      <w:r>
        <w:rPr>
          <w:rFonts w:ascii="Times New Roman" w:hAnsi="Times New Roman" w:cs="Times New Roman"/>
          <w:i/>
          <w:sz w:val="24"/>
          <w:szCs w:val="24"/>
        </w:rPr>
        <w:t xml:space="preserve">Bulawayo Bottlers (Private) Limited </w:t>
      </w:r>
      <w:r>
        <w:rPr>
          <w:rFonts w:ascii="Times New Roman" w:hAnsi="Times New Roman" w:cs="Times New Roman"/>
          <w:sz w:val="24"/>
          <w:szCs w:val="24"/>
        </w:rPr>
        <w:t xml:space="preserve">v </w:t>
      </w:r>
      <w:r>
        <w:rPr>
          <w:rFonts w:ascii="Times New Roman" w:hAnsi="Times New Roman" w:cs="Times New Roman"/>
          <w:i/>
          <w:sz w:val="24"/>
          <w:szCs w:val="24"/>
        </w:rPr>
        <w:t>Minister of Labour &amp; Ors</w:t>
      </w:r>
      <w:r>
        <w:rPr>
          <w:rFonts w:ascii="Times New Roman" w:hAnsi="Times New Roman" w:cs="Times New Roman"/>
          <w:sz w:val="24"/>
          <w:szCs w:val="24"/>
        </w:rPr>
        <w:t xml:space="preserve"> 1988 (2) ZLR 129 (HC). </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Mr </w:t>
      </w:r>
      <w:r>
        <w:rPr>
          <w:rFonts w:ascii="Times New Roman" w:hAnsi="Times New Roman" w:cs="Times New Roman"/>
          <w:i/>
          <w:sz w:val="24"/>
          <w:szCs w:val="24"/>
        </w:rPr>
        <w:t>Zhuwarara</w:t>
      </w:r>
      <w:r>
        <w:rPr>
          <w:rFonts w:ascii="Times New Roman" w:hAnsi="Times New Roman" w:cs="Times New Roman"/>
          <w:sz w:val="24"/>
          <w:szCs w:val="24"/>
        </w:rPr>
        <w:t>’s main argument was that the present matter is distinguishable because the magistrates’ court ruling is an absolution from the instance and is not dispositive of the matter. He argued that an absolution from the instance does not preclude a party from ins</w:t>
      </w:r>
      <w:r>
        <w:rPr>
          <w:rFonts w:ascii="Times New Roman" w:hAnsi="Times New Roman" w:cs="Times New Roman"/>
          <w:sz w:val="24"/>
          <w:szCs w:val="24"/>
        </w:rPr>
        <w:t xml:space="preserve">tituting fresh proceedings founded on the same cause of action barring prescription. He contended that the decision in the magistrates’ court cannot serve as the basis for a plea of </w:t>
      </w:r>
      <w:r>
        <w:rPr>
          <w:rFonts w:ascii="Times New Roman" w:hAnsi="Times New Roman" w:cs="Times New Roman"/>
          <w:i/>
          <w:sz w:val="24"/>
          <w:szCs w:val="24"/>
        </w:rPr>
        <w:t>res judicata</w:t>
      </w:r>
      <w:r>
        <w:rPr>
          <w:rFonts w:ascii="Times New Roman" w:hAnsi="Times New Roman" w:cs="Times New Roman"/>
          <w:sz w:val="24"/>
          <w:szCs w:val="24"/>
        </w:rPr>
        <w:t xml:space="preserve"> as contended by the respondent. He contended, further, that d</w:t>
      </w:r>
      <w:r>
        <w:rPr>
          <w:rFonts w:ascii="Times New Roman" w:hAnsi="Times New Roman" w:cs="Times New Roman"/>
          <w:sz w:val="24"/>
          <w:szCs w:val="24"/>
        </w:rPr>
        <w:t>eclaratory orders lie in the exclusive jurisdiction of the High Court and such an order may be sought even where prior litigation has occurred in a forum lacking such competence. It was his submission that a party who has previously instituted eviction pro</w:t>
      </w:r>
      <w:r>
        <w:rPr>
          <w:rFonts w:ascii="Times New Roman" w:hAnsi="Times New Roman" w:cs="Times New Roman"/>
          <w:sz w:val="24"/>
          <w:szCs w:val="24"/>
        </w:rPr>
        <w:t>ceedings in the magistrates’ court is not precluded from approaching the High Court for a pronouncement on the legal status of the parties’ rights and obligations. He submitted, further, that the availability of alternative remedies such as appeal or revie</w:t>
      </w:r>
      <w:r>
        <w:rPr>
          <w:rFonts w:ascii="Times New Roman" w:hAnsi="Times New Roman" w:cs="Times New Roman"/>
          <w:sz w:val="24"/>
          <w:szCs w:val="24"/>
        </w:rPr>
        <w:t xml:space="preserve">w did not </w:t>
      </w:r>
      <w:r>
        <w:rPr>
          <w:rFonts w:ascii="Times New Roman" w:hAnsi="Times New Roman" w:cs="Times New Roman"/>
          <w:i/>
          <w:sz w:val="24"/>
          <w:szCs w:val="24"/>
        </w:rPr>
        <w:t>ipso facto</w:t>
      </w:r>
      <w:r>
        <w:rPr>
          <w:rFonts w:ascii="Times New Roman" w:hAnsi="Times New Roman" w:cs="Times New Roman"/>
          <w:sz w:val="24"/>
          <w:szCs w:val="24"/>
        </w:rPr>
        <w:t xml:space="preserve"> oust the jurisdiction of a superior court to grant declaratory relief where a justifiable controversy persists. He argued that declaratory proceedings, in their nature and purpose, serve to authoritatively determine legal uncertainty a</w:t>
      </w:r>
      <w:r>
        <w:rPr>
          <w:rFonts w:ascii="Times New Roman" w:hAnsi="Times New Roman" w:cs="Times New Roman"/>
          <w:sz w:val="24"/>
          <w:szCs w:val="24"/>
        </w:rPr>
        <w:t>nd to avert protracted and convoluted litigation.</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lastRenderedPageBreak/>
        <w:t xml:space="preserve">At the hearing of the matter, both parties maintained their respective positions. Mr </w:t>
      </w:r>
      <w:r>
        <w:rPr>
          <w:rFonts w:ascii="Times New Roman" w:hAnsi="Times New Roman" w:cs="Times New Roman"/>
          <w:i/>
          <w:sz w:val="24"/>
          <w:szCs w:val="24"/>
        </w:rPr>
        <w:t xml:space="preserve">Mpofu </w:t>
      </w:r>
      <w:r>
        <w:rPr>
          <w:rFonts w:ascii="Times New Roman" w:hAnsi="Times New Roman" w:cs="Times New Roman"/>
          <w:sz w:val="24"/>
          <w:szCs w:val="24"/>
        </w:rPr>
        <w:t xml:space="preserve">relying on the decision in </w:t>
      </w:r>
      <w:r>
        <w:rPr>
          <w:rFonts w:ascii="Times New Roman" w:hAnsi="Times New Roman" w:cs="Times New Roman"/>
          <w:i/>
          <w:sz w:val="24"/>
          <w:szCs w:val="24"/>
        </w:rPr>
        <w:t xml:space="preserve">Nyaguwa </w:t>
      </w:r>
      <w:r>
        <w:rPr>
          <w:rFonts w:ascii="Times New Roman" w:hAnsi="Times New Roman" w:cs="Times New Roman"/>
          <w:sz w:val="24"/>
          <w:szCs w:val="24"/>
        </w:rPr>
        <w:t>v</w:t>
      </w:r>
      <w:r>
        <w:rPr>
          <w:rFonts w:ascii="Times New Roman" w:hAnsi="Times New Roman" w:cs="Times New Roman"/>
          <w:i/>
          <w:sz w:val="24"/>
          <w:szCs w:val="24"/>
        </w:rPr>
        <w:t xml:space="preserve"> Gwinyayi supra</w:t>
      </w:r>
      <w:r>
        <w:rPr>
          <w:rFonts w:ascii="Times New Roman" w:hAnsi="Times New Roman" w:cs="Times New Roman"/>
          <w:sz w:val="24"/>
          <w:szCs w:val="24"/>
        </w:rPr>
        <w:t>, urged this court to decline to hear the matter on the basis th</w:t>
      </w:r>
      <w:r>
        <w:rPr>
          <w:rFonts w:ascii="Times New Roman" w:hAnsi="Times New Roman" w:cs="Times New Roman"/>
          <w:sz w:val="24"/>
          <w:szCs w:val="24"/>
        </w:rPr>
        <w:t xml:space="preserve">at there is an extant decision of the magistrates’ court over the same issue and it would be improper to adjudicate over this matter in any other form other than an appeal or review. Per </w:t>
      </w:r>
      <w:r>
        <w:rPr>
          <w:rFonts w:ascii="Times New Roman" w:hAnsi="Times New Roman" w:cs="Times New Roman"/>
          <w:i/>
          <w:sz w:val="24"/>
          <w:szCs w:val="24"/>
        </w:rPr>
        <w:t>contra</w:t>
      </w:r>
      <w:r>
        <w:rPr>
          <w:rFonts w:ascii="Times New Roman" w:hAnsi="Times New Roman" w:cs="Times New Roman"/>
          <w:sz w:val="24"/>
          <w:szCs w:val="24"/>
        </w:rPr>
        <w:t xml:space="preserve">, Mr </w:t>
      </w:r>
      <w:r>
        <w:rPr>
          <w:rFonts w:ascii="Times New Roman" w:hAnsi="Times New Roman" w:cs="Times New Roman"/>
          <w:i/>
          <w:sz w:val="24"/>
          <w:szCs w:val="24"/>
        </w:rPr>
        <w:t>Zhuwarara</w:t>
      </w:r>
      <w:r>
        <w:rPr>
          <w:rFonts w:ascii="Times New Roman" w:hAnsi="Times New Roman" w:cs="Times New Roman"/>
          <w:sz w:val="24"/>
          <w:szCs w:val="24"/>
        </w:rPr>
        <w:t>, while accepting that the applicant was aggrieve</w:t>
      </w:r>
      <w:r>
        <w:rPr>
          <w:rFonts w:ascii="Times New Roman" w:hAnsi="Times New Roman" w:cs="Times New Roman"/>
          <w:sz w:val="24"/>
          <w:szCs w:val="24"/>
        </w:rPr>
        <w:t>d by the decision of the magistrates’ court, insisted that the court could hear the application for a declaratory order because the magistrates’ court had only absolved the respondent from the instance, so the matter had not been definitively dealt with. H</w:t>
      </w:r>
      <w:r>
        <w:rPr>
          <w:rFonts w:ascii="Times New Roman" w:hAnsi="Times New Roman" w:cs="Times New Roman"/>
          <w:sz w:val="24"/>
          <w:szCs w:val="24"/>
        </w:rPr>
        <w:t xml:space="preserve">e argued, further, that the effect of the absolution from the instance in the magistrates’ court was that the matter could be instituted afresh. </w:t>
      </w:r>
    </w:p>
    <w:p w:rsidR="00862FC7" w:rsidRDefault="00702563">
      <w:p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ISSUE ARISING FOR DETERMINATION</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I understand the bone of contention to be the procedural regularity of approac</w:t>
      </w:r>
      <w:r>
        <w:rPr>
          <w:rFonts w:ascii="Times New Roman" w:hAnsi="Times New Roman" w:cs="Times New Roman"/>
          <w:sz w:val="24"/>
          <w:szCs w:val="24"/>
        </w:rPr>
        <w:t>hing the High Court seeking a declaratur in the face of an extant Magistrates’ Court order which has not been set aside on appeal or review.</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I have taken the robust view that this issue must be disposed of first before delving into the merits of the applic</w:t>
      </w:r>
      <w:r>
        <w:rPr>
          <w:rFonts w:ascii="Times New Roman" w:hAnsi="Times New Roman" w:cs="Times New Roman"/>
          <w:sz w:val="24"/>
          <w:szCs w:val="24"/>
        </w:rPr>
        <w:t xml:space="preserve">ation as it is dispositive of the matter. </w:t>
      </w:r>
    </w:p>
    <w:p w:rsidR="00862FC7" w:rsidRDefault="00702563">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finding that the application is procedurally incompetent puts the whole matter at rest. In the case of </w:t>
      </w:r>
      <w:r>
        <w:rPr>
          <w:rFonts w:ascii="Times New Roman" w:hAnsi="Times New Roman" w:cs="Times New Roman"/>
          <w:i/>
          <w:iCs/>
          <w:sz w:val="24"/>
          <w:szCs w:val="24"/>
          <w:lang w:val="en-GB"/>
        </w:rPr>
        <w:t xml:space="preserve">Gwaradzimba N.O </w:t>
      </w:r>
      <w:r>
        <w:rPr>
          <w:rFonts w:ascii="Times New Roman" w:hAnsi="Times New Roman" w:cs="Times New Roman"/>
          <w:sz w:val="24"/>
          <w:szCs w:val="24"/>
          <w:lang w:val="en-GB"/>
        </w:rPr>
        <w:t xml:space="preserve">v </w:t>
      </w:r>
      <w:r>
        <w:rPr>
          <w:rFonts w:ascii="Times New Roman" w:hAnsi="Times New Roman" w:cs="Times New Roman"/>
          <w:i/>
          <w:iCs/>
          <w:sz w:val="24"/>
          <w:szCs w:val="24"/>
          <w:lang w:val="en-GB"/>
        </w:rPr>
        <w:t>C J Petron and Co (P</w:t>
      </w:r>
      <w:r>
        <w:rPr>
          <w:rFonts w:ascii="Times New Roman" w:hAnsi="Times New Roman" w:cs="Times New Roman"/>
          <w:i/>
          <w:iCs/>
          <w:sz w:val="24"/>
          <w:szCs w:val="24"/>
        </w:rPr>
        <w:t>rivate</w:t>
      </w:r>
      <w:r>
        <w:rPr>
          <w:rFonts w:ascii="Times New Roman" w:hAnsi="Times New Roman" w:cs="Times New Roman"/>
          <w:i/>
          <w:iCs/>
          <w:sz w:val="24"/>
          <w:szCs w:val="24"/>
          <w:lang w:val="en-GB"/>
        </w:rPr>
        <w:t>) L</w:t>
      </w:r>
      <w:r>
        <w:rPr>
          <w:rFonts w:ascii="Times New Roman" w:hAnsi="Times New Roman" w:cs="Times New Roman"/>
          <w:i/>
          <w:iCs/>
          <w:sz w:val="24"/>
          <w:szCs w:val="24"/>
        </w:rPr>
        <w:t>imi</w:t>
      </w:r>
      <w:r>
        <w:rPr>
          <w:rFonts w:ascii="Times New Roman" w:hAnsi="Times New Roman" w:cs="Times New Roman"/>
          <w:i/>
          <w:iCs/>
          <w:sz w:val="24"/>
          <w:szCs w:val="24"/>
          <w:lang w:val="en-GB"/>
        </w:rPr>
        <w:t>t</w:t>
      </w:r>
      <w:r>
        <w:rPr>
          <w:rFonts w:ascii="Times New Roman" w:hAnsi="Times New Roman" w:cs="Times New Roman"/>
          <w:i/>
          <w:iCs/>
          <w:sz w:val="24"/>
          <w:szCs w:val="24"/>
        </w:rPr>
        <w:t>e</w:t>
      </w:r>
      <w:r>
        <w:rPr>
          <w:rFonts w:ascii="Times New Roman" w:hAnsi="Times New Roman" w:cs="Times New Roman"/>
          <w:i/>
          <w:iCs/>
          <w:sz w:val="24"/>
          <w:szCs w:val="24"/>
          <w:lang w:val="en-GB"/>
        </w:rPr>
        <w:t xml:space="preserve">d </w:t>
      </w:r>
      <w:r>
        <w:rPr>
          <w:rFonts w:ascii="Times New Roman" w:hAnsi="Times New Roman" w:cs="Times New Roman"/>
          <w:sz w:val="24"/>
          <w:szCs w:val="24"/>
          <w:lang w:val="en-GB"/>
        </w:rPr>
        <w:t>2016 (1) ZLR 28 (S), at p 32 B, the Supreme Court pronounced that a court must generally determine all the issues raised by the parties “unless the issue so determined can put the whole matter to rest.” Having made these observations, I turn now to determi</w:t>
      </w:r>
      <w:r>
        <w:rPr>
          <w:rFonts w:ascii="Times New Roman" w:hAnsi="Times New Roman" w:cs="Times New Roman"/>
          <w:sz w:val="24"/>
          <w:szCs w:val="24"/>
          <w:lang w:val="en-GB"/>
        </w:rPr>
        <w:t xml:space="preserve">ne the question of whether or not the application is procedurally competent. </w:t>
      </w:r>
    </w:p>
    <w:p w:rsidR="00862FC7" w:rsidRDefault="00862FC7">
      <w:pPr>
        <w:pStyle w:val="ListParagraph"/>
        <w:tabs>
          <w:tab w:val="left" w:pos="270"/>
        </w:tabs>
        <w:spacing w:line="360" w:lineRule="auto"/>
        <w:ind w:left="907"/>
        <w:jc w:val="both"/>
        <w:rPr>
          <w:rFonts w:ascii="Times New Roman" w:hAnsi="Times New Roman" w:cs="Times New Roman"/>
          <w:b/>
          <w:sz w:val="24"/>
          <w:szCs w:val="24"/>
          <w:u w:val="single"/>
        </w:rPr>
      </w:pPr>
    </w:p>
    <w:p w:rsidR="00862FC7" w:rsidRDefault="00702563">
      <w:pPr>
        <w:pStyle w:val="ListParagraph"/>
        <w:tabs>
          <w:tab w:val="left" w:pos="270"/>
        </w:tabs>
        <w:spacing w:line="360" w:lineRule="auto"/>
        <w:ind w:left="907"/>
        <w:jc w:val="both"/>
        <w:rPr>
          <w:rFonts w:ascii="Times New Roman" w:hAnsi="Times New Roman" w:cs="Times New Roman"/>
          <w:b/>
          <w:sz w:val="24"/>
          <w:szCs w:val="24"/>
          <w:u w:val="single"/>
        </w:rPr>
      </w:pPr>
      <w:r>
        <w:rPr>
          <w:rFonts w:ascii="Times New Roman" w:hAnsi="Times New Roman" w:cs="Times New Roman"/>
          <w:b/>
          <w:sz w:val="24"/>
          <w:szCs w:val="24"/>
          <w:u w:val="single"/>
        </w:rPr>
        <w:t>WHETHER OR NOT THE APPLICATION FOR A DECLARATUR IS PROCEDURALLY COMPETENT</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As alluded to, the applicant approached the magistrates’ court claiming confirmation of termination of </w:t>
      </w:r>
      <w:r>
        <w:rPr>
          <w:rFonts w:ascii="Times New Roman" w:hAnsi="Times New Roman" w:cs="Times New Roman"/>
          <w:sz w:val="24"/>
          <w:szCs w:val="24"/>
        </w:rPr>
        <w:t xml:space="preserve">the 12 September 2019 lease agreement between itself and the respondent, ejectment of the respondent and holding over damages. Three issues that were referred for trial namely whether sections 22 and 23 of the Rent Regulations Act (sic) still form </w:t>
      </w:r>
      <w:r>
        <w:rPr>
          <w:rFonts w:ascii="Times New Roman" w:hAnsi="Times New Roman" w:cs="Times New Roman"/>
          <w:sz w:val="24"/>
          <w:szCs w:val="24"/>
        </w:rPr>
        <w:lastRenderedPageBreak/>
        <w:t xml:space="preserve">part of </w:t>
      </w:r>
      <w:r>
        <w:rPr>
          <w:rFonts w:ascii="Times New Roman" w:hAnsi="Times New Roman" w:cs="Times New Roman"/>
          <w:sz w:val="24"/>
          <w:szCs w:val="24"/>
        </w:rPr>
        <w:t xml:space="preserve">the law in light of this court’s judgment in </w:t>
      </w:r>
      <w:r>
        <w:rPr>
          <w:rFonts w:ascii="Times New Roman" w:hAnsi="Times New Roman" w:cs="Times New Roman"/>
          <w:i/>
          <w:sz w:val="24"/>
          <w:szCs w:val="24"/>
        </w:rPr>
        <w:t>Elnour supra</w:t>
      </w:r>
      <w:r>
        <w:rPr>
          <w:rFonts w:ascii="Times New Roman" w:hAnsi="Times New Roman" w:cs="Times New Roman"/>
          <w:sz w:val="24"/>
          <w:szCs w:val="24"/>
        </w:rPr>
        <w:t xml:space="preserve">, whether the matter is </w:t>
      </w:r>
      <w:r>
        <w:rPr>
          <w:rFonts w:ascii="Times New Roman" w:hAnsi="Times New Roman" w:cs="Times New Roman"/>
          <w:i/>
          <w:sz w:val="24"/>
          <w:szCs w:val="24"/>
        </w:rPr>
        <w:t>res judicata</w:t>
      </w:r>
      <w:r>
        <w:rPr>
          <w:rFonts w:ascii="Times New Roman" w:hAnsi="Times New Roman" w:cs="Times New Roman"/>
          <w:sz w:val="24"/>
          <w:szCs w:val="24"/>
        </w:rPr>
        <w:t xml:space="preserve"> and whether the defendant has a legal basis for remaining in occupation of the plaintiff’s premises. In determining the matter, the magistrate observed that:-</w:t>
      </w:r>
    </w:p>
    <w:p w:rsidR="00862FC7" w:rsidRDefault="00702563">
      <w:pPr>
        <w:pStyle w:val="ListParagraph"/>
        <w:tabs>
          <w:tab w:val="left" w:pos="270"/>
        </w:tabs>
        <w:spacing w:line="240" w:lineRule="auto"/>
        <w:ind w:left="1440"/>
        <w:jc w:val="both"/>
        <w:rPr>
          <w:rFonts w:ascii="Times New Roman" w:hAnsi="Times New Roman" w:cs="Times New Roman"/>
          <w:b/>
          <w:szCs w:val="24"/>
          <w:u w:val="single"/>
        </w:rPr>
      </w:pPr>
      <w:r>
        <w:rPr>
          <w:rFonts w:ascii="Times New Roman" w:hAnsi="Times New Roman" w:cs="Times New Roman"/>
          <w:szCs w:val="24"/>
        </w:rPr>
        <w:t>“Th</w:t>
      </w:r>
      <w:r>
        <w:rPr>
          <w:rFonts w:ascii="Times New Roman" w:hAnsi="Times New Roman" w:cs="Times New Roman"/>
          <w:szCs w:val="24"/>
        </w:rPr>
        <w:t xml:space="preserve">e defendant highlighted that the judgment in </w:t>
      </w:r>
      <w:r>
        <w:rPr>
          <w:rFonts w:ascii="Times New Roman" w:hAnsi="Times New Roman" w:cs="Times New Roman"/>
          <w:i/>
          <w:szCs w:val="24"/>
        </w:rPr>
        <w:t>Elnour United Engineering Group</w:t>
      </w:r>
      <w:r>
        <w:rPr>
          <w:rFonts w:ascii="Times New Roman" w:hAnsi="Times New Roman" w:cs="Times New Roman"/>
          <w:szCs w:val="24"/>
        </w:rPr>
        <w:t xml:space="preserve"> being relied on by plaintiff is yet to be confirmed by the constitutional court and that all laws derive their validity from the constitution. It was submitted that without confir</w:t>
      </w:r>
      <w:r>
        <w:rPr>
          <w:rFonts w:ascii="Times New Roman" w:hAnsi="Times New Roman" w:cs="Times New Roman"/>
          <w:szCs w:val="24"/>
        </w:rPr>
        <w:t xml:space="preserve">mation of that order, the regulations remain extant. The plaintiff in its submissions did not address the issue of confirmation and stated that this decision is binding on the inferior courts. </w:t>
      </w:r>
    </w:p>
    <w:p w:rsidR="00862FC7" w:rsidRDefault="00702563">
      <w:pPr>
        <w:pStyle w:val="ListParagraph"/>
        <w:tabs>
          <w:tab w:val="left" w:pos="270"/>
        </w:tabs>
        <w:spacing w:line="240" w:lineRule="auto"/>
        <w:ind w:left="1440"/>
        <w:jc w:val="both"/>
        <w:rPr>
          <w:rFonts w:ascii="Times New Roman" w:hAnsi="Times New Roman" w:cs="Times New Roman"/>
          <w:b/>
          <w:szCs w:val="24"/>
          <w:u w:val="single"/>
        </w:rPr>
      </w:pPr>
      <w:r>
        <w:rPr>
          <w:rFonts w:ascii="Times New Roman" w:hAnsi="Times New Roman" w:cs="Times New Roman"/>
          <w:szCs w:val="24"/>
        </w:rPr>
        <w:t xml:space="preserve">Another case of </w:t>
      </w:r>
      <w:r>
        <w:rPr>
          <w:rFonts w:ascii="Times New Roman" w:hAnsi="Times New Roman" w:cs="Times New Roman"/>
          <w:i/>
          <w:szCs w:val="24"/>
        </w:rPr>
        <w:t xml:space="preserve">Otto Drives Construction (Private) Limited </w:t>
      </w:r>
      <w:r>
        <w:rPr>
          <w:rFonts w:ascii="Times New Roman" w:hAnsi="Times New Roman" w:cs="Times New Roman"/>
          <w:szCs w:val="24"/>
        </w:rPr>
        <w:t>v</w:t>
      </w:r>
      <w:r>
        <w:rPr>
          <w:rFonts w:ascii="Times New Roman" w:hAnsi="Times New Roman" w:cs="Times New Roman"/>
          <w:i/>
          <w:szCs w:val="24"/>
        </w:rPr>
        <w:t xml:space="preserve"> S</w:t>
      </w:r>
      <w:r>
        <w:rPr>
          <w:rFonts w:ascii="Times New Roman" w:hAnsi="Times New Roman" w:cs="Times New Roman"/>
          <w:i/>
          <w:szCs w:val="24"/>
        </w:rPr>
        <w:t>hanes Autoelectrics and 2 others</w:t>
      </w:r>
      <w:r>
        <w:rPr>
          <w:rFonts w:ascii="Times New Roman" w:hAnsi="Times New Roman" w:cs="Times New Roman"/>
          <w:szCs w:val="24"/>
        </w:rPr>
        <w:t xml:space="preserve"> HH780-22 made a finding that statutory tenancy still forms part of the Zimbabwean law. The same was stated in </w:t>
      </w:r>
      <w:r>
        <w:rPr>
          <w:rFonts w:ascii="Times New Roman" w:hAnsi="Times New Roman" w:cs="Times New Roman"/>
          <w:i/>
          <w:szCs w:val="24"/>
        </w:rPr>
        <w:t xml:space="preserve">C and T Mining (Private) Limited </w:t>
      </w:r>
      <w:r>
        <w:rPr>
          <w:rFonts w:ascii="Times New Roman" w:hAnsi="Times New Roman" w:cs="Times New Roman"/>
          <w:szCs w:val="24"/>
        </w:rPr>
        <w:t>v</w:t>
      </w:r>
      <w:r>
        <w:rPr>
          <w:rFonts w:ascii="Times New Roman" w:hAnsi="Times New Roman" w:cs="Times New Roman"/>
          <w:i/>
          <w:szCs w:val="24"/>
        </w:rPr>
        <w:t xml:space="preserve"> Zimbabwe Progress Fund and Others</w:t>
      </w:r>
      <w:r>
        <w:rPr>
          <w:rFonts w:ascii="Times New Roman" w:hAnsi="Times New Roman" w:cs="Times New Roman"/>
          <w:szCs w:val="24"/>
        </w:rPr>
        <w:t xml:space="preserve"> HH80-24 that statutory tenancy is still part</w:t>
      </w:r>
      <w:r>
        <w:rPr>
          <w:rFonts w:ascii="Times New Roman" w:hAnsi="Times New Roman" w:cs="Times New Roman"/>
          <w:szCs w:val="24"/>
        </w:rPr>
        <w:t xml:space="preserve"> of the law. </w:t>
      </w:r>
      <w:r>
        <w:rPr>
          <w:rFonts w:ascii="Times New Roman" w:hAnsi="Times New Roman" w:cs="Times New Roman"/>
          <w:b/>
          <w:szCs w:val="24"/>
        </w:rPr>
        <w:t>In light of the conflicting judgments, the court is in agreement with the submission by counsel for defendant that the order relied on by plaintiff has to be confirmed by the constitutional court</w:t>
      </w:r>
      <w:r>
        <w:rPr>
          <w:rFonts w:ascii="Times New Roman" w:hAnsi="Times New Roman" w:cs="Times New Roman"/>
          <w:szCs w:val="24"/>
        </w:rPr>
        <w:t>. ..” [Emphasis mine]</w:t>
      </w:r>
    </w:p>
    <w:p w:rsidR="00862FC7" w:rsidRDefault="00862FC7">
      <w:pPr>
        <w:pStyle w:val="ListParagraph"/>
        <w:tabs>
          <w:tab w:val="left" w:pos="270"/>
        </w:tabs>
        <w:spacing w:line="360" w:lineRule="auto"/>
        <w:ind w:left="907"/>
        <w:jc w:val="both"/>
        <w:rPr>
          <w:rFonts w:ascii="Times New Roman" w:hAnsi="Times New Roman" w:cs="Times New Roman"/>
          <w:sz w:val="24"/>
          <w:szCs w:val="24"/>
        </w:rPr>
      </w:pP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Following that decision, the applicant approached the High Court. It was aggrieved by the magistrate’s decision, a fact which was emphatically confirmed by Mr </w:t>
      </w:r>
      <w:r>
        <w:rPr>
          <w:rFonts w:ascii="Times New Roman" w:hAnsi="Times New Roman" w:cs="Times New Roman"/>
          <w:i/>
          <w:sz w:val="24"/>
          <w:szCs w:val="24"/>
        </w:rPr>
        <w:t>Zhuwarara</w:t>
      </w:r>
      <w:r>
        <w:rPr>
          <w:rFonts w:ascii="Times New Roman" w:hAnsi="Times New Roman" w:cs="Times New Roman"/>
          <w:sz w:val="24"/>
          <w:szCs w:val="24"/>
        </w:rPr>
        <w:t xml:space="preserve"> in his oral submissions. For completeness, I find it necessary to reproduce paragraphs </w:t>
      </w:r>
      <w:r>
        <w:rPr>
          <w:rFonts w:ascii="Times New Roman" w:hAnsi="Times New Roman" w:cs="Times New Roman"/>
          <w:sz w:val="24"/>
          <w:szCs w:val="24"/>
        </w:rPr>
        <w:t>10 to 14 of the applicant’s founding affidavit which appear under the head ‘CAUSA FOR THE DECLARATION’:-</w:t>
      </w:r>
    </w:p>
    <w:p w:rsidR="00862FC7" w:rsidRDefault="00702563">
      <w:pPr>
        <w:pStyle w:val="ListParagraph"/>
        <w:numPr>
          <w:ilvl w:val="0"/>
          <w:numId w:val="2"/>
        </w:numPr>
        <w:tabs>
          <w:tab w:val="left" w:pos="270"/>
        </w:tabs>
        <w:spacing w:line="240" w:lineRule="auto"/>
        <w:jc w:val="both"/>
        <w:rPr>
          <w:rFonts w:ascii="Times New Roman" w:hAnsi="Times New Roman" w:cs="Times New Roman"/>
          <w:b/>
          <w:szCs w:val="24"/>
          <w:u w:val="single"/>
        </w:rPr>
      </w:pPr>
      <w:r>
        <w:rPr>
          <w:rFonts w:ascii="Times New Roman" w:hAnsi="Times New Roman" w:cs="Times New Roman"/>
          <w:szCs w:val="24"/>
        </w:rPr>
        <w:t>Following the respondent’s refusal to enter into a new lease agreement the applicant instituted eviction proceedings in the magistrates’ court under C-</w:t>
      </w:r>
      <w:r>
        <w:rPr>
          <w:rFonts w:ascii="Times New Roman" w:hAnsi="Times New Roman" w:cs="Times New Roman"/>
          <w:szCs w:val="24"/>
        </w:rPr>
        <w:t xml:space="preserve">CD60/24. As appears from the judgment of the magistrates’ court….the respondent was absolved from the instant’ on account of the allegation that such respondent was now applicant’s statutory tenant. </w:t>
      </w:r>
    </w:p>
    <w:p w:rsidR="00862FC7" w:rsidRDefault="00702563">
      <w:pPr>
        <w:pStyle w:val="ListParagraph"/>
        <w:numPr>
          <w:ilvl w:val="0"/>
          <w:numId w:val="2"/>
        </w:numPr>
        <w:tabs>
          <w:tab w:val="left" w:pos="270"/>
        </w:tabs>
        <w:spacing w:line="240" w:lineRule="auto"/>
        <w:jc w:val="both"/>
        <w:rPr>
          <w:rFonts w:ascii="Times New Roman" w:hAnsi="Times New Roman" w:cs="Times New Roman"/>
          <w:b/>
          <w:szCs w:val="24"/>
          <w:u w:val="single"/>
        </w:rPr>
      </w:pPr>
      <w:r>
        <w:rPr>
          <w:rFonts w:ascii="Times New Roman" w:hAnsi="Times New Roman" w:cs="Times New Roman"/>
          <w:b/>
          <w:szCs w:val="24"/>
        </w:rPr>
        <w:t>It is the contention herein that the respondent is not t</w:t>
      </w:r>
      <w:r>
        <w:rPr>
          <w:rFonts w:ascii="Times New Roman" w:hAnsi="Times New Roman" w:cs="Times New Roman"/>
          <w:b/>
          <w:szCs w:val="24"/>
        </w:rPr>
        <w:t xml:space="preserve">he applicant’s statutory tenant and cannot shelter under sections 22 and 23 of the Commercial Premises (Rent) Regulations, 1983 as such statutory provisions were adjudged by this court to have been </w:t>
      </w:r>
      <w:r>
        <w:rPr>
          <w:rFonts w:ascii="Times New Roman" w:hAnsi="Times New Roman" w:cs="Times New Roman"/>
          <w:b/>
          <w:i/>
          <w:szCs w:val="24"/>
        </w:rPr>
        <w:t>ultra vires</w:t>
      </w:r>
      <w:r>
        <w:rPr>
          <w:rFonts w:ascii="Times New Roman" w:hAnsi="Times New Roman" w:cs="Times New Roman"/>
          <w:b/>
          <w:szCs w:val="24"/>
        </w:rPr>
        <w:t xml:space="preserve"> the Commercial  Premises (Lease) Control Act</w:t>
      </w:r>
      <w:r>
        <w:rPr>
          <w:rFonts w:ascii="Times New Roman" w:hAnsi="Times New Roman" w:cs="Times New Roman"/>
          <w:szCs w:val="24"/>
        </w:rPr>
        <w:t xml:space="preserve">. </w:t>
      </w:r>
    </w:p>
    <w:p w:rsidR="00862FC7" w:rsidRDefault="00702563">
      <w:pPr>
        <w:pStyle w:val="ListParagraph"/>
        <w:numPr>
          <w:ilvl w:val="0"/>
          <w:numId w:val="2"/>
        </w:numPr>
        <w:tabs>
          <w:tab w:val="left" w:pos="270"/>
        </w:tabs>
        <w:spacing w:line="240" w:lineRule="auto"/>
        <w:jc w:val="both"/>
        <w:rPr>
          <w:rFonts w:ascii="Times New Roman" w:hAnsi="Times New Roman" w:cs="Times New Roman"/>
          <w:b/>
          <w:szCs w:val="24"/>
          <w:u w:val="single"/>
        </w:rPr>
      </w:pPr>
      <w:r>
        <w:rPr>
          <w:rFonts w:ascii="Times New Roman" w:hAnsi="Times New Roman" w:cs="Times New Roman"/>
          <w:szCs w:val="24"/>
        </w:rPr>
        <w:t xml:space="preserve"> </w:t>
      </w:r>
      <w:r>
        <w:rPr>
          <w:rFonts w:ascii="Times New Roman" w:hAnsi="Times New Roman" w:cs="Times New Roman"/>
          <w:b/>
          <w:szCs w:val="24"/>
        </w:rPr>
        <w:t xml:space="preserve">Put more sharply the applicant seeks a declaration that the respondent is not the applicant’s statutory tenant as such legal status is no longer part of our law following this court’s determination in </w:t>
      </w:r>
      <w:r>
        <w:rPr>
          <w:rFonts w:ascii="Times New Roman" w:hAnsi="Times New Roman" w:cs="Times New Roman"/>
          <w:b/>
          <w:i/>
          <w:szCs w:val="24"/>
        </w:rPr>
        <w:t>Elnour United Engineering Group P-L v Minister of Ind</w:t>
      </w:r>
      <w:r>
        <w:rPr>
          <w:rFonts w:ascii="Times New Roman" w:hAnsi="Times New Roman" w:cs="Times New Roman"/>
          <w:b/>
          <w:i/>
          <w:szCs w:val="24"/>
        </w:rPr>
        <w:t>ustry &amp; Commerce &amp; Ors</w:t>
      </w:r>
      <w:r>
        <w:rPr>
          <w:rFonts w:ascii="Times New Roman" w:hAnsi="Times New Roman" w:cs="Times New Roman"/>
          <w:b/>
          <w:szCs w:val="24"/>
        </w:rPr>
        <w:t xml:space="preserve"> HH 81 of 2023. </w:t>
      </w:r>
    </w:p>
    <w:p w:rsidR="00862FC7" w:rsidRDefault="00702563">
      <w:pPr>
        <w:pStyle w:val="ListParagraph"/>
        <w:numPr>
          <w:ilvl w:val="0"/>
          <w:numId w:val="2"/>
        </w:numPr>
        <w:tabs>
          <w:tab w:val="left" w:pos="270"/>
        </w:tabs>
        <w:spacing w:line="240" w:lineRule="auto"/>
        <w:jc w:val="both"/>
        <w:rPr>
          <w:rFonts w:ascii="Times New Roman" w:hAnsi="Times New Roman" w:cs="Times New Roman"/>
          <w:b/>
          <w:szCs w:val="24"/>
          <w:u w:val="single"/>
        </w:rPr>
      </w:pPr>
      <w:r>
        <w:rPr>
          <w:rFonts w:ascii="Times New Roman" w:hAnsi="Times New Roman" w:cs="Times New Roman"/>
          <w:szCs w:val="24"/>
        </w:rPr>
        <w:t xml:space="preserve">The delimitation of the applicant’s rights and the respondent’s legal status is a question determinable under the auspices of section 14 of the High Court Act. The enquiry is not merely academic as the respondent has </w:t>
      </w:r>
      <w:r>
        <w:rPr>
          <w:rFonts w:ascii="Times New Roman" w:hAnsi="Times New Roman" w:cs="Times New Roman"/>
          <w:szCs w:val="24"/>
        </w:rPr>
        <w:t xml:space="preserve">since managed to obtain absolution from the instance thereby, illicitly resisting the applicant’s legitimate and immutable right to recover its immovable property. </w:t>
      </w:r>
    </w:p>
    <w:p w:rsidR="00862FC7" w:rsidRDefault="00702563">
      <w:pPr>
        <w:pStyle w:val="ListParagraph"/>
        <w:numPr>
          <w:ilvl w:val="0"/>
          <w:numId w:val="2"/>
        </w:numPr>
        <w:tabs>
          <w:tab w:val="left" w:pos="270"/>
        </w:tabs>
        <w:spacing w:line="240" w:lineRule="auto"/>
        <w:jc w:val="both"/>
        <w:rPr>
          <w:rFonts w:ascii="Times New Roman" w:hAnsi="Times New Roman" w:cs="Times New Roman"/>
          <w:b/>
          <w:szCs w:val="24"/>
          <w:u w:val="single"/>
        </w:rPr>
      </w:pPr>
      <w:r>
        <w:rPr>
          <w:rFonts w:ascii="Times New Roman" w:hAnsi="Times New Roman" w:cs="Times New Roman"/>
          <w:szCs w:val="24"/>
        </w:rPr>
        <w:t>The applicant has been advised, which advise it accepts, that this Court is under section 1</w:t>
      </w:r>
      <w:r>
        <w:rPr>
          <w:rFonts w:ascii="Times New Roman" w:hAnsi="Times New Roman" w:cs="Times New Roman"/>
          <w:szCs w:val="24"/>
        </w:rPr>
        <w:t xml:space="preserve">4 of the High Court Act empowered to opine on the respondent’s illusionary status of statutory tenancy viz the legal reality that legal provisions actuating statutory tenancy being sections 22 and 23 of the Commercial Premises </w:t>
      </w:r>
      <w:r>
        <w:rPr>
          <w:rFonts w:ascii="Times New Roman" w:hAnsi="Times New Roman" w:cs="Times New Roman"/>
          <w:szCs w:val="24"/>
        </w:rPr>
        <w:lastRenderedPageBreak/>
        <w:t>(Rent) Regulations were set a</w:t>
      </w:r>
      <w:r>
        <w:rPr>
          <w:rFonts w:ascii="Times New Roman" w:hAnsi="Times New Roman" w:cs="Times New Roman"/>
          <w:szCs w:val="24"/>
        </w:rPr>
        <w:t xml:space="preserve">side in </w:t>
      </w:r>
      <w:r>
        <w:rPr>
          <w:rFonts w:ascii="Times New Roman" w:hAnsi="Times New Roman" w:cs="Times New Roman"/>
          <w:i/>
          <w:szCs w:val="24"/>
        </w:rPr>
        <w:t>Elnour United Engineering Group P-L v Minister of Industry &amp; Commerce &amp; Ors</w:t>
      </w:r>
      <w:r>
        <w:rPr>
          <w:rFonts w:ascii="Times New Roman" w:hAnsi="Times New Roman" w:cs="Times New Roman"/>
          <w:szCs w:val="24"/>
        </w:rPr>
        <w:t xml:space="preserve"> HH 81 of 2023 as being ultra vires section 5 (1) and (2) of the Commercial Premises (Lease Control) Act” [Emphasis added]</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It presents quite clearly to me that, regardless o</w:t>
      </w:r>
      <w:r>
        <w:rPr>
          <w:rFonts w:ascii="Times New Roman" w:hAnsi="Times New Roman" w:cs="Times New Roman"/>
          <w:sz w:val="24"/>
          <w:szCs w:val="24"/>
        </w:rPr>
        <w:t xml:space="preserve">f whatever semantics the applicant may attempt to use to give complexion to the present matter, the applicant in essence seeks to overturn the finding of the magistrates’ court that statutory tenancy is still part of our law. While the applicant has every </w:t>
      </w:r>
      <w:r>
        <w:rPr>
          <w:rFonts w:ascii="Times New Roman" w:hAnsi="Times New Roman" w:cs="Times New Roman"/>
          <w:sz w:val="24"/>
          <w:szCs w:val="24"/>
        </w:rPr>
        <w:t>legal right to test the correctness of the magistrates’ court decision in the High Court, the authorities coming out of this jurisdiction do not permit the applicant to do so in the form of a declaratur. I demonstrate this by reference to just a few of suc</w:t>
      </w:r>
      <w:r>
        <w:rPr>
          <w:rFonts w:ascii="Times New Roman" w:hAnsi="Times New Roman" w:cs="Times New Roman"/>
          <w:sz w:val="24"/>
          <w:szCs w:val="24"/>
        </w:rPr>
        <w:t xml:space="preserve">h authorities. </w:t>
      </w:r>
    </w:p>
    <w:p w:rsidR="00862FC7" w:rsidRDefault="00702563">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Nyaguwa </w:t>
      </w:r>
      <w:r>
        <w:rPr>
          <w:rFonts w:ascii="Times New Roman" w:hAnsi="Times New Roman" w:cs="Times New Roman"/>
          <w:sz w:val="24"/>
          <w:szCs w:val="24"/>
        </w:rPr>
        <w:t>v</w:t>
      </w:r>
      <w:r>
        <w:rPr>
          <w:rFonts w:ascii="Times New Roman" w:hAnsi="Times New Roman" w:cs="Times New Roman"/>
          <w:i/>
          <w:sz w:val="24"/>
          <w:szCs w:val="24"/>
        </w:rPr>
        <w:t xml:space="preserve"> Gwinyayi supra</w:t>
      </w:r>
      <w:r>
        <w:rPr>
          <w:rFonts w:ascii="Times New Roman" w:hAnsi="Times New Roman" w:cs="Times New Roman"/>
          <w:sz w:val="24"/>
          <w:szCs w:val="24"/>
        </w:rPr>
        <w:t xml:space="preserve"> was a matter in which the respondent had issued summons in the magistrates’ court seeking cancellation of a lease agreement between her and the applicant. She further claimed an order for ejectment and costs. The respondent went on to obtain a default jud</w:t>
      </w:r>
      <w:r>
        <w:rPr>
          <w:rFonts w:ascii="Times New Roman" w:hAnsi="Times New Roman" w:cs="Times New Roman"/>
          <w:sz w:val="24"/>
          <w:szCs w:val="24"/>
        </w:rPr>
        <w:t xml:space="preserve">gment. The applicant reacted by filing an urgent chamber application for the issue of a rule </w:t>
      </w:r>
      <w:r>
        <w:rPr>
          <w:rFonts w:ascii="Times New Roman" w:hAnsi="Times New Roman" w:cs="Times New Roman"/>
          <w:i/>
          <w:sz w:val="24"/>
          <w:szCs w:val="24"/>
        </w:rPr>
        <w:t>nisi</w:t>
      </w:r>
      <w:r>
        <w:rPr>
          <w:rFonts w:ascii="Times New Roman" w:hAnsi="Times New Roman" w:cs="Times New Roman"/>
          <w:sz w:val="24"/>
          <w:szCs w:val="24"/>
        </w:rPr>
        <w:t xml:space="preserve">, calling on the respondent to show cause, on the return date, why the applicant could not be allowed to regain occupation of the premises pending the outcome </w:t>
      </w:r>
      <w:r>
        <w:rPr>
          <w:rFonts w:ascii="Times New Roman" w:hAnsi="Times New Roman" w:cs="Times New Roman"/>
          <w:sz w:val="24"/>
          <w:szCs w:val="24"/>
        </w:rPr>
        <w:t xml:space="preserve">of an application for rescission of the default judgment. In considering the matter, </w:t>
      </w:r>
      <w:r>
        <w:rPr>
          <w:rFonts w:ascii="Times New Roman" w:hAnsi="Times New Roman" w:cs="Times New Roman"/>
          <w:smallCaps/>
          <w:sz w:val="24"/>
          <w:szCs w:val="24"/>
        </w:rPr>
        <w:t xml:space="preserve">Pitman </w:t>
      </w:r>
      <w:r>
        <w:rPr>
          <w:rFonts w:ascii="Times New Roman" w:hAnsi="Times New Roman" w:cs="Times New Roman"/>
          <w:sz w:val="24"/>
          <w:szCs w:val="24"/>
        </w:rPr>
        <w:t>J made the following seminal remarks at p27A-C:</w:t>
      </w:r>
    </w:p>
    <w:p w:rsidR="00862FC7" w:rsidRDefault="00702563">
      <w:pPr>
        <w:pStyle w:val="ListParagraph"/>
        <w:spacing w:after="0" w:line="240" w:lineRule="auto"/>
        <w:ind w:left="1440"/>
        <w:jc w:val="both"/>
        <w:rPr>
          <w:rFonts w:ascii="Times New Roman" w:hAnsi="Times New Roman" w:cs="Times New Roman"/>
          <w:szCs w:val="24"/>
        </w:rPr>
      </w:pPr>
      <w:r>
        <w:rPr>
          <w:rFonts w:ascii="Times New Roman" w:hAnsi="Times New Roman" w:cs="Times New Roman"/>
          <w:szCs w:val="24"/>
        </w:rPr>
        <w:t>“I was of the opinion that in this country, each court is a creature of Statute, and its powers are created and defi</w:t>
      </w:r>
      <w:r>
        <w:rPr>
          <w:rFonts w:ascii="Times New Roman" w:hAnsi="Times New Roman" w:cs="Times New Roman"/>
          <w:szCs w:val="24"/>
        </w:rPr>
        <w:t>ned by statute. The function of every civil court is to recognize what it believes to be the rights of the parties before it. Once a civil court has given such recognition, that recognition must be accepted by each of the other courts, whatever its relativ</w:t>
      </w:r>
      <w:r>
        <w:rPr>
          <w:rFonts w:ascii="Times New Roman" w:hAnsi="Times New Roman" w:cs="Times New Roman"/>
          <w:szCs w:val="24"/>
        </w:rPr>
        <w:t>e position in the hierarchy of courts may be, unless authority to overrule such recognition has been conferred upon it by statute. If one court were to claim that it has some inherent power to overrule another court, instead of a power specifically created</w:t>
      </w:r>
      <w:r>
        <w:rPr>
          <w:rFonts w:ascii="Times New Roman" w:hAnsi="Times New Roman" w:cs="Times New Roman"/>
          <w:szCs w:val="24"/>
        </w:rPr>
        <w:t xml:space="preserve"> by statute, in effect it will be claiming the power to nullify the body of statute law which specifically relates to the establishment and powers of each of the civil courts in the country. As no power to overrule the decisions of magistrate’s courts has </w:t>
      </w:r>
      <w:r>
        <w:rPr>
          <w:rFonts w:ascii="Times New Roman" w:hAnsi="Times New Roman" w:cs="Times New Roman"/>
          <w:szCs w:val="24"/>
        </w:rPr>
        <w:t>been vested in the General Division of the High Court, I considered that this court could not grant the order sought by the petitioner”.</w:t>
      </w:r>
    </w:p>
    <w:p w:rsidR="00862FC7" w:rsidRDefault="00702563">
      <w:pPr>
        <w:pStyle w:val="ListParagraph"/>
        <w:numPr>
          <w:ilvl w:val="0"/>
          <w:numId w:val="1"/>
        </w:numPr>
        <w:tabs>
          <w:tab w:val="left" w:pos="270"/>
        </w:tabs>
        <w:spacing w:line="360" w:lineRule="auto"/>
        <w:jc w:val="both"/>
        <w:rPr>
          <w:rFonts w:ascii="Times New Roman" w:hAnsi="Times New Roman" w:cs="Times New Roman"/>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Toro </w:t>
      </w:r>
      <w:r>
        <w:rPr>
          <w:rFonts w:ascii="Times New Roman" w:hAnsi="Times New Roman" w:cs="Times New Roman"/>
          <w:sz w:val="24"/>
          <w:szCs w:val="24"/>
        </w:rPr>
        <w:t>v</w:t>
      </w:r>
      <w:r>
        <w:rPr>
          <w:rFonts w:ascii="Times New Roman" w:hAnsi="Times New Roman" w:cs="Times New Roman"/>
          <w:i/>
          <w:sz w:val="24"/>
          <w:szCs w:val="24"/>
        </w:rPr>
        <w:t xml:space="preserve"> Vodge Investments (Private) Limited &amp; 2 Ors</w:t>
      </w:r>
      <w:r>
        <w:rPr>
          <w:rFonts w:ascii="Times New Roman" w:hAnsi="Times New Roman" w:cs="Times New Roman"/>
          <w:sz w:val="24"/>
          <w:szCs w:val="24"/>
        </w:rPr>
        <w:t xml:space="preserve"> SC15-17, the Supreme Court had occasion to deal with a matter whi</w:t>
      </w:r>
      <w:r>
        <w:rPr>
          <w:rFonts w:ascii="Times New Roman" w:hAnsi="Times New Roman" w:cs="Times New Roman"/>
          <w:sz w:val="24"/>
          <w:szCs w:val="24"/>
        </w:rPr>
        <w:t>ch had started off as a claim for the appellant’s eviction by the first respondent in the magistrates’ court.  The appellant entered appearance to defend. The first respondent applied for summary judgment which the appellant opposed on the basis of the fir</w:t>
      </w:r>
      <w:r>
        <w:rPr>
          <w:rFonts w:ascii="Times New Roman" w:hAnsi="Times New Roman" w:cs="Times New Roman"/>
          <w:sz w:val="24"/>
          <w:szCs w:val="24"/>
        </w:rPr>
        <w:t xml:space="preserve">st respondent’s lack of </w:t>
      </w:r>
      <w:r>
        <w:rPr>
          <w:rFonts w:ascii="Times New Roman" w:hAnsi="Times New Roman" w:cs="Times New Roman"/>
          <w:i/>
          <w:sz w:val="24"/>
          <w:szCs w:val="24"/>
        </w:rPr>
        <w:t>locus standi</w:t>
      </w:r>
      <w:r>
        <w:rPr>
          <w:rFonts w:ascii="Times New Roman" w:hAnsi="Times New Roman" w:cs="Times New Roman"/>
          <w:sz w:val="24"/>
          <w:szCs w:val="24"/>
        </w:rPr>
        <w:t xml:space="preserve"> to evict him. The magistrates’ court made a finding that indeed, the first respondent did not have </w:t>
      </w:r>
      <w:r>
        <w:rPr>
          <w:rFonts w:ascii="Times New Roman" w:hAnsi="Times New Roman" w:cs="Times New Roman"/>
          <w:i/>
          <w:sz w:val="24"/>
          <w:szCs w:val="24"/>
        </w:rPr>
        <w:t>locus standi</w:t>
      </w:r>
      <w:r>
        <w:rPr>
          <w:rFonts w:ascii="Times New Roman" w:hAnsi="Times New Roman" w:cs="Times New Roman"/>
          <w:sz w:val="24"/>
          <w:szCs w:val="24"/>
        </w:rPr>
        <w:t xml:space="preserve">. </w:t>
      </w:r>
      <w:r>
        <w:rPr>
          <w:rFonts w:ascii="Times New Roman" w:hAnsi="Times New Roman" w:cs="Times New Roman"/>
          <w:sz w:val="24"/>
          <w:szCs w:val="24"/>
        </w:rPr>
        <w:lastRenderedPageBreak/>
        <w:t>Unperturbed by the magistrates’ court’s decision, the first respondent made an application for eviction in</w:t>
      </w:r>
      <w:r>
        <w:rPr>
          <w:rFonts w:ascii="Times New Roman" w:hAnsi="Times New Roman" w:cs="Times New Roman"/>
          <w:sz w:val="24"/>
          <w:szCs w:val="24"/>
        </w:rPr>
        <w:t xml:space="preserve"> the High Court. The appellant resisted the application and argued that the matter was </w:t>
      </w:r>
      <w:r>
        <w:rPr>
          <w:rFonts w:ascii="Times New Roman" w:hAnsi="Times New Roman" w:cs="Times New Roman"/>
          <w:i/>
          <w:sz w:val="24"/>
          <w:szCs w:val="24"/>
        </w:rPr>
        <w:t>res judicata</w:t>
      </w:r>
      <w:r>
        <w:rPr>
          <w:rFonts w:ascii="Times New Roman" w:hAnsi="Times New Roman" w:cs="Times New Roman"/>
          <w:sz w:val="24"/>
          <w:szCs w:val="24"/>
        </w:rPr>
        <w:t xml:space="preserve">. The court found that the matter was not </w:t>
      </w:r>
      <w:r>
        <w:rPr>
          <w:rFonts w:ascii="Times New Roman" w:hAnsi="Times New Roman" w:cs="Times New Roman"/>
          <w:i/>
          <w:sz w:val="24"/>
          <w:szCs w:val="24"/>
        </w:rPr>
        <w:t xml:space="preserve">res judicata </w:t>
      </w:r>
      <w:r>
        <w:rPr>
          <w:rFonts w:ascii="Times New Roman" w:hAnsi="Times New Roman" w:cs="Times New Roman"/>
          <w:sz w:val="24"/>
          <w:szCs w:val="24"/>
        </w:rPr>
        <w:t>and granted the eviction.</w:t>
      </w:r>
      <w:r>
        <w:rPr>
          <w:rFonts w:ascii="Times New Roman" w:hAnsi="Times New Roman" w:cs="Times New Roman"/>
          <w:i/>
          <w:sz w:val="24"/>
          <w:szCs w:val="24"/>
        </w:rPr>
        <w:t xml:space="preserve"> </w:t>
      </w:r>
      <w:r>
        <w:rPr>
          <w:rFonts w:ascii="Times New Roman" w:hAnsi="Times New Roman" w:cs="Times New Roman"/>
          <w:sz w:val="24"/>
          <w:szCs w:val="24"/>
        </w:rPr>
        <w:t xml:space="preserve">On appeal, </w:t>
      </w:r>
      <w:r>
        <w:rPr>
          <w:rFonts w:ascii="Times New Roman" w:hAnsi="Times New Roman" w:cs="Times New Roman"/>
          <w:smallCaps/>
          <w:sz w:val="24"/>
          <w:szCs w:val="24"/>
        </w:rPr>
        <w:t xml:space="preserve">Uchena </w:t>
      </w:r>
      <w:r>
        <w:rPr>
          <w:rFonts w:ascii="Times New Roman" w:hAnsi="Times New Roman" w:cs="Times New Roman"/>
          <w:sz w:val="24"/>
          <w:szCs w:val="24"/>
        </w:rPr>
        <w:t>JA writing for the Supreme Court bench stated that:</w:t>
      </w:r>
    </w:p>
    <w:p w:rsidR="00862FC7" w:rsidRDefault="00702563">
      <w:pPr>
        <w:spacing w:after="0" w:line="240" w:lineRule="auto"/>
        <w:ind w:left="2160"/>
        <w:jc w:val="both"/>
        <w:rPr>
          <w:rFonts w:ascii="Times New Roman" w:hAnsi="Times New Roman" w:cs="Times New Roman"/>
          <w:szCs w:val="24"/>
        </w:rPr>
      </w:pPr>
      <w:r>
        <w:rPr>
          <w:rFonts w:ascii="Times New Roman" w:hAnsi="Times New Roman" w:cs="Times New Roman"/>
          <w:szCs w:val="24"/>
        </w:rPr>
        <w:t xml:space="preserve">“Mrs </w:t>
      </w:r>
      <w:r>
        <w:rPr>
          <w:rFonts w:ascii="Times New Roman" w:hAnsi="Times New Roman" w:cs="Times New Roman"/>
          <w:i/>
          <w:szCs w:val="24"/>
        </w:rPr>
        <w:t>Mabwe</w:t>
      </w:r>
      <w:r>
        <w:rPr>
          <w:rFonts w:ascii="Times New Roman" w:hAnsi="Times New Roman" w:cs="Times New Roman"/>
          <w:szCs w:val="24"/>
        </w:rPr>
        <w:t xml:space="preserve"> for the appellant submitted, that the Magistrate’s decision that the first respondent did not have </w:t>
      </w:r>
      <w:r>
        <w:rPr>
          <w:rFonts w:ascii="Times New Roman" w:hAnsi="Times New Roman" w:cs="Times New Roman"/>
          <w:i/>
          <w:szCs w:val="24"/>
        </w:rPr>
        <w:t>locus standi</w:t>
      </w:r>
      <w:r>
        <w:rPr>
          <w:rFonts w:ascii="Times New Roman" w:hAnsi="Times New Roman" w:cs="Times New Roman"/>
          <w:szCs w:val="24"/>
        </w:rPr>
        <w:t xml:space="preserve"> to evict the appellant extinguished the first respondent’s claim to evict the appellant.   She relied on the cases of </w:t>
      </w:r>
      <w:r>
        <w:rPr>
          <w:rFonts w:ascii="Times New Roman" w:hAnsi="Times New Roman" w:cs="Times New Roman"/>
          <w:i/>
          <w:szCs w:val="24"/>
        </w:rPr>
        <w:t>Nyaguwa v Gwinyayi</w:t>
      </w:r>
      <w:r>
        <w:rPr>
          <w:rFonts w:ascii="Times New Roman" w:hAnsi="Times New Roman" w:cs="Times New Roman"/>
          <w:szCs w:val="24"/>
        </w:rPr>
        <w:t xml:space="preserve"> 1</w:t>
      </w:r>
      <w:r>
        <w:rPr>
          <w:rFonts w:ascii="Times New Roman" w:hAnsi="Times New Roman" w:cs="Times New Roman"/>
          <w:szCs w:val="24"/>
        </w:rPr>
        <w:t xml:space="preserve">981 ZLR 25 and </w:t>
      </w:r>
      <w:r>
        <w:rPr>
          <w:rFonts w:ascii="Times New Roman" w:hAnsi="Times New Roman" w:cs="Times New Roman"/>
          <w:i/>
          <w:szCs w:val="24"/>
        </w:rPr>
        <w:t>Chimponda &amp; Anor v</w:t>
      </w:r>
      <w:r>
        <w:rPr>
          <w:rFonts w:ascii="Times New Roman" w:hAnsi="Times New Roman" w:cs="Times New Roman"/>
          <w:szCs w:val="24"/>
        </w:rPr>
        <w:t xml:space="preserve"> </w:t>
      </w:r>
      <w:r>
        <w:rPr>
          <w:rFonts w:ascii="Times New Roman" w:hAnsi="Times New Roman" w:cs="Times New Roman"/>
          <w:i/>
          <w:szCs w:val="24"/>
        </w:rPr>
        <w:t>Muvami</w:t>
      </w:r>
      <w:r>
        <w:rPr>
          <w:rFonts w:ascii="Times New Roman" w:hAnsi="Times New Roman" w:cs="Times New Roman"/>
          <w:szCs w:val="24"/>
        </w:rPr>
        <w:t xml:space="preserve"> 2007 ZLR (2) 326.   Miss </w:t>
      </w:r>
      <w:r>
        <w:rPr>
          <w:rFonts w:ascii="Times New Roman" w:hAnsi="Times New Roman" w:cs="Times New Roman"/>
          <w:i/>
          <w:szCs w:val="24"/>
        </w:rPr>
        <w:t>Makamure</w:t>
      </w:r>
      <w:r>
        <w:rPr>
          <w:rFonts w:ascii="Times New Roman" w:hAnsi="Times New Roman" w:cs="Times New Roman"/>
          <w:szCs w:val="24"/>
        </w:rPr>
        <w:t xml:space="preserve"> for the first respondent supported the court </w:t>
      </w:r>
      <w:r>
        <w:rPr>
          <w:rFonts w:ascii="Times New Roman" w:hAnsi="Times New Roman" w:cs="Times New Roman"/>
          <w:i/>
          <w:szCs w:val="24"/>
        </w:rPr>
        <w:t>a quo’s</w:t>
      </w:r>
      <w:r>
        <w:rPr>
          <w:rFonts w:ascii="Times New Roman" w:hAnsi="Times New Roman" w:cs="Times New Roman"/>
          <w:szCs w:val="24"/>
        </w:rPr>
        <w:t xml:space="preserve"> decision that the Magistrate’s decision was “founded purely on adjectival law, regulating the manner in which the court is to be</w:t>
      </w:r>
      <w:r>
        <w:rPr>
          <w:rFonts w:ascii="Times New Roman" w:hAnsi="Times New Roman" w:cs="Times New Roman"/>
          <w:szCs w:val="24"/>
        </w:rPr>
        <w:t xml:space="preserve"> approached for the determination of the merits of the matter”. I do not agree.</w:t>
      </w:r>
    </w:p>
    <w:p w:rsidR="00862FC7" w:rsidRDefault="00702563">
      <w:pPr>
        <w:spacing w:after="0" w:line="240" w:lineRule="auto"/>
        <w:ind w:left="2160"/>
        <w:jc w:val="both"/>
        <w:rPr>
          <w:rFonts w:ascii="Times New Roman" w:hAnsi="Times New Roman" w:cs="Times New Roman"/>
          <w:szCs w:val="24"/>
        </w:rPr>
      </w:pPr>
      <w:r>
        <w:rPr>
          <w:rFonts w:ascii="Times New Roman" w:hAnsi="Times New Roman" w:cs="Times New Roman"/>
          <w:szCs w:val="24"/>
        </w:rPr>
        <w:br/>
      </w:r>
    </w:p>
    <w:p w:rsidR="00862FC7" w:rsidRDefault="00702563">
      <w:pPr>
        <w:tabs>
          <w:tab w:val="left" w:pos="270"/>
        </w:tabs>
        <w:spacing w:line="240" w:lineRule="auto"/>
        <w:ind w:left="2160"/>
        <w:jc w:val="both"/>
        <w:rPr>
          <w:rFonts w:ascii="Times New Roman" w:hAnsi="Times New Roman" w:cs="Times New Roman"/>
          <w:sz w:val="20"/>
          <w:szCs w:val="24"/>
        </w:rPr>
      </w:pPr>
      <w:r>
        <w:rPr>
          <w:rFonts w:ascii="Times New Roman" w:hAnsi="Times New Roman" w:cs="Times New Roman"/>
          <w:i/>
          <w:szCs w:val="24"/>
        </w:rPr>
        <w:t>The tag of incompetence placed on the first respondent by the Magistrate is definitive and final until set aside by a competent court</w:t>
      </w:r>
      <w:r>
        <w:rPr>
          <w:rFonts w:ascii="Times New Roman" w:hAnsi="Times New Roman" w:cs="Times New Roman"/>
          <w:szCs w:val="24"/>
        </w:rPr>
        <w:t>.  The High Court had no authority to set</w:t>
      </w:r>
      <w:r>
        <w:rPr>
          <w:rFonts w:ascii="Times New Roman" w:hAnsi="Times New Roman" w:cs="Times New Roman"/>
          <w:szCs w:val="24"/>
        </w:rPr>
        <w:t xml:space="preserve"> it aside as it was not sitting as a review or an appellate court.”  </w:t>
      </w:r>
      <w:r>
        <w:rPr>
          <w:rFonts w:ascii="Times New Roman" w:hAnsi="Times New Roman" w:cs="Times New Roman"/>
          <w:sz w:val="24"/>
          <w:szCs w:val="24"/>
        </w:rPr>
        <w:t xml:space="preserve">[Emphasis mine]. </w:t>
      </w:r>
    </w:p>
    <w:p w:rsidR="00862FC7" w:rsidRDefault="00702563">
      <w:pPr>
        <w:pStyle w:val="ListParagraph"/>
        <w:numPr>
          <w:ilvl w:val="0"/>
          <w:numId w:val="1"/>
        </w:numPr>
        <w:tabs>
          <w:tab w:val="left" w:pos="270"/>
        </w:tabs>
        <w:spacing w:line="360" w:lineRule="auto"/>
        <w:jc w:val="both"/>
        <w:rPr>
          <w:rFonts w:ascii="Times New Roman" w:hAnsi="Times New Roman" w:cs="Times New Roman"/>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Elephant College </w:t>
      </w:r>
      <w:r>
        <w:rPr>
          <w:rFonts w:ascii="Times New Roman" w:hAnsi="Times New Roman" w:cs="Times New Roman"/>
          <w:sz w:val="24"/>
          <w:szCs w:val="24"/>
        </w:rPr>
        <w:t>v</w:t>
      </w:r>
      <w:r>
        <w:rPr>
          <w:rFonts w:ascii="Times New Roman" w:hAnsi="Times New Roman" w:cs="Times New Roman"/>
          <w:i/>
          <w:sz w:val="24"/>
          <w:szCs w:val="24"/>
        </w:rPr>
        <w:t xml:space="preserve"> Chiyangwa &amp; Anor supra</w:t>
      </w:r>
      <w:r>
        <w:rPr>
          <w:rFonts w:ascii="Times New Roman" w:hAnsi="Times New Roman" w:cs="Times New Roman"/>
          <w:sz w:val="24"/>
          <w:szCs w:val="24"/>
        </w:rPr>
        <w:t xml:space="preserve">, the Supreme Court pronounced at p.1290 A-D that: </w:t>
      </w:r>
    </w:p>
    <w:p w:rsidR="00862FC7" w:rsidRDefault="00702563">
      <w:pPr>
        <w:autoSpaceDE w:val="0"/>
        <w:autoSpaceDN w:val="0"/>
        <w:adjustRightInd w:val="0"/>
        <w:spacing w:after="0" w:line="240" w:lineRule="auto"/>
        <w:ind w:left="1440"/>
        <w:jc w:val="both"/>
        <w:rPr>
          <w:rFonts w:ascii="Times New Roman" w:hAnsi="Times New Roman" w:cs="Times New Roman"/>
          <w:szCs w:val="24"/>
        </w:rPr>
      </w:pPr>
      <w:r>
        <w:rPr>
          <w:rFonts w:ascii="Times New Roman" w:hAnsi="Times New Roman" w:cs="Times New Roman"/>
          <w:szCs w:val="24"/>
        </w:rPr>
        <w:t xml:space="preserve">“Whilst the position regarding when the High Court may grant a </w:t>
      </w:r>
      <w:r>
        <w:rPr>
          <w:rFonts w:ascii="Times New Roman" w:hAnsi="Times New Roman" w:cs="Times New Roman"/>
          <w:i/>
          <w:szCs w:val="24"/>
        </w:rPr>
        <w:t>declaratur</w:t>
      </w:r>
      <w:r>
        <w:rPr>
          <w:rFonts w:ascii="Times New Roman" w:hAnsi="Times New Roman" w:cs="Times New Roman"/>
          <w:i/>
          <w:szCs w:val="24"/>
        </w:rPr>
        <w:t xml:space="preserve"> </w:t>
      </w:r>
      <w:r>
        <w:rPr>
          <w:rFonts w:ascii="Times New Roman" w:hAnsi="Times New Roman" w:cs="Times New Roman"/>
          <w:szCs w:val="24"/>
        </w:rPr>
        <w:t>is settled, it however presents itself quite clearly to me that in exercising the discretion granted to it by s 14 of the High Court Act, that court may not determine a right or obligation that has already been determined by another competent court. In ot</w:t>
      </w:r>
      <w:r>
        <w:rPr>
          <w:rFonts w:ascii="Times New Roman" w:hAnsi="Times New Roman" w:cs="Times New Roman"/>
          <w:szCs w:val="24"/>
        </w:rPr>
        <w:t>her words, it cannot issue a declaratory order in respect of a right or obligation which has been defined and given content to by an extant judgment.</w:t>
      </w:r>
    </w:p>
    <w:p w:rsidR="00862FC7" w:rsidRDefault="00862FC7">
      <w:pPr>
        <w:autoSpaceDE w:val="0"/>
        <w:autoSpaceDN w:val="0"/>
        <w:adjustRightInd w:val="0"/>
        <w:spacing w:after="0" w:line="240" w:lineRule="auto"/>
        <w:ind w:left="1440"/>
        <w:jc w:val="both"/>
        <w:rPr>
          <w:rFonts w:ascii="Times New Roman" w:hAnsi="Times New Roman" w:cs="Times New Roman"/>
          <w:szCs w:val="24"/>
        </w:rPr>
      </w:pPr>
    </w:p>
    <w:p w:rsidR="00862FC7" w:rsidRDefault="00702563">
      <w:pPr>
        <w:autoSpaceDE w:val="0"/>
        <w:autoSpaceDN w:val="0"/>
        <w:adjustRightInd w:val="0"/>
        <w:spacing w:after="0" w:line="240" w:lineRule="auto"/>
        <w:ind w:left="1440"/>
        <w:jc w:val="both"/>
        <w:rPr>
          <w:rFonts w:ascii="Times New Roman" w:hAnsi="Times New Roman" w:cs="Times New Roman"/>
          <w:szCs w:val="24"/>
        </w:rPr>
      </w:pPr>
      <w:r>
        <w:rPr>
          <w:rFonts w:ascii="Times New Roman" w:hAnsi="Times New Roman" w:cs="Times New Roman"/>
          <w:szCs w:val="24"/>
        </w:rPr>
        <w:t>A number of settled legal principles and broad considerations the discussion of which is not necessary fo</w:t>
      </w:r>
      <w:r>
        <w:rPr>
          <w:rFonts w:ascii="Times New Roman" w:hAnsi="Times New Roman" w:cs="Times New Roman"/>
          <w:szCs w:val="24"/>
        </w:rPr>
        <w:t xml:space="preserve">r this judgment, combine to forbid a court from revisiting a dispute that has already been resolved. These include the principles of issue estoppel and </w:t>
      </w:r>
      <w:r>
        <w:rPr>
          <w:rFonts w:ascii="Times New Roman" w:hAnsi="Times New Roman" w:cs="Times New Roman"/>
          <w:i/>
          <w:iCs/>
          <w:szCs w:val="24"/>
        </w:rPr>
        <w:t>res judicata,</w:t>
      </w:r>
      <w:r>
        <w:rPr>
          <w:rFonts w:ascii="Times New Roman" w:hAnsi="Times New Roman" w:cs="Times New Roman"/>
          <w:szCs w:val="24"/>
        </w:rPr>
        <w:t xml:space="preserve"> quite apart from the broad considerations that emphasise the need to see finality in litig</w:t>
      </w:r>
      <w:r>
        <w:rPr>
          <w:rFonts w:ascii="Times New Roman" w:hAnsi="Times New Roman" w:cs="Times New Roman"/>
          <w:szCs w:val="24"/>
        </w:rPr>
        <w:t xml:space="preserve">ation. </w:t>
      </w:r>
    </w:p>
    <w:p w:rsidR="00862FC7" w:rsidRDefault="00862FC7">
      <w:pPr>
        <w:autoSpaceDE w:val="0"/>
        <w:autoSpaceDN w:val="0"/>
        <w:adjustRightInd w:val="0"/>
        <w:spacing w:after="0" w:line="240" w:lineRule="auto"/>
        <w:ind w:left="1440" w:firstLine="1134"/>
        <w:jc w:val="both"/>
        <w:rPr>
          <w:rFonts w:ascii="Times New Roman" w:hAnsi="Times New Roman" w:cs="Times New Roman"/>
          <w:szCs w:val="24"/>
        </w:rPr>
      </w:pPr>
    </w:p>
    <w:p w:rsidR="00862FC7" w:rsidRDefault="00702563">
      <w:pPr>
        <w:autoSpaceDE w:val="0"/>
        <w:autoSpaceDN w:val="0"/>
        <w:adjustRightInd w:val="0"/>
        <w:spacing w:after="0" w:line="240" w:lineRule="auto"/>
        <w:ind w:left="1440"/>
        <w:jc w:val="both"/>
        <w:rPr>
          <w:rFonts w:ascii="Times New Roman" w:hAnsi="Times New Roman" w:cs="Times New Roman"/>
          <w:szCs w:val="24"/>
        </w:rPr>
      </w:pPr>
      <w:r>
        <w:rPr>
          <w:rFonts w:ascii="Times New Roman" w:hAnsi="Times New Roman" w:cs="Times New Roman"/>
          <w:szCs w:val="24"/>
        </w:rPr>
        <w:t xml:space="preserve">Thus, the general position of the law is that, following the passing of a judgment in the dispute between the parties, proceedings filed thereafter by the same parties over the same dispute other than as a review or appeal, are incompetent to the </w:t>
      </w:r>
      <w:r>
        <w:rPr>
          <w:rFonts w:ascii="Times New Roman" w:hAnsi="Times New Roman" w:cs="Times New Roman"/>
          <w:szCs w:val="24"/>
        </w:rPr>
        <w:t xml:space="preserve">extent that they do not seek to set aside or correct the extant judgment……” </w:t>
      </w:r>
    </w:p>
    <w:p w:rsidR="00862FC7" w:rsidRDefault="00862FC7">
      <w:pPr>
        <w:autoSpaceDE w:val="0"/>
        <w:autoSpaceDN w:val="0"/>
        <w:adjustRightInd w:val="0"/>
        <w:spacing w:after="0" w:line="240" w:lineRule="auto"/>
        <w:ind w:left="1440"/>
        <w:jc w:val="both"/>
        <w:rPr>
          <w:rFonts w:ascii="Times New Roman" w:hAnsi="Times New Roman" w:cs="Times New Roman"/>
          <w:szCs w:val="24"/>
        </w:rPr>
      </w:pPr>
    </w:p>
    <w:p w:rsidR="00862FC7" w:rsidRDefault="00702563">
      <w:pPr>
        <w:pStyle w:val="ListParagraph"/>
        <w:numPr>
          <w:ilvl w:val="0"/>
          <w:numId w:val="1"/>
        </w:numPr>
        <w:tabs>
          <w:tab w:val="left" w:pos="270"/>
        </w:tabs>
        <w:spacing w:line="360" w:lineRule="auto"/>
        <w:jc w:val="both"/>
        <w:rPr>
          <w:rFonts w:ascii="Times New Roman" w:hAnsi="Times New Roman" w:cs="Times New Roman"/>
          <w:szCs w:val="24"/>
        </w:rPr>
      </w:pPr>
      <w:r>
        <w:rPr>
          <w:rFonts w:ascii="Times New Roman" w:hAnsi="Times New Roman" w:cs="Times New Roman"/>
          <w:sz w:val="24"/>
          <w:szCs w:val="24"/>
        </w:rPr>
        <w:t>Turning to the facts of this matter, it is not in dispute that the applicant is aggrieved by the decision of the magistrates’ court. More particularly, the applicant has petition</w:t>
      </w:r>
      <w:r>
        <w:rPr>
          <w:rFonts w:ascii="Times New Roman" w:hAnsi="Times New Roman" w:cs="Times New Roman"/>
          <w:sz w:val="24"/>
          <w:szCs w:val="24"/>
        </w:rPr>
        <w:t xml:space="preserve">ed this </w:t>
      </w:r>
      <w:r>
        <w:rPr>
          <w:rFonts w:ascii="Times New Roman" w:hAnsi="Times New Roman" w:cs="Times New Roman"/>
          <w:sz w:val="24"/>
          <w:szCs w:val="24"/>
        </w:rPr>
        <w:lastRenderedPageBreak/>
        <w:t xml:space="preserve">court to declare that the respondent is not its statutory tenant. It seeks that declaration on the basis of this court’s decision in </w:t>
      </w:r>
      <w:r>
        <w:rPr>
          <w:rFonts w:ascii="Times New Roman" w:hAnsi="Times New Roman" w:cs="Times New Roman"/>
          <w:i/>
          <w:sz w:val="24"/>
          <w:szCs w:val="24"/>
        </w:rPr>
        <w:t>Elnour supra</w:t>
      </w:r>
      <w:r>
        <w:rPr>
          <w:rFonts w:ascii="Times New Roman" w:hAnsi="Times New Roman" w:cs="Times New Roman"/>
          <w:sz w:val="24"/>
          <w:szCs w:val="24"/>
        </w:rPr>
        <w:t xml:space="preserve">.  The magistrates’ court has determined that the decision in </w:t>
      </w:r>
      <w:r>
        <w:rPr>
          <w:rFonts w:ascii="Times New Roman" w:hAnsi="Times New Roman" w:cs="Times New Roman"/>
          <w:i/>
          <w:sz w:val="24"/>
          <w:szCs w:val="24"/>
        </w:rPr>
        <w:t>Elnour supra</w:t>
      </w:r>
      <w:r>
        <w:rPr>
          <w:rFonts w:ascii="Times New Roman" w:hAnsi="Times New Roman" w:cs="Times New Roman"/>
          <w:sz w:val="24"/>
          <w:szCs w:val="24"/>
        </w:rPr>
        <w:t xml:space="preserve"> has not been confirmed by th</w:t>
      </w:r>
      <w:r>
        <w:rPr>
          <w:rFonts w:ascii="Times New Roman" w:hAnsi="Times New Roman" w:cs="Times New Roman"/>
          <w:sz w:val="24"/>
          <w:szCs w:val="24"/>
        </w:rPr>
        <w:t>e Constitutional Court. By pronouncing itself as it did, the magistrates’ court, by implication, ruled that statutory tenancy is still part of our law. It is common cause that that decision is extant. The applicant now seeks, by way of a declaratur, for th</w:t>
      </w:r>
      <w:r>
        <w:rPr>
          <w:rFonts w:ascii="Times New Roman" w:hAnsi="Times New Roman" w:cs="Times New Roman"/>
          <w:sz w:val="24"/>
          <w:szCs w:val="24"/>
        </w:rPr>
        <w:t xml:space="preserve">is court to determine its rights and the respondent’s obligations on the basis that it has a view different from that expressed in the magistrates’ court decision on the implications of the decision in the </w:t>
      </w:r>
      <w:r>
        <w:rPr>
          <w:rFonts w:ascii="Times New Roman" w:hAnsi="Times New Roman" w:cs="Times New Roman"/>
          <w:i/>
          <w:sz w:val="24"/>
          <w:szCs w:val="24"/>
        </w:rPr>
        <w:t>Elnour</w:t>
      </w:r>
      <w:r>
        <w:rPr>
          <w:rFonts w:ascii="Times New Roman" w:hAnsi="Times New Roman" w:cs="Times New Roman"/>
          <w:sz w:val="24"/>
          <w:szCs w:val="24"/>
        </w:rPr>
        <w:t xml:space="preserve"> case. In my view, it is incompetent for the</w:t>
      </w:r>
      <w:r>
        <w:rPr>
          <w:rFonts w:ascii="Times New Roman" w:hAnsi="Times New Roman" w:cs="Times New Roman"/>
          <w:sz w:val="24"/>
          <w:szCs w:val="24"/>
        </w:rPr>
        <w:t xml:space="preserve"> applicant to seek a declaratur in the circumstances of this case. It is my view that the applicant cannot seek to circumvent the implications of the extant judgment of the magistrates’ court by filing this application. It is my further view that the magis</w:t>
      </w:r>
      <w:r>
        <w:rPr>
          <w:rFonts w:ascii="Times New Roman" w:hAnsi="Times New Roman" w:cs="Times New Roman"/>
          <w:sz w:val="24"/>
          <w:szCs w:val="24"/>
        </w:rPr>
        <w:t xml:space="preserve">trates’ court decision defined and gave content to the question of statutory tenancy and consequently robbed this court of any discretion in the matter in the first instance. I find that following the magistrates’ court pronouncement that the </w:t>
      </w:r>
      <w:r>
        <w:rPr>
          <w:rFonts w:ascii="Times New Roman" w:hAnsi="Times New Roman" w:cs="Times New Roman"/>
          <w:i/>
          <w:sz w:val="24"/>
          <w:szCs w:val="24"/>
        </w:rPr>
        <w:t xml:space="preserve">Elnour </w:t>
      </w:r>
      <w:r>
        <w:rPr>
          <w:rFonts w:ascii="Times New Roman" w:hAnsi="Times New Roman" w:cs="Times New Roman"/>
          <w:sz w:val="24"/>
          <w:szCs w:val="24"/>
        </w:rPr>
        <w:t>decisi</w:t>
      </w:r>
      <w:r>
        <w:rPr>
          <w:rFonts w:ascii="Times New Roman" w:hAnsi="Times New Roman" w:cs="Times New Roman"/>
          <w:sz w:val="24"/>
          <w:szCs w:val="24"/>
        </w:rPr>
        <w:t>on has not been confirmed by the Constitutional Court and by implication statutory tenancy is still part of our law, it was procedurally incompetent for the applicant to approach this court over the same dispute other than by way of appeal or review, to th</w:t>
      </w:r>
      <w:r>
        <w:rPr>
          <w:rFonts w:ascii="Times New Roman" w:hAnsi="Times New Roman" w:cs="Times New Roman"/>
          <w:sz w:val="24"/>
          <w:szCs w:val="24"/>
        </w:rPr>
        <w:t xml:space="preserve">e extent that the applicant is not motivating this court to set aside or correct the extant determination of the magistrates’ court. I can only exercise my powers to overrule an extant decision of the magistrates’ court by way of appeal or review. </w:t>
      </w:r>
    </w:p>
    <w:p w:rsidR="00862FC7" w:rsidRDefault="00702563">
      <w:pPr>
        <w:pStyle w:val="ListParagraph"/>
        <w:numPr>
          <w:ilvl w:val="0"/>
          <w:numId w:val="1"/>
        </w:numPr>
        <w:tabs>
          <w:tab w:val="left" w:pos="270"/>
        </w:tabs>
        <w:spacing w:line="360" w:lineRule="auto"/>
        <w:jc w:val="both"/>
        <w:rPr>
          <w:rFonts w:ascii="Times New Roman" w:hAnsi="Times New Roman" w:cs="Times New Roman"/>
          <w:sz w:val="24"/>
          <w:szCs w:val="21"/>
          <w:lang w:val="en-ZW" w:eastAsia="en-ZW"/>
        </w:rPr>
      </w:pPr>
      <w:r>
        <w:rPr>
          <w:rFonts w:ascii="Times New Roman" w:hAnsi="Times New Roman" w:cs="Times New Roman"/>
          <w:sz w:val="24"/>
          <w:szCs w:val="24"/>
        </w:rPr>
        <w:t>There i</w:t>
      </w:r>
      <w:r>
        <w:rPr>
          <w:rFonts w:ascii="Times New Roman" w:hAnsi="Times New Roman" w:cs="Times New Roman"/>
          <w:sz w:val="24"/>
          <w:szCs w:val="24"/>
        </w:rPr>
        <w:t xml:space="preserve">s another issue warranting brief discussion. As correctly submitted by Mr </w:t>
      </w:r>
      <w:r>
        <w:rPr>
          <w:rFonts w:ascii="Times New Roman" w:hAnsi="Times New Roman" w:cs="Times New Roman"/>
          <w:i/>
          <w:sz w:val="24"/>
          <w:szCs w:val="24"/>
        </w:rPr>
        <w:t>Zhuwarara</w:t>
      </w:r>
      <w:r>
        <w:rPr>
          <w:rFonts w:ascii="Times New Roman" w:hAnsi="Times New Roman" w:cs="Times New Roman"/>
          <w:sz w:val="24"/>
          <w:szCs w:val="24"/>
        </w:rPr>
        <w:t xml:space="preserve">, there is ample authority on the position of the law that where a defendant has been absolved from the instance, the plaintiff may reinstitute the action, provided that it has not prescribed.  See for example </w:t>
      </w:r>
      <w:r>
        <w:rPr>
          <w:rFonts w:ascii="Times New Roman" w:hAnsi="Times New Roman" w:cs="Times New Roman"/>
          <w:i/>
          <w:sz w:val="24"/>
          <w:szCs w:val="24"/>
        </w:rPr>
        <w:t xml:space="preserve">MC Plumbing (Private) Limited </w:t>
      </w:r>
      <w:r>
        <w:rPr>
          <w:rFonts w:ascii="Times New Roman" w:hAnsi="Times New Roman" w:cs="Times New Roman"/>
          <w:sz w:val="24"/>
          <w:szCs w:val="24"/>
        </w:rPr>
        <w:t>v</w:t>
      </w:r>
      <w:r>
        <w:rPr>
          <w:rFonts w:ascii="Times New Roman" w:hAnsi="Times New Roman" w:cs="Times New Roman"/>
          <w:i/>
          <w:sz w:val="24"/>
          <w:szCs w:val="24"/>
        </w:rPr>
        <w:t xml:space="preserve"> Hualong Constr</w:t>
      </w:r>
      <w:r>
        <w:rPr>
          <w:rFonts w:ascii="Times New Roman" w:hAnsi="Times New Roman" w:cs="Times New Roman"/>
          <w:i/>
          <w:sz w:val="24"/>
          <w:szCs w:val="24"/>
        </w:rPr>
        <w:t xml:space="preserve">uction supra </w:t>
      </w:r>
      <w:r>
        <w:rPr>
          <w:rFonts w:ascii="Times New Roman" w:hAnsi="Times New Roman" w:cs="Times New Roman"/>
          <w:sz w:val="24"/>
          <w:szCs w:val="24"/>
        </w:rPr>
        <w:t xml:space="preserve">and </w:t>
      </w:r>
      <w:r>
        <w:rPr>
          <w:rFonts w:ascii="Times New Roman" w:hAnsi="Times New Roman" w:cs="Times New Roman"/>
          <w:i/>
          <w:sz w:val="24"/>
          <w:szCs w:val="24"/>
        </w:rPr>
        <w:t xml:space="preserve">Sibanda </w:t>
      </w:r>
      <w:r>
        <w:rPr>
          <w:rFonts w:ascii="Times New Roman" w:hAnsi="Times New Roman" w:cs="Times New Roman"/>
          <w:sz w:val="24"/>
          <w:szCs w:val="24"/>
        </w:rPr>
        <w:t>v</w:t>
      </w:r>
      <w:r>
        <w:rPr>
          <w:rFonts w:ascii="Times New Roman" w:hAnsi="Times New Roman" w:cs="Times New Roman"/>
          <w:i/>
          <w:sz w:val="24"/>
          <w:szCs w:val="24"/>
        </w:rPr>
        <w:t xml:space="preserve"> Chikumba supra</w:t>
      </w:r>
      <w:r>
        <w:rPr>
          <w:rFonts w:ascii="Times New Roman" w:hAnsi="Times New Roman" w:cs="Times New Roman"/>
          <w:sz w:val="24"/>
          <w:szCs w:val="24"/>
        </w:rPr>
        <w:t xml:space="preserve">. </w:t>
      </w:r>
    </w:p>
    <w:p w:rsidR="00862FC7" w:rsidRDefault="00702563">
      <w:pPr>
        <w:pStyle w:val="ListParagraph"/>
        <w:numPr>
          <w:ilvl w:val="0"/>
          <w:numId w:val="1"/>
        </w:numPr>
        <w:tabs>
          <w:tab w:val="left" w:pos="270"/>
        </w:tabs>
        <w:spacing w:line="360" w:lineRule="auto"/>
        <w:jc w:val="both"/>
        <w:rPr>
          <w:rFonts w:ascii="Times New Roman" w:hAnsi="Times New Roman" w:cs="Times New Roman"/>
          <w:sz w:val="24"/>
          <w:szCs w:val="21"/>
          <w:lang w:val="en-ZW" w:eastAsia="en-ZW"/>
        </w:rPr>
      </w:pPr>
      <w:r>
        <w:rPr>
          <w:rFonts w:ascii="Times New Roman" w:hAnsi="Times New Roman" w:cs="Times New Roman"/>
          <w:sz w:val="24"/>
          <w:szCs w:val="24"/>
        </w:rPr>
        <w:t>If I have correctly understood the authorities, then while a plaintiff is not barred from re-instituting the action, it does not seem to me that a plaintiff can argue that he is entitled to totally abandon a clai</w:t>
      </w:r>
      <w:r>
        <w:rPr>
          <w:rFonts w:ascii="Times New Roman" w:hAnsi="Times New Roman" w:cs="Times New Roman"/>
          <w:sz w:val="24"/>
          <w:szCs w:val="24"/>
        </w:rPr>
        <w:t xml:space="preserve">m in a lower court and institute fresh proceedings in a superior court impliedly impugning the decision of the lower court under the guise of ‘reinstituting the action’. I do not understand the position to be that seeking a declaratory order in a </w:t>
      </w:r>
      <w:r>
        <w:rPr>
          <w:rFonts w:ascii="Times New Roman" w:hAnsi="Times New Roman" w:cs="Times New Roman"/>
          <w:sz w:val="24"/>
          <w:szCs w:val="24"/>
        </w:rPr>
        <w:lastRenderedPageBreak/>
        <w:t xml:space="preserve">superior </w:t>
      </w:r>
      <w:r>
        <w:rPr>
          <w:rFonts w:ascii="Times New Roman" w:hAnsi="Times New Roman" w:cs="Times New Roman"/>
          <w:sz w:val="24"/>
          <w:szCs w:val="24"/>
        </w:rPr>
        <w:t>court under such circumstances as the present matter fits into the category of ‘reinstituting the action’ following absolution from the instance in a lower court.</w:t>
      </w:r>
      <w:r>
        <w:rPr>
          <w:rFonts w:ascii="Times New Roman" w:hAnsi="Times New Roman" w:cs="Times New Roman"/>
          <w:sz w:val="24"/>
          <w:szCs w:val="21"/>
          <w:lang w:val="en-ZW" w:eastAsia="en-ZW"/>
        </w:rPr>
        <w:t xml:space="preserve"> </w:t>
      </w:r>
    </w:p>
    <w:p w:rsidR="00862FC7" w:rsidRDefault="00702563">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1"/>
          <w:lang w:val="en-ZW" w:eastAsia="en-ZW"/>
        </w:rPr>
        <w:t xml:space="preserve">For the purposes of determining this application, it is also necessary that I relate to Mr </w:t>
      </w:r>
      <w:r>
        <w:rPr>
          <w:rFonts w:ascii="Times New Roman" w:hAnsi="Times New Roman" w:cs="Times New Roman"/>
          <w:i/>
          <w:sz w:val="24"/>
          <w:szCs w:val="21"/>
          <w:lang w:val="en-ZW" w:eastAsia="en-ZW"/>
        </w:rPr>
        <w:t>Z</w:t>
      </w:r>
      <w:r>
        <w:rPr>
          <w:rFonts w:ascii="Times New Roman" w:hAnsi="Times New Roman" w:cs="Times New Roman"/>
          <w:i/>
          <w:sz w:val="24"/>
          <w:szCs w:val="21"/>
          <w:lang w:val="en-ZW" w:eastAsia="en-ZW"/>
        </w:rPr>
        <w:t>huwarara</w:t>
      </w:r>
      <w:r>
        <w:rPr>
          <w:rFonts w:ascii="Times New Roman" w:hAnsi="Times New Roman" w:cs="Times New Roman"/>
          <w:sz w:val="24"/>
          <w:szCs w:val="21"/>
          <w:lang w:val="en-ZW" w:eastAsia="en-ZW"/>
        </w:rPr>
        <w:t xml:space="preserve">’s other argument that on the authority of </w:t>
      </w:r>
      <w:r>
        <w:rPr>
          <w:rFonts w:ascii="Times New Roman" w:hAnsi="Times New Roman" w:cs="Times New Roman"/>
          <w:i/>
          <w:sz w:val="24"/>
          <w:szCs w:val="21"/>
          <w:lang w:val="en-ZW" w:eastAsia="en-ZW"/>
        </w:rPr>
        <w:t>Streamsleigh Investments supra</w:t>
      </w:r>
      <w:r>
        <w:rPr>
          <w:rFonts w:ascii="Times New Roman" w:hAnsi="Times New Roman" w:cs="Times New Roman"/>
          <w:sz w:val="24"/>
          <w:szCs w:val="21"/>
          <w:lang w:val="en-ZW" w:eastAsia="en-ZW"/>
        </w:rPr>
        <w:t>, the course of action adopted by the applicant is proper because only the High Court is empowered to grant declaratory order. To the extent that only the High Court can grant</w:t>
      </w:r>
      <w:r>
        <w:rPr>
          <w:rFonts w:ascii="Times New Roman" w:hAnsi="Times New Roman" w:cs="Times New Roman"/>
          <w:sz w:val="24"/>
          <w:szCs w:val="21"/>
          <w:lang w:val="en-ZW" w:eastAsia="en-ZW"/>
        </w:rPr>
        <w:t xml:space="preserve"> declaratory relief, I agree. But that is as far as I do. I do not agree that a litigant can use a court system to undermine a judicial process. </w:t>
      </w:r>
      <w:r>
        <w:rPr>
          <w:rFonts w:ascii="Times New Roman" w:hAnsi="Times New Roman" w:cs="Times New Roman"/>
          <w:smallCaps/>
          <w:sz w:val="24"/>
          <w:szCs w:val="24"/>
        </w:rPr>
        <w:t xml:space="preserve">Gowora </w:t>
      </w:r>
      <w:r>
        <w:rPr>
          <w:rFonts w:ascii="Times New Roman" w:hAnsi="Times New Roman" w:cs="Times New Roman"/>
          <w:sz w:val="24"/>
          <w:szCs w:val="24"/>
        </w:rPr>
        <w:t xml:space="preserve">JA (as she then was) confirms this position of the law in the </w:t>
      </w:r>
      <w:r>
        <w:rPr>
          <w:rFonts w:ascii="Times New Roman" w:hAnsi="Times New Roman" w:cs="Times New Roman"/>
          <w:i/>
          <w:sz w:val="24"/>
          <w:szCs w:val="21"/>
          <w:lang w:val="en-ZW" w:eastAsia="en-ZW"/>
        </w:rPr>
        <w:t xml:space="preserve">Streamsleigh Investments </w:t>
      </w:r>
      <w:r>
        <w:rPr>
          <w:rFonts w:ascii="Times New Roman" w:hAnsi="Times New Roman" w:cs="Times New Roman"/>
          <w:sz w:val="24"/>
          <w:szCs w:val="21"/>
          <w:lang w:val="en-ZW" w:eastAsia="en-ZW"/>
        </w:rPr>
        <w:t>case</w:t>
      </w:r>
      <w:r>
        <w:rPr>
          <w:rStyle w:val="FootnoteReference"/>
          <w:rFonts w:ascii="Times New Roman" w:hAnsi="Times New Roman" w:cs="Times New Roman"/>
          <w:sz w:val="24"/>
          <w:szCs w:val="21"/>
          <w:lang w:val="en-ZW" w:eastAsia="en-ZW"/>
        </w:rPr>
        <w:footnoteReference w:id="1"/>
      </w:r>
      <w:r>
        <w:rPr>
          <w:rFonts w:ascii="Times New Roman" w:hAnsi="Times New Roman" w:cs="Times New Roman"/>
          <w:sz w:val="24"/>
          <w:szCs w:val="21"/>
          <w:lang w:val="en-ZW" w:eastAsia="en-ZW"/>
        </w:rPr>
        <w:t>.</w:t>
      </w:r>
      <w:r>
        <w:rPr>
          <w:rFonts w:ascii="Times New Roman" w:hAnsi="Times New Roman" w:cs="Times New Roman"/>
          <w:i/>
          <w:sz w:val="24"/>
          <w:szCs w:val="21"/>
          <w:lang w:val="en-ZW" w:eastAsia="en-ZW"/>
        </w:rPr>
        <w:t xml:space="preserve"> </w:t>
      </w:r>
      <w:r>
        <w:rPr>
          <w:rFonts w:ascii="Times New Roman" w:hAnsi="Times New Roman" w:cs="Times New Roman"/>
          <w:sz w:val="24"/>
          <w:szCs w:val="24"/>
        </w:rPr>
        <w:t>In any eve</w:t>
      </w:r>
      <w:r>
        <w:rPr>
          <w:rFonts w:ascii="Times New Roman" w:hAnsi="Times New Roman" w:cs="Times New Roman"/>
          <w:sz w:val="24"/>
          <w:szCs w:val="24"/>
        </w:rPr>
        <w:t xml:space="preserve">nt, the point of departure in </w:t>
      </w:r>
      <w:r>
        <w:rPr>
          <w:rFonts w:ascii="Times New Roman" w:hAnsi="Times New Roman" w:cs="Times New Roman"/>
          <w:i/>
          <w:sz w:val="24"/>
          <w:szCs w:val="21"/>
          <w:lang w:val="en-ZW" w:eastAsia="en-ZW"/>
        </w:rPr>
        <w:t xml:space="preserve">Streamsleigh Investments supra </w:t>
      </w:r>
      <w:r>
        <w:rPr>
          <w:rFonts w:ascii="Times New Roman" w:hAnsi="Times New Roman" w:cs="Times New Roman"/>
          <w:sz w:val="24"/>
          <w:szCs w:val="24"/>
        </w:rPr>
        <w:t xml:space="preserve">was that the dispute between the parties commenced in the High Court, and not in the magistrates’ court. </w:t>
      </w:r>
    </w:p>
    <w:p w:rsidR="00862FC7" w:rsidRDefault="00702563">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final analysis, whilst it is trite that only the High Court can grant declaratory </w:t>
      </w:r>
      <w:r>
        <w:rPr>
          <w:rFonts w:ascii="Times New Roman" w:hAnsi="Times New Roman" w:cs="Times New Roman"/>
          <w:sz w:val="24"/>
          <w:szCs w:val="24"/>
        </w:rPr>
        <w:t xml:space="preserve">relief, the Supreme Court has already determined in </w:t>
      </w:r>
      <w:r>
        <w:rPr>
          <w:rFonts w:ascii="Times New Roman" w:hAnsi="Times New Roman" w:cs="Times New Roman"/>
          <w:i/>
          <w:sz w:val="24"/>
          <w:szCs w:val="24"/>
        </w:rPr>
        <w:t>Elephant College supra</w:t>
      </w:r>
      <w:r>
        <w:rPr>
          <w:rFonts w:ascii="Times New Roman" w:hAnsi="Times New Roman" w:cs="Times New Roman"/>
          <w:sz w:val="24"/>
          <w:szCs w:val="24"/>
        </w:rPr>
        <w:t xml:space="preserve"> that the discretion under s14 of the High Court Act is not exercisable where the right or obligation has already been determined by another competent court. I find that this is prec</w:t>
      </w:r>
      <w:r>
        <w:rPr>
          <w:rFonts w:ascii="Times New Roman" w:hAnsi="Times New Roman" w:cs="Times New Roman"/>
          <w:sz w:val="24"/>
          <w:szCs w:val="24"/>
        </w:rPr>
        <w:t xml:space="preserve">isely what the applicant is seeking to do in the present matter. This is procedurally untenable for the reasons I have already outlined above. </w:t>
      </w:r>
    </w:p>
    <w:p w:rsidR="00862FC7" w:rsidRDefault="00862FC7">
      <w:pPr>
        <w:pStyle w:val="ListParagraph"/>
        <w:tabs>
          <w:tab w:val="left" w:pos="270"/>
        </w:tabs>
        <w:spacing w:line="360" w:lineRule="auto"/>
        <w:ind w:left="-180"/>
        <w:jc w:val="both"/>
        <w:rPr>
          <w:rFonts w:ascii="Times New Roman" w:hAnsi="Times New Roman" w:cs="Times New Roman"/>
          <w:sz w:val="24"/>
          <w:szCs w:val="24"/>
        </w:rPr>
      </w:pPr>
    </w:p>
    <w:p w:rsidR="00862FC7" w:rsidRDefault="00702563">
      <w:pPr>
        <w:pStyle w:val="ListParagraph"/>
        <w:tabs>
          <w:tab w:val="left" w:pos="270"/>
        </w:tabs>
        <w:spacing w:line="360" w:lineRule="auto"/>
        <w:ind w:left="-180"/>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DISPOSITION</w:t>
      </w:r>
    </w:p>
    <w:p w:rsidR="00862FC7" w:rsidRDefault="00702563">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In view of the foregoing, it is ordered that: </w:t>
      </w:r>
    </w:p>
    <w:p w:rsidR="00862FC7" w:rsidRDefault="00702563">
      <w:pPr>
        <w:pStyle w:val="ListParagraph"/>
        <w:numPr>
          <w:ilvl w:val="0"/>
          <w:numId w:val="3"/>
        </w:numPr>
        <w:tabs>
          <w:tab w:val="left" w:pos="270"/>
        </w:tabs>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The application for a declaratur be and is hereby dismissed with costs. </w:t>
      </w:r>
    </w:p>
    <w:p w:rsidR="00862FC7" w:rsidRDefault="00702563">
      <w:pPr>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Mushure J</w:t>
      </w:r>
      <w:r>
        <w:rPr>
          <w:rFonts w:ascii="Times New Roman" w:hAnsi="Times New Roman" w:cs="Times New Roman"/>
          <w:sz w:val="24"/>
          <w:szCs w:val="24"/>
        </w:rPr>
        <w:t>: .................................................................</w:t>
      </w:r>
    </w:p>
    <w:p w:rsidR="00862FC7" w:rsidRDefault="00862FC7">
      <w:pPr>
        <w:spacing w:after="0" w:line="240" w:lineRule="auto"/>
        <w:jc w:val="both"/>
        <w:rPr>
          <w:rFonts w:ascii="Times New Roman" w:hAnsi="Times New Roman" w:cs="Times New Roman"/>
          <w:i/>
          <w:iCs/>
          <w:sz w:val="24"/>
          <w:szCs w:val="24"/>
        </w:rPr>
      </w:pPr>
    </w:p>
    <w:p w:rsidR="00862FC7" w:rsidRDefault="0070256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Corious &amp; Co Attorneys</w:t>
      </w:r>
      <w:r>
        <w:rPr>
          <w:rFonts w:ascii="Times New Roman" w:hAnsi="Times New Roman" w:cs="Times New Roman"/>
          <w:sz w:val="24"/>
          <w:szCs w:val="24"/>
        </w:rPr>
        <w:t xml:space="preserve">, applicant’s legal practitioners </w:t>
      </w:r>
    </w:p>
    <w:p w:rsidR="00862FC7" w:rsidRDefault="0070256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Rubaya &amp; Chatambudza</w:t>
      </w:r>
      <w:r>
        <w:rPr>
          <w:rFonts w:ascii="Times New Roman" w:hAnsi="Times New Roman" w:cs="Times New Roman"/>
          <w:sz w:val="24"/>
          <w:szCs w:val="24"/>
        </w:rPr>
        <w:t>, respondent’s legal practit</w:t>
      </w:r>
      <w:r>
        <w:rPr>
          <w:rFonts w:ascii="Times New Roman" w:hAnsi="Times New Roman" w:cs="Times New Roman"/>
          <w:sz w:val="24"/>
          <w:szCs w:val="24"/>
        </w:rPr>
        <w:t xml:space="preserve">ioners </w:t>
      </w:r>
    </w:p>
    <w:p w:rsidR="00862FC7" w:rsidRDefault="00862FC7">
      <w:pPr>
        <w:jc w:val="both"/>
      </w:pPr>
    </w:p>
    <w:sectPr w:rsidR="00862FC7">
      <w:headerReference w:type="default" r:id="rId8"/>
      <w:pgSz w:w="12240" w:h="15840"/>
      <w:pgMar w:top="1135"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563" w:rsidRDefault="00702563">
      <w:pPr>
        <w:spacing w:line="240" w:lineRule="auto"/>
      </w:pPr>
      <w:r>
        <w:separator/>
      </w:r>
    </w:p>
  </w:endnote>
  <w:endnote w:type="continuationSeparator" w:id="0">
    <w:p w:rsidR="00702563" w:rsidRDefault="00702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563" w:rsidRDefault="00702563">
      <w:pPr>
        <w:spacing w:after="0"/>
      </w:pPr>
      <w:r>
        <w:separator/>
      </w:r>
    </w:p>
  </w:footnote>
  <w:footnote w:type="continuationSeparator" w:id="0">
    <w:p w:rsidR="00702563" w:rsidRDefault="00702563">
      <w:pPr>
        <w:spacing w:after="0"/>
      </w:pPr>
      <w:r>
        <w:continuationSeparator/>
      </w:r>
    </w:p>
  </w:footnote>
  <w:footnote w:id="1">
    <w:p w:rsidR="00862FC7" w:rsidRDefault="00702563">
      <w:pPr>
        <w:pStyle w:val="FootnoteText"/>
        <w:rPr>
          <w:rFonts w:ascii="Times New Roman" w:hAnsi="Times New Roman" w:cs="Times New Roman"/>
          <w:lang w:val="en-ZW"/>
        </w:rPr>
      </w:pPr>
      <w:r>
        <w:rPr>
          <w:rStyle w:val="FootnoteReference"/>
        </w:rPr>
        <w:footnoteRef/>
      </w:r>
      <w:r>
        <w:t xml:space="preserve"> </w:t>
      </w:r>
      <w:r>
        <w:rPr>
          <w:rFonts w:ascii="Times New Roman" w:hAnsi="Times New Roman" w:cs="Times New Roman"/>
        </w:rPr>
        <w:t xml:space="preserve">See  p744G-H &amp; 745A of the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C7" w:rsidRDefault="00862FC7">
    <w:pPr>
      <w:pStyle w:val="Header"/>
      <w:jc w:val="right"/>
    </w:pPr>
  </w:p>
  <w:sdt>
    <w:sdtPr>
      <w:id w:val="2099986203"/>
    </w:sdtPr>
    <w:sdtEndPr/>
    <w:sdtContent>
      <w:p w:rsidR="00862FC7" w:rsidRDefault="00702563">
        <w:pPr>
          <w:pStyle w:val="Header"/>
          <w:jc w:val="right"/>
        </w:pPr>
        <w:r>
          <w:fldChar w:fldCharType="begin"/>
        </w:r>
        <w:r>
          <w:instrText xml:space="preserve"> PAGE   \* MERGEFORMAT </w:instrText>
        </w:r>
        <w:r>
          <w:fldChar w:fldCharType="separate"/>
        </w:r>
        <w:r w:rsidR="005938F7">
          <w:rPr>
            <w:noProof/>
          </w:rPr>
          <w:t>3</w:t>
        </w:r>
        <w:r>
          <w:fldChar w:fldCharType="end"/>
        </w:r>
      </w:p>
      <w:p w:rsidR="00862FC7" w:rsidRDefault="00702563">
        <w:pPr>
          <w:pStyle w:val="Header"/>
          <w:jc w:val="right"/>
        </w:pPr>
        <w:r>
          <w:t>HH276/25</w:t>
        </w:r>
      </w:p>
      <w:p w:rsidR="00862FC7" w:rsidRDefault="00702563">
        <w:pPr>
          <w:pStyle w:val="Header"/>
          <w:jc w:val="right"/>
        </w:pPr>
        <w:r>
          <w:t>HCH5603/24</w:t>
        </w:r>
      </w:p>
      <w:p w:rsidR="00862FC7" w:rsidRDefault="00702563">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178"/>
    <w:multiLevelType w:val="multilevel"/>
    <w:tmpl w:val="0D727178"/>
    <w:lvl w:ilvl="0">
      <w:start w:val="1"/>
      <w:numFmt w:val="decimal"/>
      <w:lvlText w:val="[%1]"/>
      <w:lvlJc w:val="left"/>
      <w:pPr>
        <w:ind w:left="907" w:hanging="907"/>
      </w:pPr>
      <w:rPr>
        <w:rFonts w:hint="default"/>
        <w:b w:val="0"/>
        <w:i w:val="0"/>
        <w:color w:val="auto"/>
        <w:sz w:val="24"/>
      </w:rPr>
    </w:lvl>
    <w:lvl w:ilvl="1">
      <w:start w:val="1"/>
      <w:numFmt w:val="lowerRoman"/>
      <w:lvlText w:val="%2."/>
      <w:lvlJc w:val="left"/>
      <w:pPr>
        <w:ind w:left="1091" w:hanging="720"/>
      </w:pPr>
      <w:rPr>
        <w:rFonts w:hint="default"/>
        <w:b w:val="0"/>
      </w:r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9902A9F"/>
    <w:multiLevelType w:val="multilevel"/>
    <w:tmpl w:val="29902A9F"/>
    <w:lvl w:ilvl="0">
      <w:start w:val="1"/>
      <w:numFmt w:val="decimal"/>
      <w:lvlText w:val="%1."/>
      <w:lvlJc w:val="left"/>
      <w:pPr>
        <w:ind w:left="1080" w:hanging="360"/>
      </w:pPr>
      <w:rPr>
        <w:rFonts w:hint="default"/>
        <w:b w:val="0"/>
        <w:i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BB74B88"/>
    <w:multiLevelType w:val="multilevel"/>
    <w:tmpl w:val="2BB74B88"/>
    <w:lvl w:ilvl="0">
      <w:start w:val="10"/>
      <w:numFmt w:val="decimal"/>
      <w:lvlText w:val="%1."/>
      <w:lvlJc w:val="left"/>
      <w:pPr>
        <w:ind w:left="21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9B"/>
    <w:rsid w:val="00005735"/>
    <w:rsid w:val="000133E8"/>
    <w:rsid w:val="00013D95"/>
    <w:rsid w:val="000230C9"/>
    <w:rsid w:val="000262A8"/>
    <w:rsid w:val="00032524"/>
    <w:rsid w:val="00036D23"/>
    <w:rsid w:val="00036F86"/>
    <w:rsid w:val="00037626"/>
    <w:rsid w:val="00050852"/>
    <w:rsid w:val="00051BC0"/>
    <w:rsid w:val="00055BE1"/>
    <w:rsid w:val="00056EE2"/>
    <w:rsid w:val="00057147"/>
    <w:rsid w:val="00063734"/>
    <w:rsid w:val="00075B5A"/>
    <w:rsid w:val="000762DA"/>
    <w:rsid w:val="00082EC1"/>
    <w:rsid w:val="00087B57"/>
    <w:rsid w:val="00092468"/>
    <w:rsid w:val="000952A9"/>
    <w:rsid w:val="000A7CF7"/>
    <w:rsid w:val="000C1E74"/>
    <w:rsid w:val="000D1C6F"/>
    <w:rsid w:val="00101F06"/>
    <w:rsid w:val="001053B0"/>
    <w:rsid w:val="001072A8"/>
    <w:rsid w:val="001128CF"/>
    <w:rsid w:val="0011330D"/>
    <w:rsid w:val="00116986"/>
    <w:rsid w:val="001245EE"/>
    <w:rsid w:val="00137E1D"/>
    <w:rsid w:val="00146F62"/>
    <w:rsid w:val="0015061D"/>
    <w:rsid w:val="00154293"/>
    <w:rsid w:val="001706A8"/>
    <w:rsid w:val="00170AC6"/>
    <w:rsid w:val="001822C2"/>
    <w:rsid w:val="00182AF1"/>
    <w:rsid w:val="0018412E"/>
    <w:rsid w:val="00184148"/>
    <w:rsid w:val="00184323"/>
    <w:rsid w:val="00185223"/>
    <w:rsid w:val="00185A6D"/>
    <w:rsid w:val="00190E9D"/>
    <w:rsid w:val="00192178"/>
    <w:rsid w:val="00193E64"/>
    <w:rsid w:val="001A2540"/>
    <w:rsid w:val="001C00F5"/>
    <w:rsid w:val="001C014F"/>
    <w:rsid w:val="001C2331"/>
    <w:rsid w:val="001D6AC6"/>
    <w:rsid w:val="001E1B1F"/>
    <w:rsid w:val="001F3F6C"/>
    <w:rsid w:val="001F40DF"/>
    <w:rsid w:val="00204297"/>
    <w:rsid w:val="00210C84"/>
    <w:rsid w:val="0021319F"/>
    <w:rsid w:val="00222865"/>
    <w:rsid w:val="00223585"/>
    <w:rsid w:val="00235546"/>
    <w:rsid w:val="002359E8"/>
    <w:rsid w:val="0025036A"/>
    <w:rsid w:val="0025182D"/>
    <w:rsid w:val="00254CA9"/>
    <w:rsid w:val="00257B58"/>
    <w:rsid w:val="00261C55"/>
    <w:rsid w:val="002635B1"/>
    <w:rsid w:val="00263F14"/>
    <w:rsid w:val="00264BDA"/>
    <w:rsid w:val="002738DE"/>
    <w:rsid w:val="002745A8"/>
    <w:rsid w:val="00276611"/>
    <w:rsid w:val="00276AFA"/>
    <w:rsid w:val="00284BD9"/>
    <w:rsid w:val="00285621"/>
    <w:rsid w:val="00291180"/>
    <w:rsid w:val="00294C6C"/>
    <w:rsid w:val="002A2B7B"/>
    <w:rsid w:val="002A70A9"/>
    <w:rsid w:val="002B6877"/>
    <w:rsid w:val="002B7895"/>
    <w:rsid w:val="002C7999"/>
    <w:rsid w:val="002D1B05"/>
    <w:rsid w:val="002D1F48"/>
    <w:rsid w:val="002D2E15"/>
    <w:rsid w:val="002D7D0B"/>
    <w:rsid w:val="002E567B"/>
    <w:rsid w:val="002E5E2C"/>
    <w:rsid w:val="002E776E"/>
    <w:rsid w:val="002F3266"/>
    <w:rsid w:val="002F52C7"/>
    <w:rsid w:val="00307CA5"/>
    <w:rsid w:val="00331F3C"/>
    <w:rsid w:val="00336EF7"/>
    <w:rsid w:val="00350960"/>
    <w:rsid w:val="00350CFC"/>
    <w:rsid w:val="00356C55"/>
    <w:rsid w:val="003834A0"/>
    <w:rsid w:val="00387842"/>
    <w:rsid w:val="003905C6"/>
    <w:rsid w:val="00393650"/>
    <w:rsid w:val="003953F2"/>
    <w:rsid w:val="003A35EA"/>
    <w:rsid w:val="003A3A50"/>
    <w:rsid w:val="003A53BB"/>
    <w:rsid w:val="003B28DF"/>
    <w:rsid w:val="003B43C5"/>
    <w:rsid w:val="003B4897"/>
    <w:rsid w:val="003B5B86"/>
    <w:rsid w:val="003B7C03"/>
    <w:rsid w:val="003C63A2"/>
    <w:rsid w:val="003E030A"/>
    <w:rsid w:val="003E528B"/>
    <w:rsid w:val="003F6C72"/>
    <w:rsid w:val="00401EB0"/>
    <w:rsid w:val="004270A5"/>
    <w:rsid w:val="0043097B"/>
    <w:rsid w:val="00430DF3"/>
    <w:rsid w:val="00446C11"/>
    <w:rsid w:val="00446D6F"/>
    <w:rsid w:val="00455010"/>
    <w:rsid w:val="0046522C"/>
    <w:rsid w:val="00470C07"/>
    <w:rsid w:val="0047168C"/>
    <w:rsid w:val="00482328"/>
    <w:rsid w:val="0048320A"/>
    <w:rsid w:val="00492AE4"/>
    <w:rsid w:val="00495DC0"/>
    <w:rsid w:val="004A018F"/>
    <w:rsid w:val="004A0859"/>
    <w:rsid w:val="004A5858"/>
    <w:rsid w:val="004B20CE"/>
    <w:rsid w:val="004B2745"/>
    <w:rsid w:val="004C3EF0"/>
    <w:rsid w:val="004D07F9"/>
    <w:rsid w:val="004D13C6"/>
    <w:rsid w:val="004D15AB"/>
    <w:rsid w:val="004D17AB"/>
    <w:rsid w:val="004D43FB"/>
    <w:rsid w:val="004E3BA3"/>
    <w:rsid w:val="004F60E3"/>
    <w:rsid w:val="004F7075"/>
    <w:rsid w:val="004F759C"/>
    <w:rsid w:val="00502228"/>
    <w:rsid w:val="00504B1B"/>
    <w:rsid w:val="005124D8"/>
    <w:rsid w:val="00513F98"/>
    <w:rsid w:val="00514F99"/>
    <w:rsid w:val="00515BE8"/>
    <w:rsid w:val="00516E1F"/>
    <w:rsid w:val="00524F97"/>
    <w:rsid w:val="0052769D"/>
    <w:rsid w:val="00531FDC"/>
    <w:rsid w:val="00533F63"/>
    <w:rsid w:val="005376D5"/>
    <w:rsid w:val="00543CDC"/>
    <w:rsid w:val="00544621"/>
    <w:rsid w:val="00544746"/>
    <w:rsid w:val="00544BC6"/>
    <w:rsid w:val="0054530D"/>
    <w:rsid w:val="00551086"/>
    <w:rsid w:val="00552C0D"/>
    <w:rsid w:val="005614FD"/>
    <w:rsid w:val="00566F0B"/>
    <w:rsid w:val="00567B4A"/>
    <w:rsid w:val="0057393A"/>
    <w:rsid w:val="005808F4"/>
    <w:rsid w:val="00586C08"/>
    <w:rsid w:val="005938F7"/>
    <w:rsid w:val="005A3E4D"/>
    <w:rsid w:val="005B1EE9"/>
    <w:rsid w:val="005C1CE5"/>
    <w:rsid w:val="005C376A"/>
    <w:rsid w:val="005D2CD3"/>
    <w:rsid w:val="005D7A8C"/>
    <w:rsid w:val="005E340E"/>
    <w:rsid w:val="005E484B"/>
    <w:rsid w:val="00600C12"/>
    <w:rsid w:val="00600DE2"/>
    <w:rsid w:val="00602696"/>
    <w:rsid w:val="00604505"/>
    <w:rsid w:val="00606050"/>
    <w:rsid w:val="00610F33"/>
    <w:rsid w:val="006134A2"/>
    <w:rsid w:val="00616031"/>
    <w:rsid w:val="00630B4F"/>
    <w:rsid w:val="00640FEB"/>
    <w:rsid w:val="006423C1"/>
    <w:rsid w:val="00645141"/>
    <w:rsid w:val="00645802"/>
    <w:rsid w:val="00645A35"/>
    <w:rsid w:val="00651592"/>
    <w:rsid w:val="006524A0"/>
    <w:rsid w:val="00654139"/>
    <w:rsid w:val="0065746A"/>
    <w:rsid w:val="0066438A"/>
    <w:rsid w:val="006647EE"/>
    <w:rsid w:val="00681FAB"/>
    <w:rsid w:val="0068491F"/>
    <w:rsid w:val="006859A0"/>
    <w:rsid w:val="00685B8C"/>
    <w:rsid w:val="006922E9"/>
    <w:rsid w:val="006A0E25"/>
    <w:rsid w:val="006A5C44"/>
    <w:rsid w:val="006A6574"/>
    <w:rsid w:val="006A709B"/>
    <w:rsid w:val="006B0FE8"/>
    <w:rsid w:val="006B4E5B"/>
    <w:rsid w:val="006C1830"/>
    <w:rsid w:val="006C4956"/>
    <w:rsid w:val="006D70C4"/>
    <w:rsid w:val="006E03A0"/>
    <w:rsid w:val="006E5A2A"/>
    <w:rsid w:val="006E7F53"/>
    <w:rsid w:val="006F17D8"/>
    <w:rsid w:val="00702563"/>
    <w:rsid w:val="00703DDD"/>
    <w:rsid w:val="00704F83"/>
    <w:rsid w:val="00721C1C"/>
    <w:rsid w:val="007335F6"/>
    <w:rsid w:val="0073443A"/>
    <w:rsid w:val="00744271"/>
    <w:rsid w:val="0075379E"/>
    <w:rsid w:val="007617CD"/>
    <w:rsid w:val="007652BF"/>
    <w:rsid w:val="00766371"/>
    <w:rsid w:val="007664FC"/>
    <w:rsid w:val="007705D3"/>
    <w:rsid w:val="00773D15"/>
    <w:rsid w:val="00774D99"/>
    <w:rsid w:val="00775C23"/>
    <w:rsid w:val="00782C5E"/>
    <w:rsid w:val="00786C29"/>
    <w:rsid w:val="00787C7A"/>
    <w:rsid w:val="00790595"/>
    <w:rsid w:val="00790EBE"/>
    <w:rsid w:val="00793A42"/>
    <w:rsid w:val="007A22EA"/>
    <w:rsid w:val="007A44D5"/>
    <w:rsid w:val="007D0E87"/>
    <w:rsid w:val="007E1AC8"/>
    <w:rsid w:val="007E1DB6"/>
    <w:rsid w:val="007E28CA"/>
    <w:rsid w:val="007E43D3"/>
    <w:rsid w:val="007E5031"/>
    <w:rsid w:val="007F6D0A"/>
    <w:rsid w:val="00804A96"/>
    <w:rsid w:val="008062C4"/>
    <w:rsid w:val="00811DE4"/>
    <w:rsid w:val="008130EB"/>
    <w:rsid w:val="00814D08"/>
    <w:rsid w:val="00815F91"/>
    <w:rsid w:val="00821FB2"/>
    <w:rsid w:val="00822E2F"/>
    <w:rsid w:val="00826CF6"/>
    <w:rsid w:val="00830C2C"/>
    <w:rsid w:val="00833959"/>
    <w:rsid w:val="008471D9"/>
    <w:rsid w:val="00851267"/>
    <w:rsid w:val="00854B52"/>
    <w:rsid w:val="008602BA"/>
    <w:rsid w:val="0086206E"/>
    <w:rsid w:val="00862FC7"/>
    <w:rsid w:val="00864A4E"/>
    <w:rsid w:val="008662F4"/>
    <w:rsid w:val="008772A3"/>
    <w:rsid w:val="00877E52"/>
    <w:rsid w:val="008833F1"/>
    <w:rsid w:val="0088528A"/>
    <w:rsid w:val="00886392"/>
    <w:rsid w:val="008A099B"/>
    <w:rsid w:val="008A265F"/>
    <w:rsid w:val="008A3141"/>
    <w:rsid w:val="008A77F2"/>
    <w:rsid w:val="008B0F96"/>
    <w:rsid w:val="008B2841"/>
    <w:rsid w:val="008B552D"/>
    <w:rsid w:val="008D1A7C"/>
    <w:rsid w:val="008E1BFD"/>
    <w:rsid w:val="008E490E"/>
    <w:rsid w:val="008E6AB6"/>
    <w:rsid w:val="008E74B3"/>
    <w:rsid w:val="008E77F6"/>
    <w:rsid w:val="008E7E8C"/>
    <w:rsid w:val="008F20BB"/>
    <w:rsid w:val="008F2493"/>
    <w:rsid w:val="008F4748"/>
    <w:rsid w:val="008F5246"/>
    <w:rsid w:val="00901577"/>
    <w:rsid w:val="009254D9"/>
    <w:rsid w:val="0093062B"/>
    <w:rsid w:val="009319C1"/>
    <w:rsid w:val="00935641"/>
    <w:rsid w:val="00943E76"/>
    <w:rsid w:val="00945835"/>
    <w:rsid w:val="009468D9"/>
    <w:rsid w:val="00951A93"/>
    <w:rsid w:val="00952FF2"/>
    <w:rsid w:val="0096032E"/>
    <w:rsid w:val="009706A8"/>
    <w:rsid w:val="00972E6D"/>
    <w:rsid w:val="009778E9"/>
    <w:rsid w:val="0098429E"/>
    <w:rsid w:val="009938A8"/>
    <w:rsid w:val="009A3320"/>
    <w:rsid w:val="009C2719"/>
    <w:rsid w:val="009D5769"/>
    <w:rsid w:val="009E3CDE"/>
    <w:rsid w:val="009F46A1"/>
    <w:rsid w:val="00A12E7C"/>
    <w:rsid w:val="00A13D8A"/>
    <w:rsid w:val="00A15315"/>
    <w:rsid w:val="00A1546C"/>
    <w:rsid w:val="00A16831"/>
    <w:rsid w:val="00A25220"/>
    <w:rsid w:val="00A60418"/>
    <w:rsid w:val="00A609A0"/>
    <w:rsid w:val="00A64652"/>
    <w:rsid w:val="00A667B4"/>
    <w:rsid w:val="00A751D7"/>
    <w:rsid w:val="00A84347"/>
    <w:rsid w:val="00AB6F58"/>
    <w:rsid w:val="00AB6FEE"/>
    <w:rsid w:val="00AC50CA"/>
    <w:rsid w:val="00AE069C"/>
    <w:rsid w:val="00AE0D51"/>
    <w:rsid w:val="00AE1D37"/>
    <w:rsid w:val="00AF1EF7"/>
    <w:rsid w:val="00B004E6"/>
    <w:rsid w:val="00B07AC0"/>
    <w:rsid w:val="00B271BC"/>
    <w:rsid w:val="00B35DE0"/>
    <w:rsid w:val="00B36947"/>
    <w:rsid w:val="00B36B05"/>
    <w:rsid w:val="00B408E4"/>
    <w:rsid w:val="00B501B8"/>
    <w:rsid w:val="00B54F65"/>
    <w:rsid w:val="00B60A46"/>
    <w:rsid w:val="00B62D62"/>
    <w:rsid w:val="00B6520C"/>
    <w:rsid w:val="00B76636"/>
    <w:rsid w:val="00B82DBF"/>
    <w:rsid w:val="00B86867"/>
    <w:rsid w:val="00B90B72"/>
    <w:rsid w:val="00B90E52"/>
    <w:rsid w:val="00B93A3F"/>
    <w:rsid w:val="00B941ED"/>
    <w:rsid w:val="00BB4BD6"/>
    <w:rsid w:val="00BB51D4"/>
    <w:rsid w:val="00BC4882"/>
    <w:rsid w:val="00BC4D31"/>
    <w:rsid w:val="00BD2D88"/>
    <w:rsid w:val="00BD347E"/>
    <w:rsid w:val="00BD637E"/>
    <w:rsid w:val="00BE0181"/>
    <w:rsid w:val="00BF119B"/>
    <w:rsid w:val="00BF65E0"/>
    <w:rsid w:val="00C12FDC"/>
    <w:rsid w:val="00C13DF7"/>
    <w:rsid w:val="00C15332"/>
    <w:rsid w:val="00C15C6F"/>
    <w:rsid w:val="00C22449"/>
    <w:rsid w:val="00C30623"/>
    <w:rsid w:val="00C30F82"/>
    <w:rsid w:val="00C31A21"/>
    <w:rsid w:val="00C329A9"/>
    <w:rsid w:val="00C57B20"/>
    <w:rsid w:val="00C6580A"/>
    <w:rsid w:val="00C67EB9"/>
    <w:rsid w:val="00C92D06"/>
    <w:rsid w:val="00C94B66"/>
    <w:rsid w:val="00CA131C"/>
    <w:rsid w:val="00CA4590"/>
    <w:rsid w:val="00CA51F3"/>
    <w:rsid w:val="00CC29FF"/>
    <w:rsid w:val="00CD1384"/>
    <w:rsid w:val="00CD688D"/>
    <w:rsid w:val="00CD6FE1"/>
    <w:rsid w:val="00CE1512"/>
    <w:rsid w:val="00CE71AF"/>
    <w:rsid w:val="00CF2529"/>
    <w:rsid w:val="00D107BB"/>
    <w:rsid w:val="00D11357"/>
    <w:rsid w:val="00D17B52"/>
    <w:rsid w:val="00D218E9"/>
    <w:rsid w:val="00D26A1E"/>
    <w:rsid w:val="00D40701"/>
    <w:rsid w:val="00D40FDD"/>
    <w:rsid w:val="00D444EE"/>
    <w:rsid w:val="00D44D8F"/>
    <w:rsid w:val="00D56CB0"/>
    <w:rsid w:val="00D57B6D"/>
    <w:rsid w:val="00D57C38"/>
    <w:rsid w:val="00D61637"/>
    <w:rsid w:val="00D63EF7"/>
    <w:rsid w:val="00D672F0"/>
    <w:rsid w:val="00D761F6"/>
    <w:rsid w:val="00D83282"/>
    <w:rsid w:val="00D90068"/>
    <w:rsid w:val="00D93581"/>
    <w:rsid w:val="00D94052"/>
    <w:rsid w:val="00DA7B65"/>
    <w:rsid w:val="00DB0800"/>
    <w:rsid w:val="00DB47FB"/>
    <w:rsid w:val="00DC5418"/>
    <w:rsid w:val="00DC6ABB"/>
    <w:rsid w:val="00DD1F37"/>
    <w:rsid w:val="00DE02F6"/>
    <w:rsid w:val="00DE1D42"/>
    <w:rsid w:val="00DE6750"/>
    <w:rsid w:val="00DF40A3"/>
    <w:rsid w:val="00DF5881"/>
    <w:rsid w:val="00DF7103"/>
    <w:rsid w:val="00DF7EC0"/>
    <w:rsid w:val="00E11E68"/>
    <w:rsid w:val="00E14500"/>
    <w:rsid w:val="00E16070"/>
    <w:rsid w:val="00E17923"/>
    <w:rsid w:val="00E203AA"/>
    <w:rsid w:val="00E212C5"/>
    <w:rsid w:val="00E22D6B"/>
    <w:rsid w:val="00E24CAD"/>
    <w:rsid w:val="00E261E8"/>
    <w:rsid w:val="00E27CB0"/>
    <w:rsid w:val="00E31C36"/>
    <w:rsid w:val="00E32DE3"/>
    <w:rsid w:val="00E37F60"/>
    <w:rsid w:val="00E47ED3"/>
    <w:rsid w:val="00E50A92"/>
    <w:rsid w:val="00E52D83"/>
    <w:rsid w:val="00E72AF8"/>
    <w:rsid w:val="00E807C3"/>
    <w:rsid w:val="00E81219"/>
    <w:rsid w:val="00E84095"/>
    <w:rsid w:val="00E90BE4"/>
    <w:rsid w:val="00EA1228"/>
    <w:rsid w:val="00EA1716"/>
    <w:rsid w:val="00EA5287"/>
    <w:rsid w:val="00EB0263"/>
    <w:rsid w:val="00EB06C9"/>
    <w:rsid w:val="00EC0622"/>
    <w:rsid w:val="00EC3BE8"/>
    <w:rsid w:val="00ED1468"/>
    <w:rsid w:val="00ED5C09"/>
    <w:rsid w:val="00EE3414"/>
    <w:rsid w:val="00EF034A"/>
    <w:rsid w:val="00EF68CA"/>
    <w:rsid w:val="00EF6D3B"/>
    <w:rsid w:val="00F00693"/>
    <w:rsid w:val="00F021EA"/>
    <w:rsid w:val="00F206A8"/>
    <w:rsid w:val="00F231B3"/>
    <w:rsid w:val="00F33947"/>
    <w:rsid w:val="00F40E2E"/>
    <w:rsid w:val="00F4395A"/>
    <w:rsid w:val="00F53100"/>
    <w:rsid w:val="00F54FA9"/>
    <w:rsid w:val="00F553D3"/>
    <w:rsid w:val="00F658D1"/>
    <w:rsid w:val="00F718FF"/>
    <w:rsid w:val="00F735FA"/>
    <w:rsid w:val="00F75694"/>
    <w:rsid w:val="00F76B62"/>
    <w:rsid w:val="00F8135F"/>
    <w:rsid w:val="00F81680"/>
    <w:rsid w:val="00F8608A"/>
    <w:rsid w:val="00F877CC"/>
    <w:rsid w:val="00F9202C"/>
    <w:rsid w:val="00F97631"/>
    <w:rsid w:val="00FA213E"/>
    <w:rsid w:val="00FA7D2A"/>
    <w:rsid w:val="00FB46C5"/>
    <w:rsid w:val="00FB5866"/>
    <w:rsid w:val="00FB7F94"/>
    <w:rsid w:val="00FC625E"/>
    <w:rsid w:val="00FD1C14"/>
    <w:rsid w:val="00FD2FDE"/>
    <w:rsid w:val="00FD77A3"/>
    <w:rsid w:val="00FE1501"/>
    <w:rsid w:val="00FE4811"/>
    <w:rsid w:val="00FE5EF6"/>
    <w:rsid w:val="00FF5EDE"/>
    <w:rsid w:val="00FF630E"/>
    <w:rsid w:val="021A2C80"/>
    <w:rsid w:val="023201F7"/>
    <w:rsid w:val="04210E57"/>
    <w:rsid w:val="071E1739"/>
    <w:rsid w:val="072434BF"/>
    <w:rsid w:val="07D721EC"/>
    <w:rsid w:val="0B6D0ACF"/>
    <w:rsid w:val="0CF90B85"/>
    <w:rsid w:val="0DF70178"/>
    <w:rsid w:val="110E5E01"/>
    <w:rsid w:val="11FA2749"/>
    <w:rsid w:val="120B30E3"/>
    <w:rsid w:val="12E93494"/>
    <w:rsid w:val="132F4D2A"/>
    <w:rsid w:val="15BA2F16"/>
    <w:rsid w:val="162B5AE2"/>
    <w:rsid w:val="175F13E4"/>
    <w:rsid w:val="178650AF"/>
    <w:rsid w:val="196B01BF"/>
    <w:rsid w:val="1A662D20"/>
    <w:rsid w:val="1CD40A15"/>
    <w:rsid w:val="1D6D2BFD"/>
    <w:rsid w:val="1E79050D"/>
    <w:rsid w:val="1ED979AD"/>
    <w:rsid w:val="1F8E554A"/>
    <w:rsid w:val="210A14D3"/>
    <w:rsid w:val="21C57FF4"/>
    <w:rsid w:val="249F6523"/>
    <w:rsid w:val="25156162"/>
    <w:rsid w:val="2CD72920"/>
    <w:rsid w:val="2DF95EFB"/>
    <w:rsid w:val="30F141BE"/>
    <w:rsid w:val="332116F0"/>
    <w:rsid w:val="35C51944"/>
    <w:rsid w:val="36674D51"/>
    <w:rsid w:val="37493AD7"/>
    <w:rsid w:val="3A16675B"/>
    <w:rsid w:val="3B6405FB"/>
    <w:rsid w:val="3CC52142"/>
    <w:rsid w:val="42E66C75"/>
    <w:rsid w:val="43675823"/>
    <w:rsid w:val="44455BB7"/>
    <w:rsid w:val="48811D03"/>
    <w:rsid w:val="4A1B1AA4"/>
    <w:rsid w:val="4B5F0E37"/>
    <w:rsid w:val="4FB777D7"/>
    <w:rsid w:val="505A0EC8"/>
    <w:rsid w:val="52E26A0A"/>
    <w:rsid w:val="530F4056"/>
    <w:rsid w:val="568D31C3"/>
    <w:rsid w:val="57904B13"/>
    <w:rsid w:val="579739D5"/>
    <w:rsid w:val="58D376CA"/>
    <w:rsid w:val="5CFC206B"/>
    <w:rsid w:val="5FBA1B9B"/>
    <w:rsid w:val="60790CD5"/>
    <w:rsid w:val="630A358C"/>
    <w:rsid w:val="653A5A1F"/>
    <w:rsid w:val="679118E5"/>
    <w:rsid w:val="6808738B"/>
    <w:rsid w:val="69863E30"/>
    <w:rsid w:val="7292554A"/>
    <w:rsid w:val="7457466E"/>
    <w:rsid w:val="756A6F2A"/>
    <w:rsid w:val="78EA73C1"/>
    <w:rsid w:val="7ADA57B2"/>
    <w:rsid w:val="7B29241E"/>
    <w:rsid w:val="7CBF37B9"/>
    <w:rsid w:val="7CEA7B96"/>
    <w:rsid w:val="7ED4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6B399A-7048-44EA-9C7A-E1AE437E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lang w:val="en-ZW"/>
    </w:rPr>
  </w:style>
  <w:style w:type="character" w:customStyle="1" w:styleId="HeaderChar">
    <w:name w:val="Header Char"/>
    <w:basedOn w:val="DefaultParagraphFont"/>
    <w:link w:val="Header"/>
    <w:uiPriority w:val="99"/>
    <w:qFormat/>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SubtitleChar">
    <w:name w:val="Subtitle Char"/>
    <w:basedOn w:val="DefaultParagraphFont"/>
    <w:link w:val="Subtitle"/>
    <w:uiPriority w:val="11"/>
    <w:qFormat/>
    <w:rPr>
      <w:rFonts w:eastAsiaTheme="minorEastAsia"/>
      <w:color w:val="595959" w:themeColor="text1" w:themeTint="A6"/>
      <w:spacing w:val="15"/>
      <w:sz w:val="22"/>
      <w:szCs w:val="22"/>
      <w:lang w:eastAsia="en-US"/>
    </w:rPr>
  </w:style>
  <w:style w:type="character" w:customStyle="1" w:styleId="FootnoteTextChar">
    <w:name w:val="Footnote Text Char"/>
    <w:basedOn w:val="DefaultParagraphFont"/>
    <w:link w:val="FootnoteText"/>
    <w:uiPriority w:val="99"/>
    <w:semiHidden/>
    <w:qFormat/>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38C7-4A54-43B0-9E23-692351D8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Mushure</dc:creator>
  <cp:lastModifiedBy>JSC</cp:lastModifiedBy>
  <cp:revision>2</cp:revision>
  <dcterms:created xsi:type="dcterms:W3CDTF">2025-05-02T08:56:00Z</dcterms:created>
  <dcterms:modified xsi:type="dcterms:W3CDTF">2025-05-02T08:56:00Z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f4730b08d353aa8a0bc37e86c92d48001810fa87ba555e84317e4d4e86ea00d2</vt:lpwstr>
  </property>
  <property fmtid="{D5CDD505-2E9C-101B-9397-08002B2CF9AE}" pid="3" name="KSOProductBuildVer">
    <vt:lpwstr>1033-12.2.0.20795</vt:lpwstr>
  </property>
  <property fmtid="{D5CDD505-2E9C-101B-9397-08002B2CF9AE}" pid="4" name="ICV">
    <vt:lpwstr>A9C28171A858475AABCF989694708FE3_13</vt:lpwstr>
  </property>
</Properties>
</file>