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66" w:rsidRPr="008E1711" w:rsidRDefault="00287866" w:rsidP="00287866">
      <w:pPr>
        <w:spacing w:line="360" w:lineRule="auto"/>
        <w:rPr>
          <w:b/>
        </w:rPr>
      </w:pPr>
      <w:r w:rsidRPr="008E1711">
        <w:rPr>
          <w:b/>
        </w:rPr>
        <w:t>IN THE LABOUR COURT OF ZIMBABWE      JUDGMENT NO. LC/H/</w:t>
      </w:r>
      <w:r w:rsidR="00C05B43">
        <w:rPr>
          <w:b/>
        </w:rPr>
        <w:t>522</w:t>
      </w:r>
      <w:bookmarkStart w:id="0" w:name="_GoBack"/>
      <w:bookmarkEnd w:id="0"/>
      <w:r>
        <w:rPr>
          <w:b/>
        </w:rPr>
        <w:t>/2016</w:t>
      </w:r>
    </w:p>
    <w:p w:rsidR="00287866" w:rsidRDefault="00287866" w:rsidP="00287866">
      <w:pPr>
        <w:spacing w:line="360" w:lineRule="auto"/>
        <w:jc w:val="both"/>
        <w:rPr>
          <w:b/>
        </w:rPr>
      </w:pPr>
      <w:r>
        <w:rPr>
          <w:b/>
        </w:rPr>
        <w:t xml:space="preserve">HARARE, </w:t>
      </w:r>
      <w:r w:rsidR="00A84FAB">
        <w:rPr>
          <w:b/>
        </w:rPr>
        <w:t>3 MARCH 2016</w:t>
      </w:r>
      <w:r w:rsidR="00A84FAB">
        <w:rPr>
          <w:b/>
        </w:rPr>
        <w:tab/>
      </w:r>
      <w:r w:rsidR="00A84FAB">
        <w:rPr>
          <w:b/>
        </w:rPr>
        <w:tab/>
      </w:r>
      <w:r w:rsidR="00A84FAB">
        <w:rPr>
          <w:b/>
        </w:rPr>
        <w:tab/>
        <w:t xml:space="preserve">   </w:t>
      </w:r>
      <w:r w:rsidRPr="00047C13">
        <w:rPr>
          <w:b/>
        </w:rPr>
        <w:t>CASE NO. LC/</w:t>
      </w:r>
      <w:r>
        <w:rPr>
          <w:b/>
        </w:rPr>
        <w:t>H/</w:t>
      </w:r>
      <w:r w:rsidR="00A84FAB">
        <w:rPr>
          <w:b/>
        </w:rPr>
        <w:t>APP/1126/15</w:t>
      </w:r>
    </w:p>
    <w:p w:rsidR="00287866" w:rsidRDefault="00A84FAB" w:rsidP="00287866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C05B43">
        <w:rPr>
          <w:b/>
        </w:rPr>
        <w:t>9 SEPTEMBER</w:t>
      </w:r>
      <w:r w:rsidR="00287866">
        <w:rPr>
          <w:b/>
        </w:rPr>
        <w:t xml:space="preserve"> 2016</w:t>
      </w:r>
    </w:p>
    <w:p w:rsidR="00287866" w:rsidRDefault="00287866" w:rsidP="00287866">
      <w:pPr>
        <w:jc w:val="both"/>
      </w:pPr>
      <w:r w:rsidRPr="00047C13">
        <w:t>In the matter between</w:t>
      </w:r>
      <w:r>
        <w:t>:-</w:t>
      </w:r>
    </w:p>
    <w:p w:rsidR="00287866" w:rsidRPr="00047C13" w:rsidRDefault="00287866" w:rsidP="00287866">
      <w:pPr>
        <w:jc w:val="both"/>
      </w:pPr>
    </w:p>
    <w:p w:rsidR="00287866" w:rsidRPr="00047C13" w:rsidRDefault="00287866" w:rsidP="00287866">
      <w:pPr>
        <w:jc w:val="both"/>
      </w:pPr>
    </w:p>
    <w:p w:rsidR="00287866" w:rsidRPr="00047C13" w:rsidRDefault="00C737C7" w:rsidP="00287866">
      <w:pPr>
        <w:spacing w:line="360" w:lineRule="auto"/>
        <w:jc w:val="both"/>
        <w:rPr>
          <w:b/>
        </w:rPr>
      </w:pPr>
      <w:r>
        <w:rPr>
          <w:b/>
        </w:rPr>
        <w:t>KENNETH NANITENGA &amp; 8 OTHERS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Applic</w:t>
      </w:r>
      <w:r w:rsidR="00287866">
        <w:rPr>
          <w:b/>
        </w:rPr>
        <w:t>ant</w:t>
      </w:r>
      <w:r w:rsidR="00031456">
        <w:rPr>
          <w:b/>
        </w:rPr>
        <w:t>s</w:t>
      </w:r>
    </w:p>
    <w:p w:rsidR="00287866" w:rsidRDefault="00287866" w:rsidP="00287866">
      <w:pPr>
        <w:tabs>
          <w:tab w:val="left" w:pos="1995"/>
        </w:tabs>
        <w:spacing w:line="360" w:lineRule="auto"/>
        <w:jc w:val="both"/>
      </w:pPr>
      <w:r w:rsidRPr="00047C13">
        <w:t>And</w:t>
      </w:r>
      <w:r w:rsidRPr="00047C13">
        <w:tab/>
      </w:r>
    </w:p>
    <w:p w:rsidR="00287866" w:rsidRDefault="00C737C7" w:rsidP="00287866">
      <w:pPr>
        <w:tabs>
          <w:tab w:val="left" w:pos="1995"/>
        </w:tabs>
        <w:spacing w:line="360" w:lineRule="auto"/>
        <w:jc w:val="both"/>
        <w:rPr>
          <w:b/>
        </w:rPr>
      </w:pPr>
      <w:r>
        <w:rPr>
          <w:b/>
        </w:rPr>
        <w:t>ROCK CHEMICAL FILLERS (PVT) LTD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87866">
        <w:rPr>
          <w:b/>
        </w:rPr>
        <w:t>Respondent</w:t>
      </w:r>
    </w:p>
    <w:p w:rsidR="00287866" w:rsidRDefault="00287866" w:rsidP="00287866">
      <w:pPr>
        <w:jc w:val="both"/>
        <w:rPr>
          <w:b/>
        </w:rPr>
      </w:pPr>
    </w:p>
    <w:p w:rsidR="00287866" w:rsidRDefault="00287866" w:rsidP="00287866">
      <w:pPr>
        <w:spacing w:line="360" w:lineRule="auto"/>
        <w:jc w:val="both"/>
      </w:pPr>
      <w:r>
        <w:t xml:space="preserve">Before Honourable L. Hove, Judge                             </w:t>
      </w:r>
    </w:p>
    <w:p w:rsidR="00287866" w:rsidRPr="00047C13" w:rsidRDefault="00287866" w:rsidP="00287866">
      <w:pPr>
        <w:jc w:val="both"/>
      </w:pPr>
      <w:r w:rsidRPr="00047C13">
        <w:tab/>
      </w:r>
      <w:r w:rsidRPr="00047C13">
        <w:tab/>
      </w:r>
      <w:r w:rsidRPr="00047C13">
        <w:tab/>
      </w:r>
    </w:p>
    <w:p w:rsidR="00287866" w:rsidRDefault="00287866" w:rsidP="0069333F">
      <w:pPr>
        <w:spacing w:line="360" w:lineRule="auto"/>
        <w:ind w:left="2880" w:hanging="2880"/>
        <w:jc w:val="both"/>
        <w:rPr>
          <w:b/>
        </w:rPr>
      </w:pPr>
      <w:r>
        <w:rPr>
          <w:b/>
        </w:rPr>
        <w:t xml:space="preserve">For </w:t>
      </w:r>
      <w:r w:rsidR="00C737C7">
        <w:rPr>
          <w:b/>
        </w:rPr>
        <w:t>Applic</w:t>
      </w:r>
      <w:r>
        <w:rPr>
          <w:b/>
        </w:rPr>
        <w:t>ant</w:t>
      </w:r>
      <w:r w:rsidR="00031456">
        <w:rPr>
          <w:b/>
        </w:rPr>
        <w:t>s</w:t>
      </w:r>
      <w:r w:rsidR="00C737C7">
        <w:rPr>
          <w:b/>
        </w:rPr>
        <w:tab/>
      </w:r>
      <w:proofErr w:type="spellStart"/>
      <w:r w:rsidR="0069333F">
        <w:rPr>
          <w:b/>
        </w:rPr>
        <w:t>Mr</w:t>
      </w:r>
      <w:proofErr w:type="spellEnd"/>
      <w:r w:rsidR="0069333F">
        <w:rPr>
          <w:b/>
        </w:rPr>
        <w:t xml:space="preserve"> Obey </w:t>
      </w:r>
      <w:proofErr w:type="spellStart"/>
      <w:r w:rsidR="0069333F">
        <w:rPr>
          <w:b/>
        </w:rPr>
        <w:t>Shava</w:t>
      </w:r>
      <w:proofErr w:type="spellEnd"/>
      <w:r w:rsidR="0069333F">
        <w:rPr>
          <w:b/>
        </w:rPr>
        <w:t xml:space="preserve"> (Legal Practitioner)</w:t>
      </w:r>
      <w:r>
        <w:rPr>
          <w:b/>
        </w:rPr>
        <w:tab/>
      </w:r>
    </w:p>
    <w:p w:rsidR="00287866" w:rsidRDefault="00287866" w:rsidP="00287866">
      <w:pPr>
        <w:spacing w:line="360" w:lineRule="auto"/>
        <w:ind w:left="2880" w:hanging="2880"/>
        <w:jc w:val="both"/>
        <w:rPr>
          <w:b/>
        </w:rPr>
      </w:pPr>
      <w:r>
        <w:rPr>
          <w:b/>
        </w:rPr>
        <w:t>For Respondent</w:t>
      </w:r>
      <w:r w:rsidR="0069333F">
        <w:rPr>
          <w:b/>
        </w:rPr>
        <w:tab/>
        <w:t>Mr T.R. Tanyanyiwa (Legal Practitioner)</w:t>
      </w:r>
      <w:r>
        <w:rPr>
          <w:b/>
        </w:rPr>
        <w:tab/>
      </w:r>
    </w:p>
    <w:p w:rsidR="00287866" w:rsidRDefault="00287866" w:rsidP="00287866">
      <w:pPr>
        <w:jc w:val="both"/>
        <w:rPr>
          <w:b/>
        </w:rPr>
      </w:pPr>
    </w:p>
    <w:p w:rsidR="00287866" w:rsidRPr="00047C13" w:rsidRDefault="00287866" w:rsidP="00287866">
      <w:pPr>
        <w:jc w:val="both"/>
        <w:rPr>
          <w:b/>
        </w:rPr>
      </w:pPr>
    </w:p>
    <w:p w:rsidR="00287866" w:rsidRDefault="00287866" w:rsidP="00287866">
      <w:pPr>
        <w:spacing w:line="360" w:lineRule="auto"/>
        <w:jc w:val="both"/>
        <w:rPr>
          <w:b/>
        </w:rPr>
      </w:pPr>
      <w:r>
        <w:rPr>
          <w:b/>
        </w:rPr>
        <w:t>HOVE, J:</w:t>
      </w:r>
    </w:p>
    <w:p w:rsidR="00AB528E" w:rsidRDefault="00AB528E"/>
    <w:p w:rsidR="00E0557C" w:rsidRDefault="00E0557C" w:rsidP="00EE2E2F">
      <w:pPr>
        <w:jc w:val="both"/>
      </w:pPr>
    </w:p>
    <w:p w:rsidR="008E264C" w:rsidRDefault="008E264C" w:rsidP="00E0557C">
      <w:pPr>
        <w:spacing w:line="360" w:lineRule="auto"/>
        <w:jc w:val="both"/>
      </w:pPr>
      <w:r>
        <w:tab/>
        <w:t>In this case, the applicants are seeking condonation and extension of time with</w:t>
      </w:r>
      <w:r w:rsidR="00562B1B">
        <w:t>in</w:t>
      </w:r>
      <w:r>
        <w:t xml:space="preserve"> which to note an application for leave to appeal to the Supreme Court against a decision of the Labour Court.</w:t>
      </w:r>
    </w:p>
    <w:p w:rsidR="008E264C" w:rsidRDefault="008E264C" w:rsidP="00EE2E2F">
      <w:pPr>
        <w:jc w:val="both"/>
      </w:pPr>
    </w:p>
    <w:p w:rsidR="008E264C" w:rsidRDefault="008E264C" w:rsidP="00E0557C">
      <w:pPr>
        <w:spacing w:line="360" w:lineRule="auto"/>
        <w:jc w:val="both"/>
      </w:pPr>
      <w:r>
        <w:tab/>
        <w:t>The Labour Act [Chapter 28:01] (the</w:t>
      </w:r>
      <w:r w:rsidR="009E34B2">
        <w:t xml:space="preserve"> act) requires a litigant who wishes to appeal to the Supreme Court against a judgment of the Labour Court to file an application</w:t>
      </w:r>
      <w:r w:rsidR="001E0E78">
        <w:t xml:space="preserve"> for leave to appeal.  Section 92F (2) provides that;</w:t>
      </w:r>
    </w:p>
    <w:p w:rsidR="001E0E78" w:rsidRDefault="001E0E78" w:rsidP="00EE2E2F">
      <w:pPr>
        <w:jc w:val="both"/>
      </w:pPr>
    </w:p>
    <w:p w:rsidR="001E0E78" w:rsidRPr="00EE2E2F" w:rsidRDefault="001E0E78" w:rsidP="00EE2E2F">
      <w:pPr>
        <w:spacing w:line="276" w:lineRule="auto"/>
        <w:ind w:left="720"/>
        <w:jc w:val="both"/>
        <w:rPr>
          <w:sz w:val="22"/>
          <w:szCs w:val="22"/>
        </w:rPr>
      </w:pPr>
      <w:r w:rsidRPr="00EE2E2F">
        <w:rPr>
          <w:sz w:val="22"/>
          <w:szCs w:val="22"/>
        </w:rPr>
        <w:t>“</w:t>
      </w:r>
      <w:r w:rsidR="00684795" w:rsidRPr="00EE2E2F">
        <w:rPr>
          <w:sz w:val="22"/>
          <w:szCs w:val="22"/>
        </w:rPr>
        <w:t>Any</w:t>
      </w:r>
      <w:r w:rsidR="00F95D64" w:rsidRPr="00EE2E2F">
        <w:rPr>
          <w:sz w:val="22"/>
          <w:szCs w:val="22"/>
        </w:rPr>
        <w:t xml:space="preserve"> party wishing to appeal from any decision of the Labour Court on a question</w:t>
      </w:r>
      <w:r w:rsidR="00684795" w:rsidRPr="00EE2E2F">
        <w:rPr>
          <w:sz w:val="22"/>
          <w:szCs w:val="22"/>
        </w:rPr>
        <w:t xml:space="preserve"> of law in terms of subsection (1) shall seek from the President who made the decision, or in his or her absence, from any, other President leave to appeal that decision.”</w:t>
      </w:r>
    </w:p>
    <w:p w:rsidR="004D4950" w:rsidRDefault="004D4950" w:rsidP="00EA368D">
      <w:pPr>
        <w:jc w:val="both"/>
      </w:pPr>
    </w:p>
    <w:p w:rsidR="004D4950" w:rsidRDefault="007E423F" w:rsidP="00E0557C">
      <w:pPr>
        <w:spacing w:line="360" w:lineRule="auto"/>
        <w:jc w:val="both"/>
      </w:pPr>
      <w:r>
        <w:tab/>
        <w:t>Such application is to be made within 30 days in terms of rule 36 of the Labour Court rules.</w:t>
      </w:r>
    </w:p>
    <w:p w:rsidR="007E423F" w:rsidRDefault="007E423F" w:rsidP="00E0557C">
      <w:pPr>
        <w:spacing w:line="360" w:lineRule="auto"/>
        <w:jc w:val="both"/>
      </w:pPr>
    </w:p>
    <w:p w:rsidR="007E423F" w:rsidRDefault="007E423F" w:rsidP="00125BD4">
      <w:pPr>
        <w:spacing w:line="360" w:lineRule="auto"/>
        <w:ind w:firstLine="720"/>
        <w:jc w:val="both"/>
      </w:pPr>
      <w:r>
        <w:t>The applicants failed to apply for leave to appeal with</w:t>
      </w:r>
      <w:r w:rsidR="009774F1">
        <w:t>in</w:t>
      </w:r>
      <w:r>
        <w:t xml:space="preserve"> the prescribed 30 days and hence this application for condonation</w:t>
      </w:r>
      <w:r w:rsidR="00125BD4">
        <w:t>.</w:t>
      </w:r>
    </w:p>
    <w:p w:rsidR="00125BD4" w:rsidRDefault="00125BD4" w:rsidP="00EA368D">
      <w:pPr>
        <w:ind w:firstLine="720"/>
        <w:jc w:val="both"/>
      </w:pPr>
    </w:p>
    <w:p w:rsidR="00125BD4" w:rsidRDefault="00125BD4" w:rsidP="00125BD4">
      <w:pPr>
        <w:spacing w:line="360" w:lineRule="auto"/>
        <w:ind w:firstLine="720"/>
        <w:jc w:val="both"/>
      </w:pPr>
      <w:r>
        <w:lastRenderedPageBreak/>
        <w:t>It is settled law that in applications for condonation, an applicant must show that he or she has a reasona</w:t>
      </w:r>
      <w:r w:rsidR="006A55D0">
        <w:t>ble explanation for the delay and further that he or she has good prospects of success on the merits.</w:t>
      </w:r>
    </w:p>
    <w:p w:rsidR="00170025" w:rsidRDefault="00170025" w:rsidP="00EA368D">
      <w:pPr>
        <w:jc w:val="both"/>
      </w:pPr>
    </w:p>
    <w:p w:rsidR="0072545D" w:rsidRDefault="00C41D22" w:rsidP="00170025">
      <w:pPr>
        <w:spacing w:line="360" w:lineRule="auto"/>
        <w:jc w:val="both"/>
      </w:pPr>
      <w:r w:rsidRPr="00EA368D">
        <w:rPr>
          <w:i/>
        </w:rPr>
        <w:t xml:space="preserve">Grant </w:t>
      </w:r>
      <w:r>
        <w:t xml:space="preserve">v </w:t>
      </w:r>
      <w:r w:rsidRPr="00EA368D">
        <w:rPr>
          <w:i/>
        </w:rPr>
        <w:t>Plumbers P/L</w:t>
      </w:r>
      <w:r>
        <w:t xml:space="preserve"> 1949 (2) SA 470</w:t>
      </w:r>
    </w:p>
    <w:p w:rsidR="0072545D" w:rsidRDefault="00C41D22" w:rsidP="00170025">
      <w:pPr>
        <w:spacing w:line="360" w:lineRule="auto"/>
        <w:jc w:val="both"/>
      </w:pPr>
      <w:r w:rsidRPr="00EA368D">
        <w:rPr>
          <w:i/>
        </w:rPr>
        <w:t>Elson Madoda Jakazi &amp; Anor</w:t>
      </w:r>
      <w:r>
        <w:t xml:space="preserve"> v </w:t>
      </w:r>
      <w:r w:rsidRPr="00EA368D">
        <w:rPr>
          <w:i/>
        </w:rPr>
        <w:t>The Anglican Chur</w:t>
      </w:r>
      <w:r w:rsidR="009446AC" w:rsidRPr="00EA368D">
        <w:rPr>
          <w:i/>
        </w:rPr>
        <w:t>ch of the Province of Central Africa</w:t>
      </w:r>
      <w:r w:rsidR="009446AC">
        <w:t xml:space="preserve"> </w:t>
      </w:r>
      <w:r w:rsidR="009446AC" w:rsidRPr="00EA368D">
        <w:rPr>
          <w:i/>
        </w:rPr>
        <w:t>&amp; 2 Ors</w:t>
      </w:r>
      <w:r w:rsidR="009446AC">
        <w:t xml:space="preserve"> S</w:t>
      </w:r>
      <w:r w:rsidR="0072545D">
        <w:t>C 10/13</w:t>
      </w:r>
    </w:p>
    <w:p w:rsidR="0072545D" w:rsidRDefault="0072545D" w:rsidP="00170025">
      <w:pPr>
        <w:spacing w:line="360" w:lineRule="auto"/>
        <w:jc w:val="both"/>
      </w:pPr>
      <w:r w:rsidRPr="00A6658B">
        <w:rPr>
          <w:i/>
        </w:rPr>
        <w:t>Anna Marang</w:t>
      </w:r>
      <w:r w:rsidR="002F3274" w:rsidRPr="00A6658B">
        <w:rPr>
          <w:i/>
        </w:rPr>
        <w:t>e</w:t>
      </w:r>
      <w:r w:rsidR="002F3274">
        <w:t xml:space="preserve"> v </w:t>
      </w:r>
      <w:r w:rsidR="002F3274" w:rsidRPr="00A6658B">
        <w:rPr>
          <w:i/>
        </w:rPr>
        <w:t>Joseph Chirodza</w:t>
      </w:r>
      <w:r w:rsidR="002F3274">
        <w:t xml:space="preserve"> </w:t>
      </w:r>
      <w:r w:rsidR="00A6658B">
        <w:t>SC</w:t>
      </w:r>
      <w:r w:rsidR="002F3274">
        <w:t xml:space="preserve"> 29/12</w:t>
      </w:r>
    </w:p>
    <w:p w:rsidR="002F3274" w:rsidRDefault="002F3274" w:rsidP="00A6658B">
      <w:pPr>
        <w:jc w:val="both"/>
      </w:pPr>
    </w:p>
    <w:p w:rsidR="002F3274" w:rsidRDefault="002F3274" w:rsidP="00170025">
      <w:pPr>
        <w:spacing w:line="360" w:lineRule="auto"/>
        <w:jc w:val="both"/>
      </w:pPr>
      <w:r>
        <w:tab/>
      </w:r>
      <w:r w:rsidR="00BA7993">
        <w:t>The above case make the point</w:t>
      </w:r>
      <w:r w:rsidR="00E73066">
        <w:t xml:space="preserve"> that an applicant must give a reasonable </w:t>
      </w:r>
      <w:r w:rsidR="000B1AA6">
        <w:t>explanat</w:t>
      </w:r>
      <w:r w:rsidR="00445035">
        <w:t>ion for the delay and further sh</w:t>
      </w:r>
      <w:r w:rsidR="000B1AA6">
        <w:t xml:space="preserve">ow </w:t>
      </w:r>
      <w:r w:rsidR="00366C10">
        <w:t xml:space="preserve">that he has good prospects of </w:t>
      </w:r>
      <w:r w:rsidR="003A04E6">
        <w:t xml:space="preserve">success </w:t>
      </w:r>
      <w:r w:rsidR="007E1203">
        <w:t xml:space="preserve">on the merits of the intended appeal. </w:t>
      </w:r>
    </w:p>
    <w:p w:rsidR="009774F1" w:rsidRDefault="009774F1" w:rsidP="009774F1">
      <w:pPr>
        <w:jc w:val="both"/>
      </w:pPr>
    </w:p>
    <w:p w:rsidR="009774F1" w:rsidRPr="009774F1" w:rsidRDefault="009774F1" w:rsidP="00170025">
      <w:pPr>
        <w:spacing w:line="360" w:lineRule="auto"/>
        <w:jc w:val="both"/>
        <w:rPr>
          <w:u w:val="single"/>
        </w:rPr>
      </w:pPr>
      <w:r w:rsidRPr="009774F1">
        <w:rPr>
          <w:u w:val="single"/>
        </w:rPr>
        <w:t>The Explanation</w:t>
      </w:r>
    </w:p>
    <w:p w:rsidR="00B57C38" w:rsidRDefault="00B57C38" w:rsidP="00307A24">
      <w:pPr>
        <w:jc w:val="both"/>
      </w:pPr>
    </w:p>
    <w:p w:rsidR="00B57C38" w:rsidRDefault="00B57C38" w:rsidP="00882BC7">
      <w:pPr>
        <w:spacing w:line="360" w:lineRule="auto"/>
        <w:ind w:firstLine="720"/>
        <w:jc w:val="both"/>
      </w:pPr>
      <w:r>
        <w:t>The applicant’s legal pra</w:t>
      </w:r>
      <w:r w:rsidR="00882BC7">
        <w:t xml:space="preserve">ctitioner swore to the founding affidavit in which were given reasons for the delay in filing the application for leave to appeal. </w:t>
      </w:r>
    </w:p>
    <w:p w:rsidR="00882BC7" w:rsidRDefault="00882BC7" w:rsidP="00307A24">
      <w:pPr>
        <w:ind w:firstLine="720"/>
        <w:jc w:val="both"/>
      </w:pPr>
    </w:p>
    <w:p w:rsidR="00882BC7" w:rsidRDefault="002B433C" w:rsidP="00882BC7">
      <w:pPr>
        <w:spacing w:line="360" w:lineRule="auto"/>
        <w:ind w:firstLine="720"/>
        <w:jc w:val="both"/>
      </w:pPr>
      <w:r>
        <w:t xml:space="preserve">Firstly, he says that he did not become aware of the Labour Court Judgment which had been handed down on 12 June 2015 until he was served with </w:t>
      </w:r>
      <w:r w:rsidR="006C7AAA">
        <w:t>respondent’s application for leave to appeal to the Supreme Court on 24 July 2015.</w:t>
      </w:r>
    </w:p>
    <w:p w:rsidR="006C7AAA" w:rsidRDefault="006C7AAA" w:rsidP="00307A24">
      <w:pPr>
        <w:ind w:firstLine="720"/>
        <w:jc w:val="both"/>
      </w:pPr>
    </w:p>
    <w:p w:rsidR="006C7AAA" w:rsidRDefault="006C7AAA" w:rsidP="00882BC7">
      <w:pPr>
        <w:spacing w:line="360" w:lineRule="auto"/>
        <w:ind w:firstLine="720"/>
        <w:jc w:val="both"/>
      </w:pPr>
      <w:r>
        <w:t xml:space="preserve">Secondly, </w:t>
      </w:r>
      <w:r w:rsidR="00B37966">
        <w:t>His clients were scattered all over the country and he did not manage to get instructions until 30</w:t>
      </w:r>
      <w:r w:rsidR="00B37966" w:rsidRPr="00B37966">
        <w:rPr>
          <w:vertAlign w:val="superscript"/>
        </w:rPr>
        <w:t>th</w:t>
      </w:r>
      <w:r w:rsidR="00B37966">
        <w:t xml:space="preserve"> July 2015.</w:t>
      </w:r>
    </w:p>
    <w:p w:rsidR="00F018F0" w:rsidRDefault="00F018F0" w:rsidP="00307A24">
      <w:pPr>
        <w:ind w:firstLine="720"/>
        <w:jc w:val="both"/>
      </w:pPr>
    </w:p>
    <w:p w:rsidR="00F018F0" w:rsidRDefault="00F018F0" w:rsidP="00882BC7">
      <w:pPr>
        <w:spacing w:line="360" w:lineRule="auto"/>
        <w:ind w:firstLine="720"/>
        <w:jc w:val="both"/>
      </w:pPr>
      <w:r>
        <w:t>Thirdly, he miscalculated the time</w:t>
      </w:r>
      <w:r w:rsidR="00A136D9">
        <w:t xml:space="preserve"> and assumed that his client’</w:t>
      </w:r>
      <w:r w:rsidR="004B67FF">
        <w:t>s application was still within the prescribed time limits.</w:t>
      </w:r>
    </w:p>
    <w:p w:rsidR="00AF5B5D" w:rsidRDefault="00AF5B5D" w:rsidP="00307A24">
      <w:pPr>
        <w:ind w:firstLine="720"/>
        <w:jc w:val="both"/>
      </w:pPr>
    </w:p>
    <w:p w:rsidR="00AF5B5D" w:rsidRDefault="00AF5B5D" w:rsidP="00882BC7">
      <w:pPr>
        <w:spacing w:line="360" w:lineRule="auto"/>
        <w:ind w:firstLine="720"/>
        <w:jc w:val="both"/>
      </w:pPr>
      <w:r>
        <w:t xml:space="preserve">The court did not find </w:t>
      </w:r>
      <w:r w:rsidR="00A72E43">
        <w:t xml:space="preserve">that the explanation for the delay was reasonable.  This was </w:t>
      </w:r>
      <w:r w:rsidR="00112F31">
        <w:t>so because, the respondent in opposing the application stated that it was</w:t>
      </w:r>
      <w:r w:rsidR="0059377A">
        <w:t xml:space="preserve"> </w:t>
      </w:r>
      <w:r w:rsidR="00112F31">
        <w:t xml:space="preserve">not true that the applicant’s lawyers </w:t>
      </w:r>
      <w:r w:rsidR="0086261E">
        <w:t xml:space="preserve">only became aware of the </w:t>
      </w:r>
      <w:r w:rsidR="0059377A">
        <w:t xml:space="preserve">Judgment of the Labour Court upon being served by the </w:t>
      </w:r>
      <w:r w:rsidR="00FD240E">
        <w:t>respondent’s</w:t>
      </w:r>
      <w:r w:rsidR="003E1EC9">
        <w:t xml:space="preserve"> appli</w:t>
      </w:r>
      <w:r w:rsidR="00BE2C62">
        <w:t xml:space="preserve">cation for leave to appeal on </w:t>
      </w:r>
      <w:r w:rsidR="005B0B8E">
        <w:t>24 July 2015.  The respondent submitt</w:t>
      </w:r>
      <w:r w:rsidR="00743B60">
        <w:t xml:space="preserve">ed so because the </w:t>
      </w:r>
      <w:r w:rsidR="00FD240E">
        <w:t>applicant’s</w:t>
      </w:r>
      <w:r w:rsidR="00743B60">
        <w:t xml:space="preserve"> legal practitioner wrote a letter to the respondent on 16 June 2015 and attached to that letter was</w:t>
      </w:r>
      <w:r w:rsidR="00DD0337">
        <w:t xml:space="preserve"> the court’s judgment.  As earlier stated the judgment had been handed down on 12 </w:t>
      </w:r>
      <w:r w:rsidR="00DD0337">
        <w:lastRenderedPageBreak/>
        <w:t xml:space="preserve">June 2015.  The </w:t>
      </w:r>
      <w:r w:rsidR="003F437B">
        <w:t>applicant’s</w:t>
      </w:r>
      <w:r w:rsidR="00DD0337">
        <w:t xml:space="preserve"> legal practitioner </w:t>
      </w:r>
      <w:r w:rsidR="003F437B">
        <w:t xml:space="preserve">therefore became aware of the court’s judgment on or before </w:t>
      </w:r>
      <w:r w:rsidR="009D77A2">
        <w:t>16 June 2015 when they sent a copy of it to the respondent.</w:t>
      </w:r>
    </w:p>
    <w:p w:rsidR="009D77A2" w:rsidRDefault="009D77A2" w:rsidP="00307A24">
      <w:pPr>
        <w:ind w:firstLine="720"/>
        <w:jc w:val="both"/>
      </w:pPr>
    </w:p>
    <w:p w:rsidR="009D77A2" w:rsidRDefault="009D77A2" w:rsidP="00882BC7">
      <w:pPr>
        <w:spacing w:line="360" w:lineRule="auto"/>
        <w:ind w:firstLine="720"/>
        <w:jc w:val="both"/>
      </w:pPr>
      <w:r>
        <w:t>The explanation in this regard</w:t>
      </w:r>
      <w:r w:rsidR="00D84CB3">
        <w:t xml:space="preserve"> is therefore </w:t>
      </w:r>
      <w:r w:rsidR="002C2D07">
        <w:t>false</w:t>
      </w:r>
      <w:r w:rsidR="00D84CB3">
        <w:t xml:space="preserve"> and </w:t>
      </w:r>
      <w:r w:rsidR="00FD240E">
        <w:t>can’t</w:t>
      </w:r>
      <w:r w:rsidR="00D84CB3">
        <w:t xml:space="preserve"> be</w:t>
      </w:r>
      <w:r w:rsidR="003B26B9">
        <w:t xml:space="preserve"> consid</w:t>
      </w:r>
      <w:r w:rsidR="009B755F">
        <w:t>e</w:t>
      </w:r>
      <w:r w:rsidR="003B26B9">
        <w:t>red as reasonable.</w:t>
      </w:r>
    </w:p>
    <w:p w:rsidR="00E64037" w:rsidRDefault="00E64037" w:rsidP="00307A24">
      <w:pPr>
        <w:ind w:firstLine="720"/>
        <w:jc w:val="both"/>
      </w:pPr>
    </w:p>
    <w:p w:rsidR="005A53F3" w:rsidRDefault="00E64037" w:rsidP="00882BC7">
      <w:pPr>
        <w:spacing w:line="360" w:lineRule="auto"/>
        <w:ind w:firstLine="720"/>
        <w:jc w:val="both"/>
      </w:pPr>
      <w:r>
        <w:t>The other reason</w:t>
      </w:r>
      <w:r w:rsidR="008A1978">
        <w:t xml:space="preserve"> given that the legal practitioner miscalculated</w:t>
      </w:r>
      <w:r w:rsidR="008E5C97">
        <w:t xml:space="preserve"> the dates is again an unreasonable explanation.  The legal practitioner, negligently conducted his duties in failing to accurately c</w:t>
      </w:r>
      <w:r w:rsidR="00B5547F">
        <w:t>alculate the period within which he was supposed to file his client’s application for leave to appeal.  Negligence on his part cannot constitute a reasonable explanation for delay.</w:t>
      </w:r>
    </w:p>
    <w:p w:rsidR="005A53F3" w:rsidRDefault="005A53F3" w:rsidP="00307A24">
      <w:pPr>
        <w:ind w:firstLine="720"/>
        <w:jc w:val="both"/>
      </w:pPr>
    </w:p>
    <w:p w:rsidR="00E64037" w:rsidRDefault="006214D0" w:rsidP="00882BC7">
      <w:pPr>
        <w:spacing w:line="360" w:lineRule="auto"/>
        <w:ind w:firstLine="720"/>
        <w:jc w:val="both"/>
      </w:pPr>
      <w:r>
        <w:t xml:space="preserve">The applicants cannot seek to rely on their lawyer’s negligence to succeed.  They </w:t>
      </w:r>
      <w:r w:rsidR="002C2D07">
        <w:t>too</w:t>
      </w:r>
      <w:r>
        <w:t xml:space="preserve"> must be </w:t>
      </w:r>
      <w:r w:rsidR="002C2D07">
        <w:t>penalized</w:t>
      </w:r>
      <w:r w:rsidR="003512EE">
        <w:t xml:space="preserve"> For their lawyer’s negligence, as was stated in the case of </w:t>
      </w:r>
      <w:r w:rsidR="003512EE" w:rsidRPr="00DE33D0">
        <w:rPr>
          <w:i/>
        </w:rPr>
        <w:t>Saloojee &amp; Anor NNO</w:t>
      </w:r>
      <w:r w:rsidR="003512EE">
        <w:t xml:space="preserve"> v </w:t>
      </w:r>
      <w:r w:rsidR="003512EE" w:rsidRPr="00DE33D0">
        <w:rPr>
          <w:i/>
        </w:rPr>
        <w:t>Minister</w:t>
      </w:r>
      <w:r w:rsidR="00DE33D0" w:rsidRPr="00DE33D0">
        <w:rPr>
          <w:i/>
        </w:rPr>
        <w:t xml:space="preserve"> of Community Development</w:t>
      </w:r>
      <w:r w:rsidR="00DE33D0">
        <w:t xml:space="preserve"> 1952 (2) SA 135 (A).</w:t>
      </w:r>
      <w:r w:rsidR="008A1978">
        <w:t xml:space="preserve"> </w:t>
      </w:r>
    </w:p>
    <w:p w:rsidR="000B1266" w:rsidRDefault="000B1266" w:rsidP="00307A24">
      <w:pPr>
        <w:ind w:firstLine="720"/>
        <w:jc w:val="both"/>
      </w:pPr>
    </w:p>
    <w:p w:rsidR="000B1266" w:rsidRDefault="000B1266" w:rsidP="00882BC7">
      <w:pPr>
        <w:spacing w:line="360" w:lineRule="auto"/>
        <w:ind w:firstLine="720"/>
        <w:jc w:val="both"/>
      </w:pPr>
      <w:r>
        <w:t>I agree</w:t>
      </w:r>
      <w:r w:rsidR="001332EC">
        <w:t xml:space="preserve"> with the respondent that the fact that the applicant’s lawyer has not been truthful, in itself, makes the applicants unsuitable</w:t>
      </w:r>
      <w:r w:rsidR="008407AB">
        <w:t xml:space="preserve"> candidates for condonation.  The court cannot exerci</w:t>
      </w:r>
      <w:r w:rsidR="00E86D23">
        <w:t>se its discretion in circumstances where the applicants are not being completely honest with the court.</w:t>
      </w:r>
    </w:p>
    <w:p w:rsidR="00583301" w:rsidRDefault="00583301" w:rsidP="00307A24">
      <w:pPr>
        <w:ind w:firstLine="720"/>
        <w:jc w:val="both"/>
      </w:pPr>
    </w:p>
    <w:p w:rsidR="00583301" w:rsidRDefault="00583301" w:rsidP="00882BC7">
      <w:pPr>
        <w:spacing w:line="360" w:lineRule="auto"/>
        <w:ind w:firstLine="720"/>
        <w:jc w:val="both"/>
      </w:pPr>
      <w:r>
        <w:t xml:space="preserve">The courts have also held that where there is an unreasonable explanation, the court may refuse to condone irrespective </w:t>
      </w:r>
      <w:r w:rsidR="00D50C5A">
        <w:t xml:space="preserve">of the applicants’ prospects of success.  See in this regard the case of </w:t>
      </w:r>
      <w:r w:rsidR="00D50C5A" w:rsidRPr="00680169">
        <w:rPr>
          <w:i/>
        </w:rPr>
        <w:t>Anna Marange</w:t>
      </w:r>
      <w:r w:rsidR="00D50C5A">
        <w:t xml:space="preserve"> (</w:t>
      </w:r>
      <w:r w:rsidR="00D50C5A" w:rsidRPr="00680169">
        <w:rPr>
          <w:i/>
        </w:rPr>
        <w:t>supra</w:t>
      </w:r>
      <w:r w:rsidR="00D50C5A">
        <w:t>).</w:t>
      </w:r>
    </w:p>
    <w:p w:rsidR="00ED1ED6" w:rsidRDefault="00ED1ED6" w:rsidP="00307A24">
      <w:pPr>
        <w:jc w:val="both"/>
      </w:pPr>
    </w:p>
    <w:p w:rsidR="00ED1ED6" w:rsidRDefault="00ED1ED6" w:rsidP="00ED1ED6">
      <w:pPr>
        <w:spacing w:line="360" w:lineRule="auto"/>
        <w:jc w:val="both"/>
        <w:rPr>
          <w:u w:val="single"/>
        </w:rPr>
      </w:pPr>
      <w:r w:rsidRPr="00307A24">
        <w:rPr>
          <w:u w:val="single"/>
        </w:rPr>
        <w:t>Prospects of success</w:t>
      </w:r>
    </w:p>
    <w:p w:rsidR="00307A24" w:rsidRPr="00307A24" w:rsidRDefault="00307A24" w:rsidP="00307A24">
      <w:pPr>
        <w:jc w:val="both"/>
        <w:rPr>
          <w:u w:val="single"/>
        </w:rPr>
      </w:pPr>
    </w:p>
    <w:p w:rsidR="00ED1ED6" w:rsidRDefault="00ED1ED6" w:rsidP="00A1337C">
      <w:pPr>
        <w:spacing w:line="360" w:lineRule="auto"/>
        <w:ind w:firstLine="720"/>
        <w:jc w:val="both"/>
      </w:pPr>
      <w:r>
        <w:t>The applicant’s prospects of success on appeal are also poor.</w:t>
      </w:r>
    </w:p>
    <w:p w:rsidR="00A1337C" w:rsidRDefault="00A1337C" w:rsidP="00307A24">
      <w:pPr>
        <w:ind w:firstLine="720"/>
        <w:jc w:val="both"/>
      </w:pPr>
    </w:p>
    <w:p w:rsidR="00A1337C" w:rsidRDefault="00A1337C" w:rsidP="00A1337C">
      <w:pPr>
        <w:spacing w:line="360" w:lineRule="auto"/>
        <w:ind w:firstLine="720"/>
        <w:jc w:val="both"/>
      </w:pPr>
      <w:r>
        <w:t xml:space="preserve">The Supreme Court in the case of </w:t>
      </w:r>
      <w:r w:rsidRPr="00A1337C">
        <w:rPr>
          <w:i/>
        </w:rPr>
        <w:t>S</w:t>
      </w:r>
      <w:r>
        <w:t xml:space="preserve"> v </w:t>
      </w:r>
      <w:r w:rsidRPr="00A1337C">
        <w:rPr>
          <w:i/>
        </w:rPr>
        <w:t>McGown</w:t>
      </w:r>
      <w:r>
        <w:t xml:space="preserve"> 1995 (2) ZLR 81 held that; </w:t>
      </w:r>
    </w:p>
    <w:p w:rsidR="00A1337C" w:rsidRDefault="00A1337C" w:rsidP="00307A24">
      <w:pPr>
        <w:jc w:val="both"/>
      </w:pPr>
    </w:p>
    <w:p w:rsidR="00CF795E" w:rsidRPr="00307A24" w:rsidRDefault="00224473" w:rsidP="00307A24">
      <w:pPr>
        <w:spacing w:line="276" w:lineRule="auto"/>
        <w:ind w:left="720"/>
        <w:jc w:val="both"/>
        <w:rPr>
          <w:sz w:val="22"/>
          <w:szCs w:val="22"/>
        </w:rPr>
      </w:pPr>
      <w:r w:rsidRPr="00307A24">
        <w:rPr>
          <w:sz w:val="22"/>
          <w:szCs w:val="22"/>
        </w:rPr>
        <w:t xml:space="preserve">“If the prospects are reasonable, the application should be granted otherwise it should be refused.  It is not enough to make out an </w:t>
      </w:r>
      <w:r w:rsidR="001F14B7" w:rsidRPr="00307A24">
        <w:rPr>
          <w:sz w:val="22"/>
          <w:szCs w:val="22"/>
        </w:rPr>
        <w:t>“arguable</w:t>
      </w:r>
      <w:r w:rsidR="00A55112">
        <w:rPr>
          <w:sz w:val="22"/>
          <w:szCs w:val="22"/>
        </w:rPr>
        <w:t xml:space="preserve"> case</w:t>
      </w:r>
      <w:r w:rsidR="001F14B7" w:rsidRPr="00307A24">
        <w:rPr>
          <w:sz w:val="22"/>
          <w:szCs w:val="22"/>
        </w:rPr>
        <w:t xml:space="preserve">.” </w:t>
      </w:r>
    </w:p>
    <w:p w:rsidR="00984E81" w:rsidRDefault="00984E81" w:rsidP="00307A24">
      <w:pPr>
        <w:jc w:val="both"/>
      </w:pPr>
    </w:p>
    <w:p w:rsidR="00984E81" w:rsidRDefault="00984E81" w:rsidP="00ED1ED6">
      <w:pPr>
        <w:spacing w:line="360" w:lineRule="auto"/>
        <w:jc w:val="both"/>
      </w:pPr>
      <w:r>
        <w:lastRenderedPageBreak/>
        <w:tab/>
        <w:t xml:space="preserve">The applicant’s </w:t>
      </w:r>
      <w:r w:rsidR="00C640A0">
        <w:t>argument is that the court erred in reviewing its own decision when it granted the employer the option to pay damages as o</w:t>
      </w:r>
      <w:r w:rsidR="00E06879">
        <w:t>pposed to reinstatement which it had previously ordered:</w:t>
      </w:r>
    </w:p>
    <w:p w:rsidR="000F1BC5" w:rsidRDefault="000F1BC5" w:rsidP="00307A24">
      <w:pPr>
        <w:jc w:val="both"/>
      </w:pPr>
    </w:p>
    <w:p w:rsidR="000F1BC5" w:rsidRDefault="000F1BC5" w:rsidP="00ED1ED6">
      <w:pPr>
        <w:spacing w:line="360" w:lineRule="auto"/>
        <w:jc w:val="both"/>
      </w:pPr>
      <w:r>
        <w:tab/>
        <w:t>It is a principle of law that there must be fi</w:t>
      </w:r>
      <w:r w:rsidR="00583E63">
        <w:t xml:space="preserve">nality to </w:t>
      </w:r>
      <w:r w:rsidR="00EA14DB">
        <w:t>litigation</w:t>
      </w:r>
      <w:r w:rsidR="00583E63">
        <w:t>.  The law also provides that the court cann</w:t>
      </w:r>
      <w:r w:rsidR="00EA14DB">
        <w:t>ot force an employer to employ</w:t>
      </w:r>
      <w:r w:rsidR="00583E63">
        <w:t xml:space="preserve"> particular persons.  But where the employer cannot be forced to employ</w:t>
      </w:r>
      <w:r w:rsidR="007144DB">
        <w:t xml:space="preserve">, it must </w:t>
      </w:r>
      <w:r w:rsidR="00FD240E">
        <w:t>be made</w:t>
      </w:r>
      <w:r w:rsidR="007144DB">
        <w:t xml:space="preserve"> to pay damages and in casu, the court merely gave the applicants damages were the employer had refused or neglected </w:t>
      </w:r>
      <w:r w:rsidR="00816E9F">
        <w:t xml:space="preserve">to reinstate.  The court is unable to compel one </w:t>
      </w:r>
      <w:r w:rsidR="00BA00A5">
        <w:t>person to employ against his will another as his servant.</w:t>
      </w:r>
    </w:p>
    <w:p w:rsidR="00BA00A5" w:rsidRDefault="00BA00A5" w:rsidP="00307A24">
      <w:pPr>
        <w:jc w:val="both"/>
      </w:pPr>
    </w:p>
    <w:p w:rsidR="00BA00A5" w:rsidRDefault="00BA00A5" w:rsidP="00ED1ED6">
      <w:pPr>
        <w:spacing w:line="360" w:lineRule="auto"/>
        <w:jc w:val="both"/>
      </w:pPr>
      <w:r>
        <w:tab/>
        <w:t>It is trite that damages can be paid in lieu of reinstatement a</w:t>
      </w:r>
      <w:r w:rsidR="000A0E52">
        <w:t>nd the court granted the app</w:t>
      </w:r>
      <w:r w:rsidR="00336E22">
        <w:t>lica</w:t>
      </w:r>
      <w:r w:rsidR="00B02C3A">
        <w:t>nts the right to be paid damages in lieu of reinstatement.</w:t>
      </w:r>
    </w:p>
    <w:p w:rsidR="00B02C3A" w:rsidRDefault="00B02C3A" w:rsidP="00307A24">
      <w:pPr>
        <w:jc w:val="both"/>
      </w:pPr>
    </w:p>
    <w:p w:rsidR="00B02C3A" w:rsidRDefault="00B02C3A" w:rsidP="00ED1ED6">
      <w:pPr>
        <w:spacing w:line="360" w:lineRule="auto"/>
        <w:jc w:val="both"/>
      </w:pPr>
      <w:r>
        <w:tab/>
        <w:t>It is for these reasons that I</w:t>
      </w:r>
      <w:r w:rsidR="00B77D4E">
        <w:t>, on 6 April 2016,</w:t>
      </w:r>
      <w:r>
        <w:t xml:space="preserve"> refused to exercise my discretion to condone </w:t>
      </w:r>
      <w:r w:rsidR="00FD240E">
        <w:t>applicant’s</w:t>
      </w:r>
      <w:r>
        <w:t xml:space="preserve"> failure to comply with the rules</w:t>
      </w:r>
      <w:r w:rsidR="00B77D4E">
        <w:t>.</w:t>
      </w:r>
      <w:r>
        <w:t xml:space="preserve"> </w:t>
      </w:r>
      <w:r w:rsidR="000B7768">
        <w:t xml:space="preserve">I </w:t>
      </w:r>
      <w:r w:rsidR="002358F2">
        <w:t>gave</w:t>
      </w:r>
      <w:r w:rsidR="000B7768">
        <w:t xml:space="preserve"> the following order;</w:t>
      </w:r>
    </w:p>
    <w:p w:rsidR="000B7768" w:rsidRDefault="000B7768" w:rsidP="00ED1ED6">
      <w:pPr>
        <w:spacing w:line="360" w:lineRule="auto"/>
        <w:jc w:val="both"/>
      </w:pPr>
    </w:p>
    <w:p w:rsidR="000B7768" w:rsidRDefault="000B7768" w:rsidP="00ED1ED6">
      <w:pPr>
        <w:spacing w:line="360" w:lineRule="auto"/>
        <w:jc w:val="both"/>
      </w:pPr>
      <w:r>
        <w:t xml:space="preserve">The application for condonation for late noting of an application for </w:t>
      </w:r>
      <w:r w:rsidR="002358F2">
        <w:t>leav</w:t>
      </w:r>
      <w:r w:rsidR="0048576D">
        <w:t xml:space="preserve">e to appeal be and is hereby </w:t>
      </w:r>
      <w:r w:rsidR="00555F59">
        <w:t>dismissed</w:t>
      </w:r>
      <w:r w:rsidR="0048576D">
        <w:t xml:space="preserve"> for the following reasons;</w:t>
      </w:r>
    </w:p>
    <w:p w:rsidR="0048576D" w:rsidRDefault="0048576D" w:rsidP="00B707F0">
      <w:pPr>
        <w:jc w:val="both"/>
      </w:pPr>
    </w:p>
    <w:p w:rsidR="0048576D" w:rsidRDefault="0048576D" w:rsidP="0048576D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explanation for delay is unreasonable.</w:t>
      </w:r>
    </w:p>
    <w:p w:rsidR="0048576D" w:rsidRDefault="0048576D" w:rsidP="0048576D">
      <w:pPr>
        <w:pStyle w:val="ListParagraph"/>
        <w:numPr>
          <w:ilvl w:val="0"/>
          <w:numId w:val="1"/>
        </w:numPr>
        <w:spacing w:line="360" w:lineRule="auto"/>
        <w:jc w:val="both"/>
      </w:pPr>
      <w:r>
        <w:t>The applicants do not enjoy good prospects of succe</w:t>
      </w:r>
      <w:r w:rsidR="00555F59">
        <w:t>ss on appeal.</w:t>
      </w:r>
    </w:p>
    <w:p w:rsidR="009620DF" w:rsidRDefault="009620DF" w:rsidP="009620DF">
      <w:pPr>
        <w:spacing w:line="360" w:lineRule="auto"/>
        <w:jc w:val="both"/>
      </w:pPr>
    </w:p>
    <w:p w:rsidR="009620DF" w:rsidRDefault="009620DF" w:rsidP="009620DF">
      <w:pPr>
        <w:spacing w:line="360" w:lineRule="auto"/>
        <w:jc w:val="both"/>
      </w:pPr>
    </w:p>
    <w:p w:rsidR="009620DF" w:rsidRDefault="009620DF" w:rsidP="009620DF">
      <w:pPr>
        <w:spacing w:line="360" w:lineRule="auto"/>
        <w:jc w:val="both"/>
      </w:pPr>
      <w:r w:rsidRPr="00212D4D">
        <w:rPr>
          <w:i/>
        </w:rPr>
        <w:t>Mbidzo, Muchadehama &amp; Makoni</w:t>
      </w:r>
      <w:r w:rsidR="00212D4D">
        <w:t>, applicants’ legal practitioners</w:t>
      </w:r>
    </w:p>
    <w:p w:rsidR="00212D4D" w:rsidRDefault="00212D4D" w:rsidP="009620DF">
      <w:pPr>
        <w:spacing w:line="360" w:lineRule="auto"/>
        <w:jc w:val="both"/>
      </w:pPr>
      <w:r w:rsidRPr="00212D4D">
        <w:rPr>
          <w:i/>
        </w:rPr>
        <w:t>Messrs Manase &amp; Manase</w:t>
      </w:r>
      <w:r>
        <w:t>, respondent’s legal practitioners</w:t>
      </w:r>
    </w:p>
    <w:p w:rsidR="00A1337C" w:rsidRDefault="00A1337C" w:rsidP="00ED1ED6">
      <w:pPr>
        <w:spacing w:line="360" w:lineRule="auto"/>
        <w:jc w:val="both"/>
      </w:pPr>
      <w:r>
        <w:tab/>
      </w:r>
    </w:p>
    <w:p w:rsidR="002F3274" w:rsidRDefault="002F3274" w:rsidP="00170025">
      <w:pPr>
        <w:spacing w:line="360" w:lineRule="auto"/>
        <w:jc w:val="both"/>
      </w:pPr>
    </w:p>
    <w:p w:rsidR="002F3274" w:rsidRDefault="002F3274" w:rsidP="00170025">
      <w:pPr>
        <w:spacing w:line="360" w:lineRule="auto"/>
        <w:jc w:val="both"/>
      </w:pPr>
      <w:r>
        <w:tab/>
      </w:r>
    </w:p>
    <w:p w:rsidR="00125BD4" w:rsidRDefault="00125BD4" w:rsidP="00E0557C">
      <w:pPr>
        <w:spacing w:line="360" w:lineRule="auto"/>
        <w:jc w:val="both"/>
      </w:pPr>
    </w:p>
    <w:sectPr w:rsidR="00125BD4" w:rsidSect="005F3CD2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B0" w:rsidRDefault="007E64B0" w:rsidP="005F3CD2">
      <w:r>
        <w:separator/>
      </w:r>
    </w:p>
  </w:endnote>
  <w:endnote w:type="continuationSeparator" w:id="0">
    <w:p w:rsidR="007E64B0" w:rsidRDefault="007E64B0" w:rsidP="005F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4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76D" w:rsidRDefault="00485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9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576D" w:rsidRDefault="00485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B0" w:rsidRDefault="007E64B0" w:rsidP="005F3CD2">
      <w:r>
        <w:separator/>
      </w:r>
    </w:p>
  </w:footnote>
  <w:footnote w:type="continuationSeparator" w:id="0">
    <w:p w:rsidR="007E64B0" w:rsidRDefault="007E64B0" w:rsidP="005F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76D" w:rsidRPr="005F3CD2" w:rsidRDefault="0048576D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AA695E">
      <w:rPr>
        <w:lang w:val="en-ZW"/>
      </w:rPr>
      <w:t>522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272A"/>
    <w:multiLevelType w:val="hybridMultilevel"/>
    <w:tmpl w:val="20D2617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66"/>
    <w:rsid w:val="00031456"/>
    <w:rsid w:val="00064200"/>
    <w:rsid w:val="000A0E52"/>
    <w:rsid w:val="000B1266"/>
    <w:rsid w:val="000B1AA6"/>
    <w:rsid w:val="000B7768"/>
    <w:rsid w:val="000F1BC5"/>
    <w:rsid w:val="00112F31"/>
    <w:rsid w:val="00125BD4"/>
    <w:rsid w:val="001332EC"/>
    <w:rsid w:val="00170025"/>
    <w:rsid w:val="001E0E78"/>
    <w:rsid w:val="001F14B7"/>
    <w:rsid w:val="00212D4D"/>
    <w:rsid w:val="00224473"/>
    <w:rsid w:val="002358F2"/>
    <w:rsid w:val="00254A5D"/>
    <w:rsid w:val="00287866"/>
    <w:rsid w:val="002B433C"/>
    <w:rsid w:val="002C2D07"/>
    <w:rsid w:val="002F3274"/>
    <w:rsid w:val="00307A24"/>
    <w:rsid w:val="00336E22"/>
    <w:rsid w:val="003512EE"/>
    <w:rsid w:val="00366C10"/>
    <w:rsid w:val="003A04E6"/>
    <w:rsid w:val="003B26B9"/>
    <w:rsid w:val="003E1EC9"/>
    <w:rsid w:val="003F437B"/>
    <w:rsid w:val="00445035"/>
    <w:rsid w:val="0048576D"/>
    <w:rsid w:val="004B67FF"/>
    <w:rsid w:val="004B7F64"/>
    <w:rsid w:val="004D4950"/>
    <w:rsid w:val="004D7ECE"/>
    <w:rsid w:val="00530EF5"/>
    <w:rsid w:val="00555F59"/>
    <w:rsid w:val="00562B1B"/>
    <w:rsid w:val="00583301"/>
    <w:rsid w:val="00583E63"/>
    <w:rsid w:val="0059377A"/>
    <w:rsid w:val="005A53F3"/>
    <w:rsid w:val="005B0B8E"/>
    <w:rsid w:val="005F3CD2"/>
    <w:rsid w:val="006214D0"/>
    <w:rsid w:val="00680169"/>
    <w:rsid w:val="00684795"/>
    <w:rsid w:val="0069333F"/>
    <w:rsid w:val="006A55D0"/>
    <w:rsid w:val="006C7AAA"/>
    <w:rsid w:val="007144DB"/>
    <w:rsid w:val="0072545D"/>
    <w:rsid w:val="00743B60"/>
    <w:rsid w:val="007E1203"/>
    <w:rsid w:val="007E423F"/>
    <w:rsid w:val="007E64B0"/>
    <w:rsid w:val="00816E9F"/>
    <w:rsid w:val="008407AB"/>
    <w:rsid w:val="0086261E"/>
    <w:rsid w:val="00882BC7"/>
    <w:rsid w:val="008A1978"/>
    <w:rsid w:val="008D4D63"/>
    <w:rsid w:val="008E264C"/>
    <w:rsid w:val="008E5C97"/>
    <w:rsid w:val="009446AC"/>
    <w:rsid w:val="009620DF"/>
    <w:rsid w:val="009774F1"/>
    <w:rsid w:val="00984E81"/>
    <w:rsid w:val="009B755F"/>
    <w:rsid w:val="009D77A2"/>
    <w:rsid w:val="009E34B2"/>
    <w:rsid w:val="00A016A5"/>
    <w:rsid w:val="00A1337C"/>
    <w:rsid w:val="00A136D9"/>
    <w:rsid w:val="00A4414A"/>
    <w:rsid w:val="00A55112"/>
    <w:rsid w:val="00A6658B"/>
    <w:rsid w:val="00A72E43"/>
    <w:rsid w:val="00A84FAB"/>
    <w:rsid w:val="00AA695E"/>
    <w:rsid w:val="00AB528E"/>
    <w:rsid w:val="00AF5B5D"/>
    <w:rsid w:val="00B02C3A"/>
    <w:rsid w:val="00B37966"/>
    <w:rsid w:val="00B45A97"/>
    <w:rsid w:val="00B5547F"/>
    <w:rsid w:val="00B57C38"/>
    <w:rsid w:val="00B707F0"/>
    <w:rsid w:val="00B77D4E"/>
    <w:rsid w:val="00BA00A5"/>
    <w:rsid w:val="00BA7993"/>
    <w:rsid w:val="00BE2C62"/>
    <w:rsid w:val="00C05B43"/>
    <w:rsid w:val="00C41D22"/>
    <w:rsid w:val="00C640A0"/>
    <w:rsid w:val="00C737C7"/>
    <w:rsid w:val="00CF795E"/>
    <w:rsid w:val="00D50C5A"/>
    <w:rsid w:val="00D84CB3"/>
    <w:rsid w:val="00DD0337"/>
    <w:rsid w:val="00DE33D0"/>
    <w:rsid w:val="00E0557C"/>
    <w:rsid w:val="00E06879"/>
    <w:rsid w:val="00E11073"/>
    <w:rsid w:val="00E61BAC"/>
    <w:rsid w:val="00E64037"/>
    <w:rsid w:val="00E73066"/>
    <w:rsid w:val="00E86D23"/>
    <w:rsid w:val="00EA14DB"/>
    <w:rsid w:val="00EA368D"/>
    <w:rsid w:val="00ED1ED6"/>
    <w:rsid w:val="00EE2E2F"/>
    <w:rsid w:val="00F018F0"/>
    <w:rsid w:val="00F95D64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86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CD2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3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CD2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85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5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5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86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CD2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3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CD2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85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5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5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1EAA-B57D-44A5-9E08-CE688F9B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34</cp:revision>
  <cp:lastPrinted>2016-08-03T12:51:00Z</cp:lastPrinted>
  <dcterms:created xsi:type="dcterms:W3CDTF">2016-08-03T09:12:00Z</dcterms:created>
  <dcterms:modified xsi:type="dcterms:W3CDTF">2016-08-30T09:45:00Z</dcterms:modified>
</cp:coreProperties>
</file>