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33E86" w14:textId="77777777" w:rsidR="00E83740" w:rsidRPr="0058499D" w:rsidRDefault="007A2336" w:rsidP="00AA2D33">
      <w:pPr>
        <w:spacing w:after="0" w:line="240" w:lineRule="auto"/>
        <w:jc w:val="both"/>
        <w:rPr>
          <w:rFonts w:ascii="Times New Roman" w:hAnsi="Times New Roman"/>
          <w:sz w:val="24"/>
          <w:szCs w:val="24"/>
        </w:rPr>
      </w:pPr>
      <w:bookmarkStart w:id="0" w:name="_GoBack"/>
      <w:bookmarkEnd w:id="0"/>
      <w:r w:rsidRPr="0058499D">
        <w:rPr>
          <w:rFonts w:ascii="Times New Roman" w:hAnsi="Times New Roman"/>
          <w:sz w:val="24"/>
          <w:szCs w:val="24"/>
        </w:rPr>
        <w:t>KENNEDY MASVIKENI</w:t>
      </w:r>
    </w:p>
    <w:p w14:paraId="32B29051" w14:textId="77777777" w:rsidR="00E83740" w:rsidRPr="0058499D" w:rsidRDefault="00AA2D33" w:rsidP="00AA2D33">
      <w:pPr>
        <w:spacing w:after="0" w:line="240" w:lineRule="auto"/>
        <w:jc w:val="both"/>
        <w:rPr>
          <w:rFonts w:ascii="Times New Roman" w:hAnsi="Times New Roman"/>
          <w:sz w:val="24"/>
          <w:szCs w:val="24"/>
        </w:rPr>
      </w:pPr>
      <w:r>
        <w:rPr>
          <w:rFonts w:ascii="Times New Roman" w:hAnsi="Times New Roman"/>
          <w:sz w:val="24"/>
          <w:szCs w:val="24"/>
        </w:rPr>
        <w:t>v</w:t>
      </w:r>
      <w:r w:rsidR="00E83740" w:rsidRPr="0058499D">
        <w:rPr>
          <w:rFonts w:ascii="Times New Roman" w:hAnsi="Times New Roman"/>
          <w:sz w:val="24"/>
          <w:szCs w:val="24"/>
        </w:rPr>
        <w:t>ersus</w:t>
      </w:r>
    </w:p>
    <w:p w14:paraId="07575429" w14:textId="77777777" w:rsidR="00E83740" w:rsidRDefault="007A2336" w:rsidP="00AA2D33">
      <w:pPr>
        <w:spacing w:after="0" w:line="240" w:lineRule="auto"/>
        <w:jc w:val="both"/>
        <w:rPr>
          <w:rFonts w:ascii="Times New Roman" w:hAnsi="Times New Roman"/>
          <w:sz w:val="24"/>
          <w:szCs w:val="24"/>
        </w:rPr>
      </w:pPr>
      <w:r w:rsidRPr="0058499D">
        <w:rPr>
          <w:rFonts w:ascii="Times New Roman" w:hAnsi="Times New Roman"/>
          <w:sz w:val="24"/>
          <w:szCs w:val="24"/>
        </w:rPr>
        <w:t>ZIMBABWE REVENUE AUTHORITY</w:t>
      </w:r>
    </w:p>
    <w:p w14:paraId="3C446F7A" w14:textId="77777777" w:rsidR="00AA2D33" w:rsidRDefault="00AA2D33" w:rsidP="00AA2D33">
      <w:pPr>
        <w:spacing w:after="0" w:line="240" w:lineRule="auto"/>
        <w:jc w:val="both"/>
        <w:rPr>
          <w:rFonts w:ascii="Times New Roman" w:hAnsi="Times New Roman"/>
          <w:sz w:val="24"/>
          <w:szCs w:val="24"/>
        </w:rPr>
      </w:pPr>
    </w:p>
    <w:p w14:paraId="28757935" w14:textId="77777777" w:rsidR="00AA2D33" w:rsidRPr="0058499D" w:rsidRDefault="00AA2D33" w:rsidP="00AA2D33">
      <w:pPr>
        <w:spacing w:after="0" w:line="240" w:lineRule="auto"/>
        <w:jc w:val="both"/>
        <w:rPr>
          <w:rFonts w:ascii="Times New Roman" w:hAnsi="Times New Roman"/>
          <w:sz w:val="24"/>
          <w:szCs w:val="24"/>
        </w:rPr>
      </w:pPr>
    </w:p>
    <w:p w14:paraId="3DB7B095" w14:textId="77777777" w:rsidR="00E83740" w:rsidRPr="0058499D" w:rsidRDefault="00E83740" w:rsidP="00AA2D33">
      <w:pPr>
        <w:spacing w:after="0" w:line="240" w:lineRule="auto"/>
        <w:jc w:val="both"/>
        <w:rPr>
          <w:rFonts w:ascii="Times New Roman" w:hAnsi="Times New Roman"/>
          <w:sz w:val="24"/>
          <w:szCs w:val="24"/>
        </w:rPr>
      </w:pPr>
      <w:r w:rsidRPr="0058499D">
        <w:rPr>
          <w:rFonts w:ascii="Times New Roman" w:hAnsi="Times New Roman"/>
          <w:sz w:val="24"/>
          <w:szCs w:val="24"/>
        </w:rPr>
        <w:t>HIGH COURT OF ZIMBABWE</w:t>
      </w:r>
    </w:p>
    <w:p w14:paraId="4AFE2529" w14:textId="77777777" w:rsidR="00E83740" w:rsidRPr="00AA2D33" w:rsidRDefault="00E83740" w:rsidP="00AA2D33">
      <w:pPr>
        <w:spacing w:after="0" w:line="240" w:lineRule="auto"/>
        <w:jc w:val="both"/>
        <w:rPr>
          <w:rFonts w:ascii="Times New Roman" w:hAnsi="Times New Roman"/>
          <w:b/>
          <w:bCs/>
          <w:sz w:val="24"/>
          <w:szCs w:val="24"/>
        </w:rPr>
      </w:pPr>
      <w:r w:rsidRPr="00AA2D33">
        <w:rPr>
          <w:rFonts w:ascii="Times New Roman" w:hAnsi="Times New Roman"/>
          <w:b/>
          <w:bCs/>
          <w:sz w:val="24"/>
          <w:szCs w:val="24"/>
        </w:rPr>
        <w:t>DEME J</w:t>
      </w:r>
    </w:p>
    <w:p w14:paraId="12E4785A" w14:textId="77777777" w:rsidR="00E83740" w:rsidRPr="0058499D" w:rsidRDefault="00E83740" w:rsidP="00AA2D33">
      <w:pPr>
        <w:spacing w:after="0" w:line="240" w:lineRule="auto"/>
        <w:jc w:val="both"/>
        <w:rPr>
          <w:rFonts w:ascii="Times New Roman" w:hAnsi="Times New Roman"/>
          <w:sz w:val="24"/>
          <w:szCs w:val="24"/>
        </w:rPr>
      </w:pPr>
      <w:r w:rsidRPr="0058499D">
        <w:rPr>
          <w:rFonts w:ascii="Times New Roman" w:hAnsi="Times New Roman"/>
          <w:sz w:val="24"/>
          <w:szCs w:val="24"/>
        </w:rPr>
        <w:t xml:space="preserve">HARARE, </w:t>
      </w:r>
      <w:r w:rsidR="007A2336" w:rsidRPr="0058499D">
        <w:rPr>
          <w:rFonts w:ascii="Times New Roman" w:hAnsi="Times New Roman"/>
          <w:sz w:val="24"/>
          <w:szCs w:val="24"/>
        </w:rPr>
        <w:t xml:space="preserve">11 </w:t>
      </w:r>
      <w:r w:rsidR="0007257F" w:rsidRPr="0058499D">
        <w:rPr>
          <w:rFonts w:ascii="Times New Roman" w:hAnsi="Times New Roman"/>
          <w:sz w:val="24"/>
          <w:szCs w:val="24"/>
        </w:rPr>
        <w:t>May,</w:t>
      </w:r>
      <w:r w:rsidRPr="0058499D">
        <w:rPr>
          <w:rFonts w:ascii="Times New Roman" w:hAnsi="Times New Roman"/>
          <w:sz w:val="24"/>
          <w:szCs w:val="24"/>
        </w:rPr>
        <w:t xml:space="preserve"> 2023</w:t>
      </w:r>
      <w:r w:rsidR="006B0441" w:rsidRPr="0058499D">
        <w:rPr>
          <w:rFonts w:ascii="Times New Roman" w:hAnsi="Times New Roman"/>
          <w:sz w:val="24"/>
          <w:szCs w:val="24"/>
        </w:rPr>
        <w:t xml:space="preserve"> and 30 October 2024</w:t>
      </w:r>
    </w:p>
    <w:p w14:paraId="61E9E218" w14:textId="77777777" w:rsidR="00E83740" w:rsidRDefault="00E83740" w:rsidP="00AA2D33">
      <w:pPr>
        <w:spacing w:after="0" w:line="240" w:lineRule="auto"/>
        <w:jc w:val="both"/>
        <w:rPr>
          <w:rFonts w:ascii="Times New Roman" w:hAnsi="Times New Roman"/>
          <w:sz w:val="24"/>
          <w:szCs w:val="24"/>
        </w:rPr>
      </w:pPr>
    </w:p>
    <w:p w14:paraId="6493A4E8" w14:textId="77777777" w:rsidR="00AA2D33" w:rsidRDefault="00AA2D33" w:rsidP="00AA2D33">
      <w:pPr>
        <w:spacing w:after="0" w:line="240" w:lineRule="auto"/>
        <w:jc w:val="both"/>
        <w:rPr>
          <w:rFonts w:ascii="Times New Roman" w:hAnsi="Times New Roman"/>
          <w:sz w:val="24"/>
          <w:szCs w:val="24"/>
        </w:rPr>
      </w:pPr>
    </w:p>
    <w:p w14:paraId="0F2A5198" w14:textId="77777777" w:rsidR="00E83740" w:rsidRPr="00AA2D33" w:rsidRDefault="007A2336" w:rsidP="00AA2D33">
      <w:pPr>
        <w:spacing w:after="0" w:line="240" w:lineRule="auto"/>
        <w:jc w:val="both"/>
        <w:rPr>
          <w:rFonts w:ascii="Times New Roman" w:hAnsi="Times New Roman"/>
          <w:b/>
          <w:i/>
          <w:iCs/>
          <w:sz w:val="24"/>
          <w:szCs w:val="24"/>
        </w:rPr>
      </w:pPr>
      <w:r w:rsidRPr="00AA2D33">
        <w:rPr>
          <w:rFonts w:ascii="Times New Roman" w:hAnsi="Times New Roman"/>
          <w:b/>
          <w:i/>
          <w:iCs/>
          <w:sz w:val="24"/>
          <w:szCs w:val="24"/>
        </w:rPr>
        <w:t xml:space="preserve">Opposed </w:t>
      </w:r>
      <w:r w:rsidR="00E83740" w:rsidRPr="00AA2D33">
        <w:rPr>
          <w:rFonts w:ascii="Times New Roman" w:hAnsi="Times New Roman"/>
          <w:b/>
          <w:i/>
          <w:iCs/>
          <w:sz w:val="24"/>
          <w:szCs w:val="24"/>
        </w:rPr>
        <w:t xml:space="preserve">Application </w:t>
      </w:r>
    </w:p>
    <w:p w14:paraId="6588EA9D" w14:textId="77777777" w:rsidR="006B0441" w:rsidRDefault="006B0441" w:rsidP="00AA2D33">
      <w:pPr>
        <w:spacing w:after="0" w:line="240" w:lineRule="auto"/>
        <w:jc w:val="both"/>
        <w:rPr>
          <w:rFonts w:ascii="Times New Roman" w:hAnsi="Times New Roman"/>
          <w:i/>
          <w:sz w:val="24"/>
          <w:szCs w:val="24"/>
        </w:rPr>
      </w:pPr>
    </w:p>
    <w:p w14:paraId="509D844B" w14:textId="77777777" w:rsidR="00AA2D33" w:rsidRPr="0058499D" w:rsidRDefault="00AA2D33" w:rsidP="00AA2D33">
      <w:pPr>
        <w:spacing w:after="0" w:line="240" w:lineRule="auto"/>
        <w:jc w:val="both"/>
        <w:rPr>
          <w:rFonts w:ascii="Times New Roman" w:hAnsi="Times New Roman"/>
          <w:i/>
          <w:sz w:val="24"/>
          <w:szCs w:val="24"/>
        </w:rPr>
      </w:pPr>
    </w:p>
    <w:p w14:paraId="45E9035E" w14:textId="77777777" w:rsidR="00E83740" w:rsidRPr="00AA2D33" w:rsidRDefault="00E83740" w:rsidP="00AA2D33">
      <w:pPr>
        <w:spacing w:after="0" w:line="240" w:lineRule="auto"/>
        <w:jc w:val="both"/>
        <w:rPr>
          <w:rFonts w:ascii="Times New Roman" w:hAnsi="Times New Roman"/>
          <w:iCs/>
          <w:sz w:val="24"/>
          <w:szCs w:val="24"/>
        </w:rPr>
      </w:pPr>
      <w:r w:rsidRPr="0058499D">
        <w:rPr>
          <w:rFonts w:ascii="Times New Roman" w:hAnsi="Times New Roman"/>
          <w:i/>
          <w:sz w:val="24"/>
          <w:szCs w:val="24"/>
        </w:rPr>
        <w:t xml:space="preserve">Mr. </w:t>
      </w:r>
      <w:r w:rsidR="007A2336" w:rsidRPr="0058499D">
        <w:rPr>
          <w:rFonts w:ascii="Times New Roman" w:hAnsi="Times New Roman"/>
          <w:i/>
          <w:sz w:val="24"/>
          <w:szCs w:val="24"/>
        </w:rPr>
        <w:t xml:space="preserve">G. </w:t>
      </w:r>
      <w:r w:rsidR="00433B1A" w:rsidRPr="0058499D">
        <w:rPr>
          <w:rFonts w:ascii="Times New Roman" w:hAnsi="Times New Roman"/>
          <w:i/>
          <w:sz w:val="24"/>
          <w:szCs w:val="24"/>
        </w:rPr>
        <w:t>Tapera</w:t>
      </w:r>
      <w:r w:rsidRPr="0058499D">
        <w:rPr>
          <w:rFonts w:ascii="Times New Roman" w:hAnsi="Times New Roman"/>
          <w:i/>
          <w:sz w:val="24"/>
          <w:szCs w:val="24"/>
        </w:rPr>
        <w:t xml:space="preserve">, </w:t>
      </w:r>
      <w:r w:rsidRPr="00AA2D33">
        <w:rPr>
          <w:rFonts w:ascii="Times New Roman" w:hAnsi="Times New Roman"/>
          <w:iCs/>
          <w:sz w:val="24"/>
          <w:szCs w:val="24"/>
        </w:rPr>
        <w:t xml:space="preserve">for the </w:t>
      </w:r>
      <w:r w:rsidR="00AA2D33">
        <w:rPr>
          <w:rFonts w:ascii="Times New Roman" w:hAnsi="Times New Roman"/>
          <w:iCs/>
          <w:sz w:val="24"/>
          <w:szCs w:val="24"/>
        </w:rPr>
        <w:t>a</w:t>
      </w:r>
      <w:r w:rsidRPr="00AA2D33">
        <w:rPr>
          <w:rFonts w:ascii="Times New Roman" w:hAnsi="Times New Roman"/>
          <w:iCs/>
          <w:sz w:val="24"/>
          <w:szCs w:val="24"/>
        </w:rPr>
        <w:t>pplicant</w:t>
      </w:r>
    </w:p>
    <w:p w14:paraId="173309FD" w14:textId="77777777" w:rsidR="00E83740" w:rsidRPr="0058499D" w:rsidRDefault="00E83740" w:rsidP="00AA2D33">
      <w:pPr>
        <w:spacing w:after="0" w:line="240" w:lineRule="auto"/>
        <w:jc w:val="both"/>
        <w:rPr>
          <w:rFonts w:ascii="Times New Roman" w:hAnsi="Times New Roman"/>
          <w:sz w:val="24"/>
          <w:szCs w:val="24"/>
        </w:rPr>
      </w:pPr>
      <w:r w:rsidRPr="0058499D">
        <w:rPr>
          <w:rFonts w:ascii="Times New Roman" w:hAnsi="Times New Roman"/>
          <w:i/>
          <w:sz w:val="24"/>
          <w:szCs w:val="24"/>
        </w:rPr>
        <w:t>Mr. T.</w:t>
      </w:r>
      <w:r w:rsidR="007A2336" w:rsidRPr="0058499D">
        <w:rPr>
          <w:rFonts w:ascii="Times New Roman" w:hAnsi="Times New Roman"/>
          <w:i/>
          <w:sz w:val="24"/>
          <w:szCs w:val="24"/>
        </w:rPr>
        <w:t>L. Marange</w:t>
      </w:r>
      <w:r w:rsidRPr="0058499D">
        <w:rPr>
          <w:rFonts w:ascii="Times New Roman" w:hAnsi="Times New Roman"/>
          <w:sz w:val="24"/>
          <w:szCs w:val="24"/>
        </w:rPr>
        <w:t xml:space="preserve">, for the </w:t>
      </w:r>
      <w:r w:rsidR="00AA2D33">
        <w:rPr>
          <w:rFonts w:ascii="Times New Roman" w:hAnsi="Times New Roman"/>
          <w:sz w:val="24"/>
          <w:szCs w:val="24"/>
        </w:rPr>
        <w:t>r</w:t>
      </w:r>
      <w:r w:rsidRPr="0058499D">
        <w:rPr>
          <w:rFonts w:ascii="Times New Roman" w:hAnsi="Times New Roman"/>
          <w:sz w:val="24"/>
          <w:szCs w:val="24"/>
        </w:rPr>
        <w:t>espondent</w:t>
      </w:r>
    </w:p>
    <w:p w14:paraId="1C12E469" w14:textId="77777777" w:rsidR="00E83740" w:rsidRDefault="00E83740" w:rsidP="00AA2D33">
      <w:pPr>
        <w:spacing w:after="0" w:line="240" w:lineRule="auto"/>
        <w:jc w:val="both"/>
        <w:rPr>
          <w:rFonts w:ascii="Times New Roman" w:hAnsi="Times New Roman"/>
          <w:sz w:val="24"/>
          <w:szCs w:val="24"/>
        </w:rPr>
      </w:pPr>
    </w:p>
    <w:p w14:paraId="1BD15E26" w14:textId="77777777" w:rsidR="00AA2D33" w:rsidRPr="0058499D" w:rsidRDefault="00AA2D33" w:rsidP="00AA2D33">
      <w:pPr>
        <w:spacing w:after="0" w:line="240" w:lineRule="auto"/>
        <w:jc w:val="both"/>
        <w:rPr>
          <w:rFonts w:ascii="Times New Roman" w:hAnsi="Times New Roman"/>
          <w:sz w:val="24"/>
          <w:szCs w:val="24"/>
        </w:rPr>
      </w:pPr>
    </w:p>
    <w:p w14:paraId="4A158EA7" w14:textId="77777777" w:rsidR="007A2336" w:rsidRPr="0058499D" w:rsidRDefault="00E83740" w:rsidP="00AA2D33">
      <w:pPr>
        <w:spacing w:after="0" w:line="360" w:lineRule="auto"/>
        <w:jc w:val="both"/>
        <w:rPr>
          <w:rFonts w:ascii="Times New Roman" w:hAnsi="Times New Roman"/>
          <w:sz w:val="24"/>
          <w:szCs w:val="24"/>
        </w:rPr>
      </w:pPr>
      <w:r w:rsidRPr="0058499D">
        <w:rPr>
          <w:rFonts w:ascii="Times New Roman" w:hAnsi="Times New Roman"/>
          <w:sz w:val="24"/>
          <w:szCs w:val="24"/>
        </w:rPr>
        <w:tab/>
        <w:t>DEME J:</w:t>
      </w:r>
      <w:r w:rsidR="00234FED">
        <w:rPr>
          <w:rFonts w:ascii="Times New Roman" w:hAnsi="Times New Roman"/>
          <w:sz w:val="24"/>
          <w:szCs w:val="24"/>
        </w:rPr>
        <w:t xml:space="preserve">    </w:t>
      </w:r>
      <w:r w:rsidR="007A2336" w:rsidRPr="0058499D">
        <w:rPr>
          <w:rFonts w:ascii="Times New Roman" w:hAnsi="Times New Roman"/>
          <w:sz w:val="24"/>
          <w:szCs w:val="24"/>
        </w:rPr>
        <w:t>On 11 May 2023</w:t>
      </w:r>
      <w:r w:rsidR="00F868FC">
        <w:rPr>
          <w:rFonts w:ascii="Times New Roman" w:hAnsi="Times New Roman"/>
          <w:sz w:val="24"/>
          <w:szCs w:val="24"/>
        </w:rPr>
        <w:t xml:space="preserve">, </w:t>
      </w:r>
      <w:r w:rsidR="007A2336" w:rsidRPr="0058499D">
        <w:rPr>
          <w:rFonts w:ascii="Times New Roman" w:hAnsi="Times New Roman"/>
          <w:sz w:val="24"/>
          <w:szCs w:val="24"/>
        </w:rPr>
        <w:t>I</w:t>
      </w:r>
      <w:r w:rsidR="00F868FC">
        <w:rPr>
          <w:rFonts w:ascii="Times New Roman" w:hAnsi="Times New Roman"/>
          <w:sz w:val="24"/>
          <w:szCs w:val="24"/>
        </w:rPr>
        <w:t xml:space="preserve"> </w:t>
      </w:r>
      <w:r w:rsidR="007A2336" w:rsidRPr="0058499D">
        <w:rPr>
          <w:rFonts w:ascii="Times New Roman" w:hAnsi="Times New Roman"/>
          <w:sz w:val="24"/>
          <w:szCs w:val="24"/>
        </w:rPr>
        <w:t xml:space="preserve">dismissed </w:t>
      </w:r>
      <w:r w:rsidR="006B0441" w:rsidRPr="0058499D">
        <w:rPr>
          <w:rFonts w:ascii="Times New Roman" w:hAnsi="Times New Roman"/>
          <w:sz w:val="24"/>
          <w:szCs w:val="24"/>
        </w:rPr>
        <w:t xml:space="preserve">the </w:t>
      </w:r>
      <w:r w:rsidR="007A2336" w:rsidRPr="0058499D">
        <w:rPr>
          <w:rFonts w:ascii="Times New Roman" w:hAnsi="Times New Roman"/>
          <w:sz w:val="24"/>
          <w:szCs w:val="24"/>
        </w:rPr>
        <w:t xml:space="preserve">present application </w:t>
      </w:r>
      <w:r w:rsidR="00767F1D" w:rsidRPr="0058499D">
        <w:rPr>
          <w:rFonts w:ascii="Times New Roman" w:hAnsi="Times New Roman"/>
          <w:sz w:val="24"/>
          <w:szCs w:val="24"/>
        </w:rPr>
        <w:t xml:space="preserve">for condonation for the late filing of application for review on the basis that the intended application enjoys zero prospects of success due </w:t>
      </w:r>
      <w:r w:rsidR="00F4551D" w:rsidRPr="0058499D">
        <w:rPr>
          <w:rFonts w:ascii="Times New Roman" w:hAnsi="Times New Roman"/>
          <w:sz w:val="24"/>
          <w:szCs w:val="24"/>
        </w:rPr>
        <w:t xml:space="preserve">to </w:t>
      </w:r>
      <w:r w:rsidR="00767F1D" w:rsidRPr="0058499D">
        <w:rPr>
          <w:rFonts w:ascii="Times New Roman" w:hAnsi="Times New Roman"/>
          <w:sz w:val="24"/>
          <w:szCs w:val="24"/>
        </w:rPr>
        <w:t xml:space="preserve">prescription </w:t>
      </w:r>
      <w:r w:rsidR="00F4551D" w:rsidRPr="0058499D">
        <w:rPr>
          <w:rFonts w:ascii="Times New Roman" w:hAnsi="Times New Roman"/>
          <w:sz w:val="24"/>
          <w:szCs w:val="24"/>
        </w:rPr>
        <w:t>provided for in terms of Section 196(2) of the Customs and Excise Act [</w:t>
      </w:r>
      <w:r w:rsidR="00F4551D" w:rsidRPr="0058499D">
        <w:rPr>
          <w:rFonts w:ascii="Times New Roman" w:hAnsi="Times New Roman"/>
          <w:i/>
          <w:sz w:val="24"/>
          <w:szCs w:val="24"/>
        </w:rPr>
        <w:t>Chapter 23:02</w:t>
      </w:r>
      <w:r w:rsidR="00F4551D" w:rsidRPr="0058499D">
        <w:rPr>
          <w:rFonts w:ascii="Times New Roman" w:hAnsi="Times New Roman"/>
          <w:sz w:val="24"/>
          <w:szCs w:val="24"/>
        </w:rPr>
        <w:t>] (hereinafter called “the Customs and Excise Act”).</w:t>
      </w:r>
      <w:r w:rsidR="00767F1D" w:rsidRPr="0058499D">
        <w:rPr>
          <w:rFonts w:ascii="Times New Roman" w:hAnsi="Times New Roman"/>
          <w:sz w:val="24"/>
          <w:szCs w:val="24"/>
        </w:rPr>
        <w:t xml:space="preserve"> </w:t>
      </w:r>
      <w:r w:rsidR="007A2336" w:rsidRPr="0058499D">
        <w:rPr>
          <w:rFonts w:ascii="Times New Roman" w:hAnsi="Times New Roman"/>
          <w:sz w:val="24"/>
          <w:szCs w:val="24"/>
        </w:rPr>
        <w:t xml:space="preserve">Subsequently, the </w:t>
      </w:r>
      <w:r w:rsidR="00AA2D33">
        <w:rPr>
          <w:rFonts w:ascii="Times New Roman" w:hAnsi="Times New Roman"/>
          <w:sz w:val="24"/>
          <w:szCs w:val="24"/>
        </w:rPr>
        <w:t>a</w:t>
      </w:r>
      <w:r w:rsidR="007A2336" w:rsidRPr="0058499D">
        <w:rPr>
          <w:rFonts w:ascii="Times New Roman" w:hAnsi="Times New Roman"/>
          <w:sz w:val="24"/>
          <w:szCs w:val="24"/>
        </w:rPr>
        <w:t>pplicant requested for the reasons</w:t>
      </w:r>
      <w:r w:rsidR="006B0441" w:rsidRPr="0058499D">
        <w:rPr>
          <w:rFonts w:ascii="Times New Roman" w:hAnsi="Times New Roman"/>
          <w:sz w:val="24"/>
          <w:szCs w:val="24"/>
        </w:rPr>
        <w:t xml:space="preserve"> for the order of 11 May 2023</w:t>
      </w:r>
      <w:r w:rsidR="007A2336" w:rsidRPr="0058499D">
        <w:rPr>
          <w:rFonts w:ascii="Times New Roman" w:hAnsi="Times New Roman"/>
          <w:sz w:val="24"/>
          <w:szCs w:val="24"/>
        </w:rPr>
        <w:t>.  These are they.</w:t>
      </w:r>
    </w:p>
    <w:p w14:paraId="380E7502" w14:textId="77777777" w:rsidR="007A2336" w:rsidRPr="0058499D" w:rsidRDefault="00AA2D33" w:rsidP="0058499D">
      <w:pPr>
        <w:spacing w:line="360" w:lineRule="auto"/>
        <w:jc w:val="both"/>
        <w:rPr>
          <w:rFonts w:ascii="Times New Roman" w:hAnsi="Times New Roman"/>
          <w:sz w:val="24"/>
          <w:szCs w:val="24"/>
        </w:rPr>
      </w:pPr>
      <w:r>
        <w:rPr>
          <w:rFonts w:ascii="Times New Roman" w:hAnsi="Times New Roman"/>
          <w:sz w:val="24"/>
          <w:szCs w:val="24"/>
        </w:rPr>
        <w:tab/>
      </w:r>
      <w:r w:rsidR="007A2336" w:rsidRPr="0058499D">
        <w:rPr>
          <w:rFonts w:ascii="Times New Roman" w:hAnsi="Times New Roman"/>
          <w:sz w:val="24"/>
          <w:szCs w:val="24"/>
        </w:rPr>
        <w:t xml:space="preserve">The </w:t>
      </w:r>
      <w:r>
        <w:rPr>
          <w:rFonts w:ascii="Times New Roman" w:hAnsi="Times New Roman"/>
          <w:sz w:val="24"/>
          <w:szCs w:val="24"/>
        </w:rPr>
        <w:t>a</w:t>
      </w:r>
      <w:r w:rsidR="0007257F" w:rsidRPr="0058499D">
        <w:rPr>
          <w:rFonts w:ascii="Times New Roman" w:hAnsi="Times New Roman"/>
          <w:sz w:val="24"/>
          <w:szCs w:val="24"/>
        </w:rPr>
        <w:t>pplicant approached</w:t>
      </w:r>
      <w:r w:rsidR="00037A65" w:rsidRPr="0058499D">
        <w:rPr>
          <w:rFonts w:ascii="Times New Roman" w:hAnsi="Times New Roman"/>
          <w:sz w:val="24"/>
          <w:szCs w:val="24"/>
        </w:rPr>
        <w:t xml:space="preserve"> </w:t>
      </w:r>
      <w:r w:rsidR="007A2336" w:rsidRPr="0058499D">
        <w:rPr>
          <w:rFonts w:ascii="Times New Roman" w:hAnsi="Times New Roman"/>
          <w:sz w:val="24"/>
          <w:szCs w:val="24"/>
        </w:rPr>
        <w:t xml:space="preserve">this court </w:t>
      </w:r>
      <w:r w:rsidR="00D8049F" w:rsidRPr="0058499D">
        <w:rPr>
          <w:rFonts w:ascii="Times New Roman" w:hAnsi="Times New Roman"/>
          <w:sz w:val="24"/>
          <w:szCs w:val="24"/>
        </w:rPr>
        <w:t xml:space="preserve">with a prayer </w:t>
      </w:r>
      <w:r w:rsidR="007A2336" w:rsidRPr="0058499D">
        <w:rPr>
          <w:rFonts w:ascii="Times New Roman" w:hAnsi="Times New Roman"/>
          <w:sz w:val="24"/>
          <w:szCs w:val="24"/>
        </w:rPr>
        <w:t xml:space="preserve">for </w:t>
      </w:r>
      <w:r w:rsidR="00037A65" w:rsidRPr="0058499D">
        <w:rPr>
          <w:rFonts w:ascii="Times New Roman" w:hAnsi="Times New Roman"/>
          <w:sz w:val="24"/>
          <w:szCs w:val="24"/>
        </w:rPr>
        <w:t xml:space="preserve">the relief of </w:t>
      </w:r>
      <w:r w:rsidR="007A2336" w:rsidRPr="0058499D">
        <w:rPr>
          <w:rFonts w:ascii="Times New Roman" w:hAnsi="Times New Roman"/>
          <w:sz w:val="24"/>
          <w:szCs w:val="24"/>
        </w:rPr>
        <w:t xml:space="preserve">condonation for the </w:t>
      </w:r>
      <w:r w:rsidR="006B0441" w:rsidRPr="0058499D">
        <w:rPr>
          <w:rFonts w:ascii="Times New Roman" w:hAnsi="Times New Roman"/>
          <w:sz w:val="24"/>
          <w:szCs w:val="24"/>
        </w:rPr>
        <w:t xml:space="preserve">late </w:t>
      </w:r>
      <w:r w:rsidR="007A2336" w:rsidRPr="0058499D">
        <w:rPr>
          <w:rFonts w:ascii="Times New Roman" w:hAnsi="Times New Roman"/>
          <w:sz w:val="24"/>
          <w:szCs w:val="24"/>
        </w:rPr>
        <w:t xml:space="preserve">filing of the application for review. In particular, the </w:t>
      </w:r>
      <w:r>
        <w:rPr>
          <w:rFonts w:ascii="Times New Roman" w:hAnsi="Times New Roman"/>
          <w:sz w:val="24"/>
          <w:szCs w:val="24"/>
        </w:rPr>
        <w:t>a</w:t>
      </w:r>
      <w:r w:rsidR="007A2336" w:rsidRPr="0058499D">
        <w:rPr>
          <w:rFonts w:ascii="Times New Roman" w:hAnsi="Times New Roman"/>
          <w:sz w:val="24"/>
          <w:szCs w:val="24"/>
        </w:rPr>
        <w:t>pplicant   prayed for the following relief:</w:t>
      </w:r>
    </w:p>
    <w:p w14:paraId="1DABAD7D" w14:textId="77777777" w:rsidR="006F078D" w:rsidRPr="00AA2D33" w:rsidRDefault="007A2336" w:rsidP="00AA2D33">
      <w:pPr>
        <w:numPr>
          <w:ilvl w:val="0"/>
          <w:numId w:val="1"/>
        </w:numPr>
        <w:spacing w:line="240" w:lineRule="auto"/>
        <w:jc w:val="both"/>
        <w:rPr>
          <w:rFonts w:ascii="Times New Roman" w:hAnsi="Times New Roman"/>
        </w:rPr>
      </w:pPr>
      <w:r w:rsidRPr="00AA2D33">
        <w:rPr>
          <w:rFonts w:ascii="Times New Roman" w:hAnsi="Times New Roman"/>
        </w:rPr>
        <w:t xml:space="preserve">“The late filing of the application for review of the decision of the </w:t>
      </w:r>
      <w:r w:rsidR="00AA2D33">
        <w:rPr>
          <w:rFonts w:ascii="Times New Roman" w:hAnsi="Times New Roman"/>
        </w:rPr>
        <w:t>r</w:t>
      </w:r>
      <w:r w:rsidRPr="00AA2D33">
        <w:rPr>
          <w:rFonts w:ascii="Times New Roman" w:hAnsi="Times New Roman"/>
        </w:rPr>
        <w:t>espondent be and is hereby condoned.</w:t>
      </w:r>
    </w:p>
    <w:p w14:paraId="5E2B4D21" w14:textId="77777777" w:rsidR="007A2336" w:rsidRPr="00AA2D33" w:rsidRDefault="007A2336" w:rsidP="00AA2D33">
      <w:pPr>
        <w:numPr>
          <w:ilvl w:val="0"/>
          <w:numId w:val="1"/>
        </w:numPr>
        <w:spacing w:line="240" w:lineRule="auto"/>
        <w:jc w:val="both"/>
        <w:rPr>
          <w:rFonts w:ascii="Times New Roman" w:hAnsi="Times New Roman"/>
        </w:rPr>
      </w:pPr>
      <w:r w:rsidRPr="00AA2D33">
        <w:rPr>
          <w:rFonts w:ascii="Times New Roman" w:hAnsi="Times New Roman"/>
        </w:rPr>
        <w:t>Respondent to pay costs if they oppose this application.”</w:t>
      </w:r>
    </w:p>
    <w:p w14:paraId="3E3AD816" w14:textId="77777777" w:rsidR="003B58C2" w:rsidRPr="0058499D" w:rsidRDefault="00AA2D33" w:rsidP="00AA2D33">
      <w:pPr>
        <w:spacing w:after="0" w:line="360" w:lineRule="auto"/>
        <w:jc w:val="both"/>
        <w:rPr>
          <w:rFonts w:ascii="Times New Roman" w:hAnsi="Times New Roman"/>
          <w:sz w:val="24"/>
          <w:szCs w:val="24"/>
        </w:rPr>
      </w:pPr>
      <w:r>
        <w:rPr>
          <w:rFonts w:ascii="Times New Roman" w:hAnsi="Times New Roman"/>
          <w:sz w:val="24"/>
          <w:szCs w:val="24"/>
        </w:rPr>
        <w:tab/>
      </w:r>
      <w:r w:rsidR="007A2336" w:rsidRPr="0058499D">
        <w:rPr>
          <w:rFonts w:ascii="Times New Roman" w:hAnsi="Times New Roman"/>
          <w:sz w:val="24"/>
          <w:szCs w:val="24"/>
        </w:rPr>
        <w:t xml:space="preserve">The </w:t>
      </w:r>
      <w:r>
        <w:rPr>
          <w:rFonts w:ascii="Times New Roman" w:hAnsi="Times New Roman"/>
          <w:sz w:val="24"/>
          <w:szCs w:val="24"/>
        </w:rPr>
        <w:t>a</w:t>
      </w:r>
      <w:r w:rsidR="007A2336" w:rsidRPr="0058499D">
        <w:rPr>
          <w:rFonts w:ascii="Times New Roman" w:hAnsi="Times New Roman"/>
          <w:sz w:val="24"/>
          <w:szCs w:val="24"/>
        </w:rPr>
        <w:t xml:space="preserve">pplicant is </w:t>
      </w:r>
      <w:r w:rsidR="0007257F" w:rsidRPr="0058499D">
        <w:rPr>
          <w:rFonts w:ascii="Times New Roman" w:hAnsi="Times New Roman"/>
          <w:sz w:val="24"/>
          <w:szCs w:val="24"/>
        </w:rPr>
        <w:t>a Zimbabwean</w:t>
      </w:r>
      <w:r w:rsidR="007A2336" w:rsidRPr="0058499D">
        <w:rPr>
          <w:rFonts w:ascii="Times New Roman" w:hAnsi="Times New Roman"/>
          <w:sz w:val="24"/>
          <w:szCs w:val="24"/>
        </w:rPr>
        <w:t xml:space="preserve"> citizen who has been resident </w:t>
      </w:r>
      <w:r w:rsidR="0007257F" w:rsidRPr="0058499D">
        <w:rPr>
          <w:rFonts w:ascii="Times New Roman" w:hAnsi="Times New Roman"/>
          <w:sz w:val="24"/>
          <w:szCs w:val="24"/>
        </w:rPr>
        <w:t>in United</w:t>
      </w:r>
      <w:r w:rsidR="007A2336" w:rsidRPr="0058499D">
        <w:rPr>
          <w:rFonts w:ascii="Times New Roman" w:hAnsi="Times New Roman"/>
          <w:sz w:val="24"/>
          <w:szCs w:val="24"/>
        </w:rPr>
        <w:t xml:space="preserve"> Arab Emirates for around eleven years. </w:t>
      </w:r>
      <w:r w:rsidR="005D44BC" w:rsidRPr="0058499D">
        <w:rPr>
          <w:rFonts w:ascii="Times New Roman" w:hAnsi="Times New Roman"/>
          <w:sz w:val="24"/>
          <w:szCs w:val="24"/>
        </w:rPr>
        <w:t xml:space="preserve">At the </w:t>
      </w:r>
      <w:r w:rsidR="006B0441" w:rsidRPr="0058499D">
        <w:rPr>
          <w:rFonts w:ascii="Times New Roman" w:hAnsi="Times New Roman"/>
          <w:sz w:val="24"/>
          <w:szCs w:val="24"/>
        </w:rPr>
        <w:t xml:space="preserve">expiration </w:t>
      </w:r>
      <w:r w:rsidR="005D44BC" w:rsidRPr="0058499D">
        <w:rPr>
          <w:rFonts w:ascii="Times New Roman" w:hAnsi="Times New Roman"/>
          <w:sz w:val="24"/>
          <w:szCs w:val="24"/>
        </w:rPr>
        <w:t xml:space="preserve">of his residence in United Arab Emirates, the </w:t>
      </w:r>
      <w:r>
        <w:rPr>
          <w:rFonts w:ascii="Times New Roman" w:hAnsi="Times New Roman"/>
          <w:sz w:val="24"/>
          <w:szCs w:val="24"/>
        </w:rPr>
        <w:t>a</w:t>
      </w:r>
      <w:r w:rsidR="005D44BC" w:rsidRPr="0058499D">
        <w:rPr>
          <w:rFonts w:ascii="Times New Roman" w:hAnsi="Times New Roman"/>
          <w:sz w:val="24"/>
          <w:szCs w:val="24"/>
        </w:rPr>
        <w:t>pplicant returned to Zimbabwe in December 2019.</w:t>
      </w:r>
      <w:r w:rsidR="006B0441" w:rsidRPr="0058499D">
        <w:rPr>
          <w:rFonts w:ascii="Times New Roman" w:hAnsi="Times New Roman"/>
          <w:sz w:val="24"/>
          <w:szCs w:val="24"/>
        </w:rPr>
        <w:t xml:space="preserve"> He alleged</w:t>
      </w:r>
      <w:r w:rsidR="005D44BC" w:rsidRPr="0058499D">
        <w:rPr>
          <w:rFonts w:ascii="Times New Roman" w:hAnsi="Times New Roman"/>
          <w:sz w:val="24"/>
          <w:szCs w:val="24"/>
        </w:rPr>
        <w:t xml:space="preserve"> that the </w:t>
      </w:r>
      <w:r>
        <w:rPr>
          <w:rFonts w:ascii="Times New Roman" w:hAnsi="Times New Roman"/>
          <w:sz w:val="24"/>
          <w:szCs w:val="24"/>
        </w:rPr>
        <w:t>r</w:t>
      </w:r>
      <w:r w:rsidR="005D44BC" w:rsidRPr="0058499D">
        <w:rPr>
          <w:rFonts w:ascii="Times New Roman" w:hAnsi="Times New Roman"/>
          <w:sz w:val="24"/>
          <w:szCs w:val="24"/>
        </w:rPr>
        <w:t>espondent</w:t>
      </w:r>
      <w:r w:rsidR="0007257F" w:rsidRPr="0058499D">
        <w:rPr>
          <w:rFonts w:ascii="Times New Roman" w:hAnsi="Times New Roman"/>
          <w:sz w:val="24"/>
          <w:szCs w:val="24"/>
        </w:rPr>
        <w:t>, on</w:t>
      </w:r>
      <w:r w:rsidR="00140B18" w:rsidRPr="0058499D">
        <w:rPr>
          <w:rFonts w:ascii="Times New Roman" w:hAnsi="Times New Roman"/>
          <w:sz w:val="24"/>
          <w:szCs w:val="24"/>
        </w:rPr>
        <w:t xml:space="preserve"> 10 February 2020, </w:t>
      </w:r>
      <w:r w:rsidR="005D44BC" w:rsidRPr="0058499D">
        <w:rPr>
          <w:rFonts w:ascii="Times New Roman" w:hAnsi="Times New Roman"/>
          <w:sz w:val="24"/>
          <w:szCs w:val="24"/>
        </w:rPr>
        <w:t xml:space="preserve">after assessment, came to </w:t>
      </w:r>
      <w:r w:rsidR="00F868FC">
        <w:rPr>
          <w:rFonts w:ascii="Times New Roman" w:hAnsi="Times New Roman"/>
          <w:sz w:val="24"/>
          <w:szCs w:val="24"/>
        </w:rPr>
        <w:t>conclude</w:t>
      </w:r>
      <w:r w:rsidR="005D44BC" w:rsidRPr="0058499D">
        <w:rPr>
          <w:rFonts w:ascii="Times New Roman" w:hAnsi="Times New Roman"/>
          <w:sz w:val="24"/>
          <w:szCs w:val="24"/>
        </w:rPr>
        <w:t xml:space="preserve"> that </w:t>
      </w:r>
      <w:r w:rsidR="00145F43" w:rsidRPr="0058499D">
        <w:rPr>
          <w:rFonts w:ascii="Times New Roman" w:hAnsi="Times New Roman"/>
          <w:sz w:val="24"/>
          <w:szCs w:val="24"/>
        </w:rPr>
        <w:t xml:space="preserve">he </w:t>
      </w:r>
      <w:r w:rsidR="00476517" w:rsidRPr="0058499D">
        <w:rPr>
          <w:rFonts w:ascii="Times New Roman" w:hAnsi="Times New Roman"/>
          <w:sz w:val="24"/>
          <w:szCs w:val="24"/>
        </w:rPr>
        <w:t xml:space="preserve">qualified for the returning resident </w:t>
      </w:r>
      <w:r w:rsidR="006753AA" w:rsidRPr="0058499D">
        <w:rPr>
          <w:rFonts w:ascii="Times New Roman" w:hAnsi="Times New Roman"/>
          <w:sz w:val="24"/>
          <w:szCs w:val="24"/>
        </w:rPr>
        <w:t>duty</w:t>
      </w:r>
      <w:r w:rsidR="00C77928">
        <w:rPr>
          <w:rFonts w:ascii="Times New Roman" w:hAnsi="Times New Roman"/>
          <w:sz w:val="24"/>
          <w:szCs w:val="24"/>
        </w:rPr>
        <w:t xml:space="preserve"> </w:t>
      </w:r>
      <w:r w:rsidR="006753AA" w:rsidRPr="0058499D">
        <w:rPr>
          <w:rFonts w:ascii="Times New Roman" w:hAnsi="Times New Roman"/>
          <w:sz w:val="24"/>
          <w:szCs w:val="24"/>
        </w:rPr>
        <w:t>free</w:t>
      </w:r>
      <w:r w:rsidR="00F868FC">
        <w:rPr>
          <w:rFonts w:ascii="Times New Roman" w:hAnsi="Times New Roman"/>
          <w:sz w:val="24"/>
          <w:szCs w:val="24"/>
        </w:rPr>
        <w:t xml:space="preserve"> </w:t>
      </w:r>
      <w:r w:rsidR="006753AA" w:rsidRPr="0058499D">
        <w:rPr>
          <w:rFonts w:ascii="Times New Roman" w:hAnsi="Times New Roman"/>
          <w:sz w:val="24"/>
          <w:szCs w:val="24"/>
        </w:rPr>
        <w:t>rebate.</w:t>
      </w:r>
      <w:r w:rsidR="00476517" w:rsidRPr="0058499D">
        <w:rPr>
          <w:rFonts w:ascii="Times New Roman" w:hAnsi="Times New Roman"/>
          <w:sz w:val="24"/>
          <w:szCs w:val="24"/>
        </w:rPr>
        <w:t xml:space="preserve"> </w:t>
      </w:r>
      <w:r w:rsidR="003461DA" w:rsidRPr="0058499D">
        <w:rPr>
          <w:rFonts w:ascii="Times New Roman" w:hAnsi="Times New Roman"/>
          <w:sz w:val="24"/>
          <w:szCs w:val="24"/>
        </w:rPr>
        <w:t xml:space="preserve">He further asserted that some </w:t>
      </w:r>
      <w:r w:rsidR="00140B18" w:rsidRPr="0058499D">
        <w:rPr>
          <w:rFonts w:ascii="Times New Roman" w:hAnsi="Times New Roman"/>
          <w:sz w:val="24"/>
          <w:szCs w:val="24"/>
        </w:rPr>
        <w:t xml:space="preserve">of </w:t>
      </w:r>
      <w:r w:rsidR="003461DA" w:rsidRPr="0058499D">
        <w:rPr>
          <w:rFonts w:ascii="Times New Roman" w:hAnsi="Times New Roman"/>
          <w:sz w:val="24"/>
          <w:szCs w:val="24"/>
        </w:rPr>
        <w:t>his goods</w:t>
      </w:r>
      <w:r w:rsidR="003B72A5" w:rsidRPr="0058499D">
        <w:rPr>
          <w:rFonts w:ascii="Times New Roman" w:hAnsi="Times New Roman"/>
          <w:sz w:val="24"/>
          <w:szCs w:val="24"/>
        </w:rPr>
        <w:t xml:space="preserve"> </w:t>
      </w:r>
      <w:r w:rsidR="0007257F" w:rsidRPr="0058499D">
        <w:rPr>
          <w:rFonts w:ascii="Times New Roman" w:hAnsi="Times New Roman"/>
          <w:sz w:val="24"/>
          <w:szCs w:val="24"/>
        </w:rPr>
        <w:t>including solar</w:t>
      </w:r>
      <w:r w:rsidR="00BE6D66" w:rsidRPr="0058499D">
        <w:rPr>
          <w:rFonts w:ascii="Times New Roman" w:hAnsi="Times New Roman"/>
          <w:sz w:val="24"/>
          <w:szCs w:val="24"/>
        </w:rPr>
        <w:t xml:space="preserve"> syste</w:t>
      </w:r>
      <w:r w:rsidR="004020A4" w:rsidRPr="0058499D">
        <w:rPr>
          <w:rFonts w:ascii="Times New Roman" w:hAnsi="Times New Roman"/>
          <w:sz w:val="24"/>
          <w:szCs w:val="24"/>
        </w:rPr>
        <w:t>m</w:t>
      </w:r>
      <w:r w:rsidR="00BE6D66" w:rsidRPr="0058499D">
        <w:rPr>
          <w:rFonts w:ascii="Times New Roman" w:hAnsi="Times New Roman"/>
          <w:sz w:val="24"/>
          <w:szCs w:val="24"/>
        </w:rPr>
        <w:t xml:space="preserve">, water pump, garden irrigation system and 40 ft container were denied duty free rebate. These goods were, according to the </w:t>
      </w:r>
      <w:r>
        <w:rPr>
          <w:rFonts w:ascii="Times New Roman" w:hAnsi="Times New Roman"/>
          <w:sz w:val="24"/>
          <w:szCs w:val="24"/>
        </w:rPr>
        <w:t>a</w:t>
      </w:r>
      <w:r w:rsidR="00BE6D66" w:rsidRPr="0058499D">
        <w:rPr>
          <w:rFonts w:ascii="Times New Roman" w:hAnsi="Times New Roman"/>
          <w:sz w:val="24"/>
          <w:szCs w:val="24"/>
        </w:rPr>
        <w:t xml:space="preserve">pplicant, supposed to be taken to the </w:t>
      </w:r>
      <w:r>
        <w:rPr>
          <w:rFonts w:ascii="Times New Roman" w:hAnsi="Times New Roman"/>
          <w:sz w:val="24"/>
          <w:szCs w:val="24"/>
        </w:rPr>
        <w:t>a</w:t>
      </w:r>
      <w:r w:rsidR="005840C6" w:rsidRPr="0058499D">
        <w:rPr>
          <w:rFonts w:ascii="Times New Roman" w:hAnsi="Times New Roman"/>
          <w:sz w:val="24"/>
          <w:szCs w:val="24"/>
        </w:rPr>
        <w:t xml:space="preserve">pplicant’s </w:t>
      </w:r>
      <w:r w:rsidR="00BE6D66" w:rsidRPr="0058499D">
        <w:rPr>
          <w:rFonts w:ascii="Times New Roman" w:hAnsi="Times New Roman"/>
          <w:sz w:val="24"/>
          <w:szCs w:val="24"/>
        </w:rPr>
        <w:t>plot</w:t>
      </w:r>
      <w:r w:rsidR="004020A4" w:rsidRPr="0058499D">
        <w:rPr>
          <w:rFonts w:ascii="Times New Roman" w:hAnsi="Times New Roman"/>
          <w:sz w:val="24"/>
          <w:szCs w:val="24"/>
        </w:rPr>
        <w:t xml:space="preserve"> </w:t>
      </w:r>
      <w:r w:rsidR="005840C6" w:rsidRPr="0058499D">
        <w:rPr>
          <w:rFonts w:ascii="Times New Roman" w:hAnsi="Times New Roman"/>
          <w:sz w:val="24"/>
          <w:szCs w:val="24"/>
        </w:rPr>
        <w:t>in Nyabira</w:t>
      </w:r>
      <w:r w:rsidR="00BE6D66" w:rsidRPr="0058499D">
        <w:rPr>
          <w:rFonts w:ascii="Times New Roman" w:hAnsi="Times New Roman"/>
          <w:sz w:val="24"/>
          <w:szCs w:val="24"/>
        </w:rPr>
        <w:t>.</w:t>
      </w:r>
      <w:r w:rsidR="008501DD" w:rsidRPr="0058499D">
        <w:rPr>
          <w:rFonts w:ascii="Times New Roman" w:hAnsi="Times New Roman"/>
          <w:sz w:val="24"/>
          <w:szCs w:val="24"/>
        </w:rPr>
        <w:t xml:space="preserve"> The </w:t>
      </w:r>
      <w:r>
        <w:rPr>
          <w:rFonts w:ascii="Times New Roman" w:hAnsi="Times New Roman"/>
          <w:sz w:val="24"/>
          <w:szCs w:val="24"/>
        </w:rPr>
        <w:t>a</w:t>
      </w:r>
      <w:r w:rsidR="008501DD" w:rsidRPr="0058499D">
        <w:rPr>
          <w:rFonts w:ascii="Times New Roman" w:hAnsi="Times New Roman"/>
          <w:sz w:val="24"/>
          <w:szCs w:val="24"/>
        </w:rPr>
        <w:t xml:space="preserve">pplicant also claimed </w:t>
      </w:r>
      <w:r w:rsidR="004D4106" w:rsidRPr="0058499D">
        <w:rPr>
          <w:rFonts w:ascii="Times New Roman" w:hAnsi="Times New Roman"/>
          <w:sz w:val="24"/>
          <w:szCs w:val="24"/>
        </w:rPr>
        <w:t xml:space="preserve">that </w:t>
      </w:r>
      <w:r w:rsidR="008501DD" w:rsidRPr="0058499D">
        <w:rPr>
          <w:rFonts w:ascii="Times New Roman" w:hAnsi="Times New Roman"/>
          <w:sz w:val="24"/>
          <w:szCs w:val="24"/>
        </w:rPr>
        <w:t xml:space="preserve">he finally paid the duty for </w:t>
      </w:r>
      <w:r w:rsidR="00A717FE" w:rsidRPr="0058499D">
        <w:rPr>
          <w:rFonts w:ascii="Times New Roman" w:hAnsi="Times New Roman"/>
          <w:sz w:val="24"/>
          <w:szCs w:val="24"/>
        </w:rPr>
        <w:t xml:space="preserve">the other goods </w:t>
      </w:r>
      <w:r w:rsidR="008501DD" w:rsidRPr="0058499D">
        <w:rPr>
          <w:rFonts w:ascii="Times New Roman" w:hAnsi="Times New Roman"/>
          <w:sz w:val="24"/>
          <w:szCs w:val="24"/>
        </w:rPr>
        <w:t xml:space="preserve">but was not able to </w:t>
      </w:r>
      <w:r w:rsidR="0007257F" w:rsidRPr="0058499D">
        <w:rPr>
          <w:rFonts w:ascii="Times New Roman" w:hAnsi="Times New Roman"/>
          <w:sz w:val="24"/>
          <w:szCs w:val="24"/>
        </w:rPr>
        <w:t>raise the</w:t>
      </w:r>
      <w:r w:rsidR="006B704B" w:rsidRPr="0058499D">
        <w:rPr>
          <w:rFonts w:ascii="Times New Roman" w:hAnsi="Times New Roman"/>
          <w:sz w:val="24"/>
          <w:szCs w:val="24"/>
        </w:rPr>
        <w:t xml:space="preserve"> duty for the 40 ft container. </w:t>
      </w:r>
      <w:r w:rsidR="00BE6D66" w:rsidRPr="0058499D">
        <w:rPr>
          <w:rFonts w:ascii="Times New Roman" w:hAnsi="Times New Roman"/>
          <w:sz w:val="24"/>
          <w:szCs w:val="24"/>
        </w:rPr>
        <w:t xml:space="preserve">The </w:t>
      </w:r>
      <w:r>
        <w:rPr>
          <w:rFonts w:ascii="Times New Roman" w:hAnsi="Times New Roman"/>
          <w:sz w:val="24"/>
          <w:szCs w:val="24"/>
        </w:rPr>
        <w:t>a</w:t>
      </w:r>
      <w:r w:rsidR="00BE6D66" w:rsidRPr="0058499D">
        <w:rPr>
          <w:rFonts w:ascii="Times New Roman" w:hAnsi="Times New Roman"/>
          <w:sz w:val="24"/>
          <w:szCs w:val="24"/>
        </w:rPr>
        <w:t>pplicant further affirmed that his household Goods, solar system</w:t>
      </w:r>
      <w:r w:rsidR="005840C6" w:rsidRPr="0058499D">
        <w:rPr>
          <w:rFonts w:ascii="Times New Roman" w:hAnsi="Times New Roman"/>
          <w:sz w:val="24"/>
          <w:szCs w:val="24"/>
        </w:rPr>
        <w:t xml:space="preserve"> </w:t>
      </w:r>
      <w:r w:rsidR="00BE6D66" w:rsidRPr="0058499D">
        <w:rPr>
          <w:rFonts w:ascii="Times New Roman" w:hAnsi="Times New Roman"/>
          <w:sz w:val="24"/>
          <w:szCs w:val="24"/>
        </w:rPr>
        <w:t>and water pump which</w:t>
      </w:r>
      <w:r w:rsidR="005840C6" w:rsidRPr="0058499D">
        <w:rPr>
          <w:rFonts w:ascii="Times New Roman" w:hAnsi="Times New Roman"/>
          <w:sz w:val="24"/>
          <w:szCs w:val="24"/>
        </w:rPr>
        <w:t xml:space="preserve"> were to be taken to Hillside, Harare</w:t>
      </w:r>
      <w:r w:rsidR="00116B41">
        <w:rPr>
          <w:rFonts w:ascii="Times New Roman" w:hAnsi="Times New Roman"/>
          <w:sz w:val="24"/>
          <w:szCs w:val="24"/>
        </w:rPr>
        <w:t>,</w:t>
      </w:r>
      <w:r w:rsidR="005840C6" w:rsidRPr="0058499D">
        <w:rPr>
          <w:rFonts w:ascii="Times New Roman" w:hAnsi="Times New Roman"/>
          <w:sz w:val="24"/>
          <w:szCs w:val="24"/>
        </w:rPr>
        <w:t xml:space="preserve"> were granted </w:t>
      </w:r>
      <w:r w:rsidR="00EB2E62" w:rsidRPr="0058499D">
        <w:rPr>
          <w:rFonts w:ascii="Times New Roman" w:hAnsi="Times New Roman"/>
          <w:sz w:val="24"/>
          <w:szCs w:val="24"/>
        </w:rPr>
        <w:t xml:space="preserve">duty </w:t>
      </w:r>
      <w:r w:rsidR="005840C6" w:rsidRPr="0058499D">
        <w:rPr>
          <w:rFonts w:ascii="Times New Roman" w:hAnsi="Times New Roman"/>
          <w:sz w:val="24"/>
          <w:szCs w:val="24"/>
        </w:rPr>
        <w:t>rebate.</w:t>
      </w:r>
    </w:p>
    <w:p w14:paraId="72808973" w14:textId="77777777" w:rsidR="00CB5B94" w:rsidRPr="0058499D" w:rsidRDefault="00AA2D33" w:rsidP="00AA2D33">
      <w:pPr>
        <w:spacing w:after="0" w:line="360" w:lineRule="auto"/>
        <w:jc w:val="both"/>
        <w:rPr>
          <w:rFonts w:ascii="Times New Roman" w:hAnsi="Times New Roman"/>
          <w:sz w:val="24"/>
          <w:szCs w:val="24"/>
        </w:rPr>
      </w:pPr>
      <w:r>
        <w:rPr>
          <w:rFonts w:ascii="Times New Roman" w:hAnsi="Times New Roman"/>
          <w:sz w:val="24"/>
          <w:szCs w:val="24"/>
        </w:rPr>
        <w:lastRenderedPageBreak/>
        <w:tab/>
      </w:r>
      <w:r w:rsidR="00140B18" w:rsidRPr="0058499D">
        <w:rPr>
          <w:rFonts w:ascii="Times New Roman" w:hAnsi="Times New Roman"/>
          <w:sz w:val="24"/>
          <w:szCs w:val="24"/>
        </w:rPr>
        <w:t>Dissatisfied by the decision for the denial of duty rebate,</w:t>
      </w:r>
      <w:r w:rsidR="00EB2E62" w:rsidRPr="0058499D">
        <w:rPr>
          <w:rFonts w:ascii="Times New Roman" w:hAnsi="Times New Roman"/>
          <w:sz w:val="24"/>
          <w:szCs w:val="24"/>
        </w:rPr>
        <w:t xml:space="preserve"> </w:t>
      </w:r>
      <w:r w:rsidR="00140B18" w:rsidRPr="0058499D">
        <w:rPr>
          <w:rFonts w:ascii="Times New Roman" w:hAnsi="Times New Roman"/>
          <w:sz w:val="24"/>
          <w:szCs w:val="24"/>
        </w:rPr>
        <w:t xml:space="preserve">he appealed against </w:t>
      </w:r>
      <w:r w:rsidR="00EB2E62" w:rsidRPr="0058499D">
        <w:rPr>
          <w:rFonts w:ascii="Times New Roman" w:hAnsi="Times New Roman"/>
          <w:sz w:val="24"/>
          <w:szCs w:val="24"/>
        </w:rPr>
        <w:t xml:space="preserve">such a decision </w:t>
      </w:r>
      <w:r w:rsidR="00140B18" w:rsidRPr="0058499D">
        <w:rPr>
          <w:rFonts w:ascii="Times New Roman" w:hAnsi="Times New Roman"/>
          <w:sz w:val="24"/>
          <w:szCs w:val="24"/>
        </w:rPr>
        <w:t xml:space="preserve">to </w:t>
      </w:r>
      <w:r w:rsidR="00EB2E62" w:rsidRPr="0058499D">
        <w:rPr>
          <w:rFonts w:ascii="Times New Roman" w:hAnsi="Times New Roman"/>
          <w:sz w:val="24"/>
          <w:szCs w:val="24"/>
        </w:rPr>
        <w:t xml:space="preserve">the </w:t>
      </w:r>
      <w:r w:rsidR="00140B18" w:rsidRPr="0058499D">
        <w:rPr>
          <w:rFonts w:ascii="Times New Roman" w:hAnsi="Times New Roman"/>
          <w:sz w:val="24"/>
          <w:szCs w:val="24"/>
        </w:rPr>
        <w:t>Station Manager who dismissed the appeal on 11 February 2020.</w:t>
      </w:r>
      <w:r w:rsidR="00D772FF" w:rsidRPr="0058499D">
        <w:rPr>
          <w:rFonts w:ascii="Times New Roman" w:hAnsi="Times New Roman"/>
          <w:sz w:val="24"/>
          <w:szCs w:val="24"/>
        </w:rPr>
        <w:t xml:space="preserve"> The reason for the dismissal was that the goods</w:t>
      </w:r>
      <w:r w:rsidR="00D84EDA" w:rsidRPr="0058499D">
        <w:rPr>
          <w:rFonts w:ascii="Times New Roman" w:hAnsi="Times New Roman"/>
          <w:sz w:val="24"/>
          <w:szCs w:val="24"/>
        </w:rPr>
        <w:t xml:space="preserve"> were for commercial consumption.</w:t>
      </w:r>
      <w:r w:rsidR="00762AC7" w:rsidRPr="0058499D">
        <w:rPr>
          <w:rFonts w:ascii="Times New Roman" w:hAnsi="Times New Roman"/>
          <w:sz w:val="24"/>
          <w:szCs w:val="24"/>
        </w:rPr>
        <w:t xml:space="preserve"> </w:t>
      </w:r>
      <w:r w:rsidR="0007257F" w:rsidRPr="0058499D">
        <w:rPr>
          <w:rFonts w:ascii="Times New Roman" w:hAnsi="Times New Roman"/>
          <w:sz w:val="24"/>
          <w:szCs w:val="24"/>
        </w:rPr>
        <w:t xml:space="preserve">The </w:t>
      </w:r>
      <w:r>
        <w:rPr>
          <w:rFonts w:ascii="Times New Roman" w:hAnsi="Times New Roman"/>
          <w:sz w:val="24"/>
          <w:szCs w:val="24"/>
        </w:rPr>
        <w:t>a</w:t>
      </w:r>
      <w:r w:rsidR="0007257F" w:rsidRPr="0058499D">
        <w:rPr>
          <w:rFonts w:ascii="Times New Roman" w:hAnsi="Times New Roman"/>
          <w:sz w:val="24"/>
          <w:szCs w:val="24"/>
        </w:rPr>
        <w:t>ppellant</w:t>
      </w:r>
      <w:r w:rsidR="00762AC7" w:rsidRPr="0058499D">
        <w:rPr>
          <w:rFonts w:ascii="Times New Roman" w:hAnsi="Times New Roman"/>
          <w:sz w:val="24"/>
          <w:szCs w:val="24"/>
        </w:rPr>
        <w:t xml:space="preserve"> further appealed against this </w:t>
      </w:r>
      <w:r w:rsidR="00EB2E62" w:rsidRPr="0058499D">
        <w:rPr>
          <w:rFonts w:ascii="Times New Roman" w:hAnsi="Times New Roman"/>
          <w:sz w:val="24"/>
          <w:szCs w:val="24"/>
        </w:rPr>
        <w:t xml:space="preserve">ruling </w:t>
      </w:r>
      <w:r w:rsidR="00762AC7" w:rsidRPr="0058499D">
        <w:rPr>
          <w:rFonts w:ascii="Times New Roman" w:hAnsi="Times New Roman"/>
          <w:sz w:val="24"/>
          <w:szCs w:val="24"/>
        </w:rPr>
        <w:t>to the Regional Manager who</w:t>
      </w:r>
      <w:r w:rsidR="009839D9" w:rsidRPr="0058499D">
        <w:rPr>
          <w:rFonts w:ascii="Times New Roman" w:hAnsi="Times New Roman"/>
          <w:sz w:val="24"/>
          <w:szCs w:val="24"/>
        </w:rPr>
        <w:t>, on 12 February 2020</w:t>
      </w:r>
      <w:r w:rsidR="0007257F" w:rsidRPr="0058499D">
        <w:rPr>
          <w:rFonts w:ascii="Times New Roman" w:hAnsi="Times New Roman"/>
          <w:sz w:val="24"/>
          <w:szCs w:val="24"/>
        </w:rPr>
        <w:t>, again</w:t>
      </w:r>
      <w:r w:rsidR="00762AC7" w:rsidRPr="0058499D">
        <w:rPr>
          <w:rFonts w:ascii="Times New Roman" w:hAnsi="Times New Roman"/>
          <w:sz w:val="24"/>
          <w:szCs w:val="24"/>
        </w:rPr>
        <w:t xml:space="preserve"> dismissed the appeal on the basis </w:t>
      </w:r>
      <w:r w:rsidR="009839D9" w:rsidRPr="0058499D">
        <w:rPr>
          <w:rFonts w:ascii="Times New Roman" w:hAnsi="Times New Roman"/>
          <w:sz w:val="24"/>
          <w:szCs w:val="24"/>
        </w:rPr>
        <w:t xml:space="preserve">that </w:t>
      </w:r>
      <w:r w:rsidR="0007257F" w:rsidRPr="0058499D">
        <w:rPr>
          <w:rFonts w:ascii="Times New Roman" w:hAnsi="Times New Roman"/>
          <w:sz w:val="24"/>
          <w:szCs w:val="24"/>
        </w:rPr>
        <w:t>the goods</w:t>
      </w:r>
      <w:r w:rsidR="00762AC7" w:rsidRPr="0058499D">
        <w:rPr>
          <w:rFonts w:ascii="Times New Roman" w:hAnsi="Times New Roman"/>
          <w:sz w:val="24"/>
          <w:szCs w:val="24"/>
        </w:rPr>
        <w:t xml:space="preserve"> were for commercial purposes.</w:t>
      </w:r>
      <w:r w:rsidR="00CD7926" w:rsidRPr="0058499D">
        <w:rPr>
          <w:rFonts w:ascii="Times New Roman" w:hAnsi="Times New Roman"/>
          <w:sz w:val="24"/>
          <w:szCs w:val="24"/>
        </w:rPr>
        <w:t xml:space="preserve"> The </w:t>
      </w:r>
      <w:r>
        <w:rPr>
          <w:rFonts w:ascii="Times New Roman" w:hAnsi="Times New Roman"/>
          <w:sz w:val="24"/>
          <w:szCs w:val="24"/>
        </w:rPr>
        <w:t>a</w:t>
      </w:r>
      <w:r w:rsidR="00CD7926" w:rsidRPr="0058499D">
        <w:rPr>
          <w:rFonts w:ascii="Times New Roman" w:hAnsi="Times New Roman"/>
          <w:sz w:val="24"/>
          <w:szCs w:val="24"/>
        </w:rPr>
        <w:t xml:space="preserve">pplicant unsuccessfully </w:t>
      </w:r>
      <w:r w:rsidR="0007257F" w:rsidRPr="0058499D">
        <w:rPr>
          <w:rFonts w:ascii="Times New Roman" w:hAnsi="Times New Roman"/>
          <w:sz w:val="24"/>
          <w:szCs w:val="24"/>
        </w:rPr>
        <w:t>appealed against</w:t>
      </w:r>
      <w:r w:rsidR="00CD7926" w:rsidRPr="0058499D">
        <w:rPr>
          <w:rFonts w:ascii="Times New Roman" w:hAnsi="Times New Roman"/>
          <w:sz w:val="24"/>
          <w:szCs w:val="24"/>
        </w:rPr>
        <w:t xml:space="preserve"> the </w:t>
      </w:r>
      <w:r w:rsidR="00EB2E62" w:rsidRPr="0058499D">
        <w:rPr>
          <w:rFonts w:ascii="Times New Roman" w:hAnsi="Times New Roman"/>
          <w:sz w:val="24"/>
          <w:szCs w:val="24"/>
        </w:rPr>
        <w:t xml:space="preserve">determination </w:t>
      </w:r>
      <w:r w:rsidR="00CD7926" w:rsidRPr="0058499D">
        <w:rPr>
          <w:rFonts w:ascii="Times New Roman" w:hAnsi="Times New Roman"/>
          <w:sz w:val="24"/>
          <w:szCs w:val="24"/>
        </w:rPr>
        <w:t xml:space="preserve">of the </w:t>
      </w:r>
      <w:r w:rsidR="00EB2E62" w:rsidRPr="0058499D">
        <w:rPr>
          <w:rFonts w:ascii="Times New Roman" w:hAnsi="Times New Roman"/>
          <w:sz w:val="24"/>
          <w:szCs w:val="24"/>
        </w:rPr>
        <w:t xml:space="preserve">Regional </w:t>
      </w:r>
      <w:r w:rsidR="00C76245" w:rsidRPr="0058499D">
        <w:rPr>
          <w:rFonts w:ascii="Times New Roman" w:hAnsi="Times New Roman"/>
          <w:sz w:val="24"/>
          <w:szCs w:val="24"/>
        </w:rPr>
        <w:t>Manager.</w:t>
      </w:r>
      <w:r w:rsidR="00EB2E62" w:rsidRPr="0058499D">
        <w:rPr>
          <w:rFonts w:ascii="Times New Roman" w:hAnsi="Times New Roman"/>
          <w:sz w:val="24"/>
          <w:szCs w:val="24"/>
        </w:rPr>
        <w:t xml:space="preserve"> The appeal was lodged with the Commissioner for Customs and Excise.</w:t>
      </w:r>
      <w:r>
        <w:rPr>
          <w:rFonts w:ascii="Times New Roman" w:hAnsi="Times New Roman"/>
          <w:sz w:val="24"/>
          <w:szCs w:val="24"/>
        </w:rPr>
        <w:t xml:space="preserve"> </w:t>
      </w:r>
      <w:r w:rsidR="00C76245" w:rsidRPr="0058499D">
        <w:rPr>
          <w:rFonts w:ascii="Times New Roman" w:hAnsi="Times New Roman"/>
          <w:sz w:val="24"/>
          <w:szCs w:val="24"/>
        </w:rPr>
        <w:t>In dismissing the appeal on 18 February 2020, the</w:t>
      </w:r>
      <w:r w:rsidR="0043057F" w:rsidRPr="0058499D">
        <w:rPr>
          <w:rFonts w:ascii="Times New Roman" w:hAnsi="Times New Roman"/>
          <w:sz w:val="24"/>
          <w:szCs w:val="24"/>
        </w:rPr>
        <w:t xml:space="preserve"> Commissioner for Customs and Excise commented that </w:t>
      </w:r>
      <w:r w:rsidR="00145F43" w:rsidRPr="0058499D">
        <w:rPr>
          <w:rFonts w:ascii="Times New Roman" w:hAnsi="Times New Roman"/>
          <w:sz w:val="24"/>
          <w:szCs w:val="24"/>
        </w:rPr>
        <w:t xml:space="preserve">the </w:t>
      </w:r>
      <w:r w:rsidR="003D3879" w:rsidRPr="0058499D">
        <w:rPr>
          <w:rFonts w:ascii="Times New Roman" w:hAnsi="Times New Roman"/>
          <w:sz w:val="24"/>
          <w:szCs w:val="24"/>
        </w:rPr>
        <w:t xml:space="preserve">40 ft container is built and designed to move goods from one mode of transport to another without unloading and reloading. Hence, the Commissioner </w:t>
      </w:r>
      <w:r w:rsidR="00EB2E62" w:rsidRPr="0058499D">
        <w:rPr>
          <w:rFonts w:ascii="Times New Roman" w:hAnsi="Times New Roman"/>
          <w:sz w:val="24"/>
          <w:szCs w:val="24"/>
        </w:rPr>
        <w:t xml:space="preserve">for Customs and Excise </w:t>
      </w:r>
      <w:r w:rsidR="00CB5B94" w:rsidRPr="0058499D">
        <w:rPr>
          <w:rFonts w:ascii="Times New Roman" w:hAnsi="Times New Roman"/>
          <w:sz w:val="24"/>
          <w:szCs w:val="24"/>
        </w:rPr>
        <w:t xml:space="preserve">came to the conclusion </w:t>
      </w:r>
      <w:r w:rsidR="0007257F" w:rsidRPr="0058499D">
        <w:rPr>
          <w:rFonts w:ascii="Times New Roman" w:hAnsi="Times New Roman"/>
          <w:sz w:val="24"/>
          <w:szCs w:val="24"/>
        </w:rPr>
        <w:t>that such</w:t>
      </w:r>
      <w:r w:rsidR="000E4126">
        <w:rPr>
          <w:rFonts w:ascii="Times New Roman" w:hAnsi="Times New Roman"/>
          <w:sz w:val="24"/>
          <w:szCs w:val="24"/>
        </w:rPr>
        <w:t xml:space="preserve"> a</w:t>
      </w:r>
      <w:r w:rsidR="003D3879" w:rsidRPr="0058499D">
        <w:rPr>
          <w:rFonts w:ascii="Times New Roman" w:hAnsi="Times New Roman"/>
          <w:sz w:val="24"/>
          <w:szCs w:val="24"/>
        </w:rPr>
        <w:t xml:space="preserve"> container is of a commercial nature.</w:t>
      </w:r>
    </w:p>
    <w:p w14:paraId="4825E93A" w14:textId="77777777" w:rsidR="00145F43" w:rsidRPr="0058499D" w:rsidRDefault="00AA2D33" w:rsidP="00AA2D33">
      <w:pPr>
        <w:spacing w:after="0" w:line="360" w:lineRule="auto"/>
        <w:jc w:val="both"/>
        <w:rPr>
          <w:rFonts w:ascii="Times New Roman" w:hAnsi="Times New Roman"/>
          <w:sz w:val="24"/>
          <w:szCs w:val="24"/>
        </w:rPr>
      </w:pPr>
      <w:r>
        <w:rPr>
          <w:rFonts w:ascii="Times New Roman" w:hAnsi="Times New Roman"/>
          <w:sz w:val="24"/>
          <w:szCs w:val="24"/>
        </w:rPr>
        <w:tab/>
      </w:r>
      <w:r w:rsidR="006A00B7" w:rsidRPr="0058499D">
        <w:rPr>
          <w:rFonts w:ascii="Times New Roman" w:hAnsi="Times New Roman"/>
          <w:sz w:val="24"/>
          <w:szCs w:val="24"/>
        </w:rPr>
        <w:t xml:space="preserve">The </w:t>
      </w:r>
      <w:r>
        <w:rPr>
          <w:rFonts w:ascii="Times New Roman" w:hAnsi="Times New Roman"/>
          <w:sz w:val="24"/>
          <w:szCs w:val="24"/>
        </w:rPr>
        <w:t>a</w:t>
      </w:r>
      <w:r w:rsidR="0007257F" w:rsidRPr="0058499D">
        <w:rPr>
          <w:rFonts w:ascii="Times New Roman" w:hAnsi="Times New Roman"/>
          <w:sz w:val="24"/>
          <w:szCs w:val="24"/>
        </w:rPr>
        <w:t>pplicant unsuccessfully</w:t>
      </w:r>
      <w:r w:rsidR="006A00B7" w:rsidRPr="0058499D">
        <w:rPr>
          <w:rFonts w:ascii="Times New Roman" w:hAnsi="Times New Roman"/>
          <w:sz w:val="24"/>
          <w:szCs w:val="24"/>
        </w:rPr>
        <w:t xml:space="preserve"> appealed to the Commissioner General through e-mail o</w:t>
      </w:r>
      <w:r w:rsidR="00116B41">
        <w:rPr>
          <w:rFonts w:ascii="Times New Roman" w:hAnsi="Times New Roman"/>
          <w:sz w:val="24"/>
          <w:szCs w:val="24"/>
        </w:rPr>
        <w:t>n</w:t>
      </w:r>
      <w:r w:rsidR="006A00B7" w:rsidRPr="0058499D">
        <w:rPr>
          <w:rFonts w:ascii="Times New Roman" w:hAnsi="Times New Roman"/>
          <w:sz w:val="24"/>
          <w:szCs w:val="24"/>
        </w:rPr>
        <w:t xml:space="preserve"> 4 April 2021. The appeal was dismissed on 26 May 2021 based on the reasoning highlighted by the Commissioner for Customs</w:t>
      </w:r>
      <w:r w:rsidR="00145892" w:rsidRPr="0058499D">
        <w:rPr>
          <w:rFonts w:ascii="Times New Roman" w:hAnsi="Times New Roman"/>
          <w:sz w:val="24"/>
          <w:szCs w:val="24"/>
        </w:rPr>
        <w:t xml:space="preserve"> and Excise</w:t>
      </w:r>
      <w:r w:rsidR="006A00B7" w:rsidRPr="0058499D">
        <w:rPr>
          <w:rFonts w:ascii="Times New Roman" w:hAnsi="Times New Roman"/>
          <w:sz w:val="24"/>
          <w:szCs w:val="24"/>
        </w:rPr>
        <w:t>.</w:t>
      </w:r>
      <w:r w:rsidR="00145892" w:rsidRPr="0058499D">
        <w:rPr>
          <w:rFonts w:ascii="Times New Roman" w:hAnsi="Times New Roman"/>
          <w:sz w:val="24"/>
          <w:szCs w:val="24"/>
        </w:rPr>
        <w:t xml:space="preserve"> According to the </w:t>
      </w:r>
      <w:r>
        <w:rPr>
          <w:rFonts w:ascii="Times New Roman" w:hAnsi="Times New Roman"/>
          <w:sz w:val="24"/>
          <w:szCs w:val="24"/>
        </w:rPr>
        <w:t>a</w:t>
      </w:r>
      <w:r w:rsidR="00145892" w:rsidRPr="0058499D">
        <w:rPr>
          <w:rFonts w:ascii="Times New Roman" w:hAnsi="Times New Roman"/>
          <w:sz w:val="24"/>
          <w:szCs w:val="24"/>
        </w:rPr>
        <w:t>pplicant</w:t>
      </w:r>
      <w:r w:rsidR="00CB5B94" w:rsidRPr="0058499D">
        <w:rPr>
          <w:rFonts w:ascii="Times New Roman" w:hAnsi="Times New Roman"/>
          <w:sz w:val="24"/>
          <w:szCs w:val="24"/>
        </w:rPr>
        <w:t>’s averments in the founding affidavit</w:t>
      </w:r>
      <w:r w:rsidR="00145892" w:rsidRPr="0058499D">
        <w:rPr>
          <w:rFonts w:ascii="Times New Roman" w:hAnsi="Times New Roman"/>
          <w:sz w:val="24"/>
          <w:szCs w:val="24"/>
        </w:rPr>
        <w:t>, he was served with a copy</w:t>
      </w:r>
      <w:r w:rsidR="00FD1A8B" w:rsidRPr="0058499D">
        <w:rPr>
          <w:rFonts w:ascii="Times New Roman" w:hAnsi="Times New Roman"/>
          <w:sz w:val="24"/>
          <w:szCs w:val="24"/>
        </w:rPr>
        <w:t xml:space="preserve"> of </w:t>
      </w:r>
      <w:r w:rsidR="00CB5B94" w:rsidRPr="0058499D">
        <w:rPr>
          <w:rFonts w:ascii="Times New Roman" w:hAnsi="Times New Roman"/>
          <w:sz w:val="24"/>
          <w:szCs w:val="24"/>
        </w:rPr>
        <w:t xml:space="preserve">the </w:t>
      </w:r>
      <w:r w:rsidR="00FD1A8B" w:rsidRPr="0058499D">
        <w:rPr>
          <w:rFonts w:ascii="Times New Roman" w:hAnsi="Times New Roman"/>
          <w:sz w:val="24"/>
          <w:szCs w:val="24"/>
        </w:rPr>
        <w:t>Commissioner General’s decision on 21 June 2021.</w:t>
      </w:r>
      <w:r w:rsidR="00CB5B94" w:rsidRPr="0058499D">
        <w:rPr>
          <w:rFonts w:ascii="Times New Roman" w:hAnsi="Times New Roman"/>
          <w:sz w:val="24"/>
          <w:szCs w:val="24"/>
        </w:rPr>
        <w:t xml:space="preserve"> However, in the answering affidavit, the </w:t>
      </w:r>
      <w:r>
        <w:rPr>
          <w:rFonts w:ascii="Times New Roman" w:hAnsi="Times New Roman"/>
          <w:sz w:val="24"/>
          <w:szCs w:val="24"/>
        </w:rPr>
        <w:t>a</w:t>
      </w:r>
      <w:r w:rsidR="00CB5B94" w:rsidRPr="0058499D">
        <w:rPr>
          <w:rFonts w:ascii="Times New Roman" w:hAnsi="Times New Roman"/>
          <w:sz w:val="24"/>
          <w:szCs w:val="24"/>
        </w:rPr>
        <w:t xml:space="preserve">pplicant affirmed that he received the Commissioner General’s </w:t>
      </w:r>
      <w:r w:rsidR="0007257F" w:rsidRPr="0058499D">
        <w:rPr>
          <w:rFonts w:ascii="Times New Roman" w:hAnsi="Times New Roman"/>
          <w:sz w:val="24"/>
          <w:szCs w:val="24"/>
        </w:rPr>
        <w:t>decision on</w:t>
      </w:r>
      <w:r w:rsidR="00CB5B94" w:rsidRPr="0058499D">
        <w:rPr>
          <w:rFonts w:ascii="Times New Roman" w:hAnsi="Times New Roman"/>
          <w:sz w:val="24"/>
          <w:szCs w:val="24"/>
        </w:rPr>
        <w:t xml:space="preserve"> 9 June 2021 through e-mail. </w:t>
      </w:r>
      <w:r w:rsidR="00B25EFB" w:rsidRPr="0058499D">
        <w:rPr>
          <w:rFonts w:ascii="Times New Roman" w:hAnsi="Times New Roman"/>
          <w:sz w:val="24"/>
          <w:szCs w:val="24"/>
        </w:rPr>
        <w:t xml:space="preserve">On 5 July 2021, the </w:t>
      </w:r>
      <w:r>
        <w:rPr>
          <w:rFonts w:ascii="Times New Roman" w:hAnsi="Times New Roman"/>
          <w:sz w:val="24"/>
          <w:szCs w:val="24"/>
        </w:rPr>
        <w:t>a</w:t>
      </w:r>
      <w:r w:rsidR="00B25EFB" w:rsidRPr="0058499D">
        <w:rPr>
          <w:rFonts w:ascii="Times New Roman" w:hAnsi="Times New Roman"/>
          <w:sz w:val="24"/>
          <w:szCs w:val="24"/>
        </w:rPr>
        <w:t xml:space="preserve">pplicant gave notice </w:t>
      </w:r>
      <w:r w:rsidR="00116B41">
        <w:rPr>
          <w:rFonts w:ascii="Times New Roman" w:hAnsi="Times New Roman"/>
          <w:sz w:val="24"/>
          <w:szCs w:val="24"/>
        </w:rPr>
        <w:t>of</w:t>
      </w:r>
      <w:r w:rsidR="00B25EFB" w:rsidRPr="0058499D">
        <w:rPr>
          <w:rFonts w:ascii="Times New Roman" w:hAnsi="Times New Roman"/>
          <w:sz w:val="24"/>
          <w:szCs w:val="24"/>
        </w:rPr>
        <w:t xml:space="preserve"> his </w:t>
      </w:r>
      <w:r w:rsidR="00CB5B94" w:rsidRPr="0058499D">
        <w:rPr>
          <w:rFonts w:ascii="Times New Roman" w:hAnsi="Times New Roman"/>
          <w:sz w:val="24"/>
          <w:szCs w:val="24"/>
        </w:rPr>
        <w:t xml:space="preserve">intention to sue the </w:t>
      </w:r>
      <w:r>
        <w:rPr>
          <w:rFonts w:ascii="Times New Roman" w:hAnsi="Times New Roman"/>
          <w:sz w:val="24"/>
          <w:szCs w:val="24"/>
        </w:rPr>
        <w:t>r</w:t>
      </w:r>
      <w:r w:rsidR="00CB5B94" w:rsidRPr="0058499D">
        <w:rPr>
          <w:rFonts w:ascii="Times New Roman" w:hAnsi="Times New Roman"/>
          <w:sz w:val="24"/>
          <w:szCs w:val="24"/>
        </w:rPr>
        <w:t xml:space="preserve">espondent. </w:t>
      </w:r>
      <w:r w:rsidR="00810768" w:rsidRPr="0058499D">
        <w:rPr>
          <w:rFonts w:ascii="Times New Roman" w:hAnsi="Times New Roman"/>
          <w:sz w:val="24"/>
          <w:szCs w:val="24"/>
        </w:rPr>
        <w:t xml:space="preserve">The </w:t>
      </w:r>
      <w:r>
        <w:rPr>
          <w:rFonts w:ascii="Times New Roman" w:hAnsi="Times New Roman"/>
          <w:sz w:val="24"/>
          <w:szCs w:val="24"/>
        </w:rPr>
        <w:t>a</w:t>
      </w:r>
      <w:r w:rsidR="00810768" w:rsidRPr="0058499D">
        <w:rPr>
          <w:rFonts w:ascii="Times New Roman" w:hAnsi="Times New Roman"/>
          <w:sz w:val="24"/>
          <w:szCs w:val="24"/>
        </w:rPr>
        <w:t xml:space="preserve">pplicant affirmed that the delay </w:t>
      </w:r>
      <w:r w:rsidR="000E4126">
        <w:rPr>
          <w:rFonts w:ascii="Times New Roman" w:hAnsi="Times New Roman"/>
          <w:sz w:val="24"/>
          <w:szCs w:val="24"/>
        </w:rPr>
        <w:t>in</w:t>
      </w:r>
      <w:r w:rsidR="00810768" w:rsidRPr="0058499D">
        <w:rPr>
          <w:rFonts w:ascii="Times New Roman" w:hAnsi="Times New Roman"/>
          <w:sz w:val="24"/>
          <w:szCs w:val="24"/>
        </w:rPr>
        <w:t xml:space="preserve"> fil</w:t>
      </w:r>
      <w:r w:rsidR="000E4126">
        <w:rPr>
          <w:rFonts w:ascii="Times New Roman" w:hAnsi="Times New Roman"/>
          <w:sz w:val="24"/>
          <w:szCs w:val="24"/>
        </w:rPr>
        <w:t>ing</w:t>
      </w:r>
      <w:r w:rsidR="00810768" w:rsidRPr="0058499D">
        <w:rPr>
          <w:rFonts w:ascii="Times New Roman" w:hAnsi="Times New Roman"/>
          <w:sz w:val="24"/>
          <w:szCs w:val="24"/>
        </w:rPr>
        <w:t xml:space="preserve"> the application for review within the prescribed time was necessitated by</w:t>
      </w:r>
      <w:r w:rsidR="00B45A12" w:rsidRPr="0058499D">
        <w:rPr>
          <w:rFonts w:ascii="Times New Roman" w:hAnsi="Times New Roman"/>
          <w:sz w:val="24"/>
          <w:szCs w:val="24"/>
        </w:rPr>
        <w:t xml:space="preserve"> COVID</w:t>
      </w:r>
      <w:r w:rsidR="000E4126">
        <w:rPr>
          <w:rFonts w:ascii="Times New Roman" w:hAnsi="Times New Roman"/>
          <w:sz w:val="24"/>
          <w:szCs w:val="24"/>
        </w:rPr>
        <w:t>-</w:t>
      </w:r>
      <w:r w:rsidR="00B45A12" w:rsidRPr="0058499D">
        <w:rPr>
          <w:rFonts w:ascii="Times New Roman" w:hAnsi="Times New Roman"/>
          <w:sz w:val="24"/>
          <w:szCs w:val="24"/>
        </w:rPr>
        <w:t>19.</w:t>
      </w:r>
    </w:p>
    <w:p w14:paraId="71713800" w14:textId="77777777" w:rsidR="00BB0D32" w:rsidRPr="0058499D" w:rsidRDefault="00AA2D33" w:rsidP="00AA2D33">
      <w:pPr>
        <w:spacing w:after="0" w:line="360" w:lineRule="auto"/>
        <w:jc w:val="both"/>
        <w:rPr>
          <w:rFonts w:ascii="Times New Roman" w:hAnsi="Times New Roman"/>
          <w:sz w:val="24"/>
          <w:szCs w:val="24"/>
        </w:rPr>
      </w:pPr>
      <w:r>
        <w:rPr>
          <w:rFonts w:ascii="Times New Roman" w:hAnsi="Times New Roman"/>
          <w:sz w:val="24"/>
          <w:szCs w:val="24"/>
        </w:rPr>
        <w:tab/>
      </w:r>
      <w:r w:rsidR="00145F43" w:rsidRPr="0058499D">
        <w:rPr>
          <w:rFonts w:ascii="Times New Roman" w:hAnsi="Times New Roman"/>
          <w:sz w:val="24"/>
          <w:szCs w:val="24"/>
        </w:rPr>
        <w:t xml:space="preserve">It </w:t>
      </w:r>
      <w:r w:rsidR="00F03CFA" w:rsidRPr="0058499D">
        <w:rPr>
          <w:rFonts w:ascii="Times New Roman" w:hAnsi="Times New Roman"/>
          <w:sz w:val="24"/>
          <w:szCs w:val="24"/>
        </w:rPr>
        <w:t xml:space="preserve">is the </w:t>
      </w:r>
      <w:r>
        <w:rPr>
          <w:rFonts w:ascii="Times New Roman" w:hAnsi="Times New Roman"/>
          <w:sz w:val="24"/>
          <w:szCs w:val="24"/>
        </w:rPr>
        <w:t>a</w:t>
      </w:r>
      <w:r w:rsidR="00F03CFA" w:rsidRPr="0058499D">
        <w:rPr>
          <w:rFonts w:ascii="Times New Roman" w:hAnsi="Times New Roman"/>
          <w:sz w:val="24"/>
          <w:szCs w:val="24"/>
        </w:rPr>
        <w:t xml:space="preserve">pplicant’s case that he intended to use the 40 ft container for personal use and not for commercial use as alleged by the </w:t>
      </w:r>
      <w:r>
        <w:rPr>
          <w:rFonts w:ascii="Times New Roman" w:hAnsi="Times New Roman"/>
          <w:sz w:val="24"/>
          <w:szCs w:val="24"/>
        </w:rPr>
        <w:t>r</w:t>
      </w:r>
      <w:r w:rsidR="00F03CFA" w:rsidRPr="0058499D">
        <w:rPr>
          <w:rFonts w:ascii="Times New Roman" w:hAnsi="Times New Roman"/>
          <w:sz w:val="24"/>
          <w:szCs w:val="24"/>
        </w:rPr>
        <w:t xml:space="preserve">espondent. As a result, the </w:t>
      </w:r>
      <w:r>
        <w:rPr>
          <w:rFonts w:ascii="Times New Roman" w:hAnsi="Times New Roman"/>
          <w:sz w:val="24"/>
          <w:szCs w:val="24"/>
        </w:rPr>
        <w:t>a</w:t>
      </w:r>
      <w:r w:rsidR="00F03CFA" w:rsidRPr="0058499D">
        <w:rPr>
          <w:rFonts w:ascii="Times New Roman" w:hAnsi="Times New Roman"/>
          <w:sz w:val="24"/>
          <w:szCs w:val="24"/>
        </w:rPr>
        <w:t xml:space="preserve">pplicant is of the firm conviction that the 40 ft container must qualify for </w:t>
      </w:r>
      <w:r w:rsidR="000E4126">
        <w:rPr>
          <w:rFonts w:ascii="Times New Roman" w:hAnsi="Times New Roman"/>
          <w:sz w:val="24"/>
          <w:szCs w:val="24"/>
        </w:rPr>
        <w:t>a </w:t>
      </w:r>
      <w:r w:rsidR="00F03CFA" w:rsidRPr="0058499D">
        <w:rPr>
          <w:rFonts w:ascii="Times New Roman" w:hAnsi="Times New Roman"/>
          <w:sz w:val="24"/>
          <w:szCs w:val="24"/>
        </w:rPr>
        <w:t>duty</w:t>
      </w:r>
      <w:r w:rsidR="00116B41">
        <w:rPr>
          <w:rFonts w:ascii="Times New Roman" w:hAnsi="Times New Roman"/>
          <w:sz w:val="24"/>
          <w:szCs w:val="24"/>
        </w:rPr>
        <w:t xml:space="preserve"> </w:t>
      </w:r>
      <w:r w:rsidR="00F03CFA" w:rsidRPr="0058499D">
        <w:rPr>
          <w:rFonts w:ascii="Times New Roman" w:hAnsi="Times New Roman"/>
          <w:sz w:val="24"/>
          <w:szCs w:val="24"/>
        </w:rPr>
        <w:t xml:space="preserve">rebate. </w:t>
      </w:r>
      <w:r w:rsidR="00B45A12" w:rsidRPr="0058499D">
        <w:rPr>
          <w:rFonts w:ascii="Times New Roman" w:hAnsi="Times New Roman"/>
          <w:sz w:val="24"/>
          <w:szCs w:val="24"/>
        </w:rPr>
        <w:t xml:space="preserve"> </w:t>
      </w:r>
    </w:p>
    <w:p w14:paraId="1F7E415A" w14:textId="77777777" w:rsidR="00D953AC" w:rsidRPr="0058499D" w:rsidRDefault="00AA2D33" w:rsidP="0058499D">
      <w:pPr>
        <w:spacing w:line="360" w:lineRule="auto"/>
        <w:jc w:val="both"/>
        <w:rPr>
          <w:rFonts w:ascii="Times New Roman" w:hAnsi="Times New Roman"/>
          <w:sz w:val="24"/>
          <w:szCs w:val="24"/>
        </w:rPr>
      </w:pPr>
      <w:r>
        <w:rPr>
          <w:rFonts w:ascii="Times New Roman" w:hAnsi="Times New Roman"/>
          <w:sz w:val="24"/>
          <w:szCs w:val="24"/>
        </w:rPr>
        <w:tab/>
      </w:r>
      <w:r w:rsidR="00685BFD" w:rsidRPr="0058499D">
        <w:rPr>
          <w:rFonts w:ascii="Times New Roman" w:hAnsi="Times New Roman"/>
          <w:sz w:val="24"/>
          <w:szCs w:val="24"/>
        </w:rPr>
        <w:t xml:space="preserve">The matter </w:t>
      </w:r>
      <w:r w:rsidR="0007257F" w:rsidRPr="0058499D">
        <w:rPr>
          <w:rFonts w:ascii="Times New Roman" w:hAnsi="Times New Roman"/>
          <w:sz w:val="24"/>
          <w:szCs w:val="24"/>
        </w:rPr>
        <w:t>was opposed</w:t>
      </w:r>
      <w:r w:rsidR="00685BFD" w:rsidRPr="0058499D">
        <w:rPr>
          <w:rFonts w:ascii="Times New Roman" w:hAnsi="Times New Roman"/>
          <w:sz w:val="24"/>
          <w:szCs w:val="24"/>
        </w:rPr>
        <w:t xml:space="preserve"> by the </w:t>
      </w:r>
      <w:r>
        <w:rPr>
          <w:rFonts w:ascii="Times New Roman" w:hAnsi="Times New Roman"/>
          <w:sz w:val="24"/>
          <w:szCs w:val="24"/>
        </w:rPr>
        <w:t>r</w:t>
      </w:r>
      <w:r w:rsidR="00F02F09" w:rsidRPr="0058499D">
        <w:rPr>
          <w:rFonts w:ascii="Times New Roman" w:hAnsi="Times New Roman"/>
          <w:sz w:val="24"/>
          <w:szCs w:val="24"/>
        </w:rPr>
        <w:t>espondent</w:t>
      </w:r>
      <w:r w:rsidR="007A648B" w:rsidRPr="0058499D">
        <w:rPr>
          <w:rFonts w:ascii="Times New Roman" w:hAnsi="Times New Roman"/>
          <w:sz w:val="24"/>
          <w:szCs w:val="24"/>
        </w:rPr>
        <w:t xml:space="preserve"> which raised two points </w:t>
      </w:r>
      <w:r w:rsidR="007A648B" w:rsidRPr="0058499D">
        <w:rPr>
          <w:rFonts w:ascii="Times New Roman" w:hAnsi="Times New Roman"/>
          <w:i/>
          <w:sz w:val="24"/>
          <w:szCs w:val="24"/>
        </w:rPr>
        <w:t>in limine.</w:t>
      </w:r>
      <w:r w:rsidR="001C1A85" w:rsidRPr="0058499D">
        <w:rPr>
          <w:rFonts w:ascii="Times New Roman" w:hAnsi="Times New Roman"/>
          <w:i/>
          <w:sz w:val="24"/>
          <w:szCs w:val="24"/>
        </w:rPr>
        <w:t xml:space="preserve"> </w:t>
      </w:r>
      <w:r w:rsidR="001C1A85" w:rsidRPr="0058499D">
        <w:rPr>
          <w:rFonts w:ascii="Times New Roman" w:hAnsi="Times New Roman"/>
          <w:sz w:val="24"/>
          <w:szCs w:val="24"/>
        </w:rPr>
        <w:t>Firstly, it argued that the main claim for the recovery of the 40 ft container has prescribed</w:t>
      </w:r>
      <w:r w:rsidR="00992F71" w:rsidRPr="0058499D">
        <w:rPr>
          <w:rFonts w:ascii="Times New Roman" w:hAnsi="Times New Roman"/>
          <w:sz w:val="24"/>
          <w:szCs w:val="24"/>
        </w:rPr>
        <w:t xml:space="preserve"> as the period of eight months has lapsed </w:t>
      </w:r>
      <w:r w:rsidR="0007257F" w:rsidRPr="0058499D">
        <w:rPr>
          <w:rFonts w:ascii="Times New Roman" w:hAnsi="Times New Roman"/>
          <w:sz w:val="24"/>
          <w:szCs w:val="24"/>
        </w:rPr>
        <w:t>reckoning from</w:t>
      </w:r>
      <w:r w:rsidR="00992F71" w:rsidRPr="0058499D">
        <w:rPr>
          <w:rFonts w:ascii="Times New Roman" w:hAnsi="Times New Roman"/>
          <w:sz w:val="24"/>
          <w:szCs w:val="24"/>
        </w:rPr>
        <w:t xml:space="preserve"> the date of the </w:t>
      </w:r>
      <w:r>
        <w:rPr>
          <w:rFonts w:ascii="Times New Roman" w:hAnsi="Times New Roman"/>
          <w:sz w:val="24"/>
          <w:szCs w:val="24"/>
        </w:rPr>
        <w:t>r</w:t>
      </w:r>
      <w:r w:rsidR="00992F71" w:rsidRPr="0058499D">
        <w:rPr>
          <w:rFonts w:ascii="Times New Roman" w:hAnsi="Times New Roman"/>
          <w:sz w:val="24"/>
          <w:szCs w:val="24"/>
        </w:rPr>
        <w:t>espondent’s decision</w:t>
      </w:r>
      <w:r w:rsidR="001C1A85" w:rsidRPr="0058499D">
        <w:rPr>
          <w:rFonts w:ascii="Times New Roman" w:hAnsi="Times New Roman"/>
          <w:sz w:val="24"/>
          <w:szCs w:val="24"/>
        </w:rPr>
        <w:t>.</w:t>
      </w:r>
      <w:r w:rsidR="00992F71" w:rsidRPr="0058499D">
        <w:rPr>
          <w:rFonts w:ascii="Times New Roman" w:hAnsi="Times New Roman"/>
          <w:sz w:val="24"/>
          <w:szCs w:val="24"/>
        </w:rPr>
        <w:t xml:space="preserve"> </w:t>
      </w:r>
      <w:r w:rsidR="00386CA7" w:rsidRPr="0058499D">
        <w:rPr>
          <w:rFonts w:ascii="Times New Roman" w:hAnsi="Times New Roman"/>
          <w:sz w:val="24"/>
          <w:szCs w:val="24"/>
        </w:rPr>
        <w:t xml:space="preserve">The decision for the </w:t>
      </w:r>
      <w:r w:rsidR="0007257F" w:rsidRPr="0058499D">
        <w:rPr>
          <w:rFonts w:ascii="Times New Roman" w:hAnsi="Times New Roman"/>
          <w:sz w:val="24"/>
          <w:szCs w:val="24"/>
        </w:rPr>
        <w:t>denial of</w:t>
      </w:r>
      <w:r w:rsidR="00386CA7" w:rsidRPr="0058499D">
        <w:rPr>
          <w:rFonts w:ascii="Times New Roman" w:hAnsi="Times New Roman"/>
          <w:sz w:val="24"/>
          <w:szCs w:val="24"/>
        </w:rPr>
        <w:t xml:space="preserve"> duty rebate for the </w:t>
      </w:r>
      <w:r w:rsidR="0007257F" w:rsidRPr="0058499D">
        <w:rPr>
          <w:rFonts w:ascii="Times New Roman" w:hAnsi="Times New Roman"/>
          <w:sz w:val="24"/>
          <w:szCs w:val="24"/>
        </w:rPr>
        <w:t>40 ft</w:t>
      </w:r>
      <w:r w:rsidR="00386CA7" w:rsidRPr="0058499D">
        <w:rPr>
          <w:rFonts w:ascii="Times New Roman" w:hAnsi="Times New Roman"/>
          <w:sz w:val="24"/>
          <w:szCs w:val="24"/>
        </w:rPr>
        <w:t xml:space="preserve"> container was made on 12 February 2020, according to the </w:t>
      </w:r>
      <w:r>
        <w:rPr>
          <w:rFonts w:ascii="Times New Roman" w:hAnsi="Times New Roman"/>
          <w:sz w:val="24"/>
          <w:szCs w:val="24"/>
        </w:rPr>
        <w:t>r</w:t>
      </w:r>
      <w:r w:rsidR="00386CA7" w:rsidRPr="0058499D">
        <w:rPr>
          <w:rFonts w:ascii="Times New Roman" w:hAnsi="Times New Roman"/>
          <w:sz w:val="24"/>
          <w:szCs w:val="24"/>
        </w:rPr>
        <w:t>espondent and hence the claim has prescribed.</w:t>
      </w:r>
      <w:r w:rsidR="00CB5B94" w:rsidRPr="0058499D">
        <w:rPr>
          <w:rFonts w:ascii="Times New Roman" w:hAnsi="Times New Roman"/>
          <w:sz w:val="24"/>
          <w:szCs w:val="24"/>
        </w:rPr>
        <w:t xml:space="preserve"> </w:t>
      </w:r>
      <w:r w:rsidR="00D953AC" w:rsidRPr="0058499D">
        <w:rPr>
          <w:rFonts w:ascii="Times New Roman" w:hAnsi="Times New Roman"/>
          <w:sz w:val="24"/>
          <w:szCs w:val="24"/>
        </w:rPr>
        <w:t xml:space="preserve">In response, the </w:t>
      </w:r>
      <w:r>
        <w:rPr>
          <w:rFonts w:ascii="Times New Roman" w:hAnsi="Times New Roman"/>
          <w:sz w:val="24"/>
          <w:szCs w:val="24"/>
        </w:rPr>
        <w:t>a</w:t>
      </w:r>
      <w:r w:rsidR="00D953AC" w:rsidRPr="0058499D">
        <w:rPr>
          <w:rFonts w:ascii="Times New Roman" w:hAnsi="Times New Roman"/>
          <w:sz w:val="24"/>
          <w:szCs w:val="24"/>
        </w:rPr>
        <w:t>pplicant claimed that the</w:t>
      </w:r>
      <w:r w:rsidR="00992F71" w:rsidRPr="0058499D">
        <w:rPr>
          <w:rFonts w:ascii="Times New Roman" w:hAnsi="Times New Roman"/>
          <w:sz w:val="24"/>
          <w:szCs w:val="24"/>
        </w:rPr>
        <w:t xml:space="preserve"> matter has not prescribed. </w:t>
      </w:r>
      <w:r w:rsidR="00CB5B94" w:rsidRPr="0058499D">
        <w:rPr>
          <w:rFonts w:ascii="Times New Roman" w:hAnsi="Times New Roman"/>
          <w:sz w:val="24"/>
          <w:szCs w:val="24"/>
        </w:rPr>
        <w:t>T</w:t>
      </w:r>
      <w:r w:rsidR="00992F71" w:rsidRPr="0058499D">
        <w:rPr>
          <w:rFonts w:ascii="Times New Roman" w:hAnsi="Times New Roman"/>
          <w:sz w:val="24"/>
          <w:szCs w:val="24"/>
        </w:rPr>
        <w:t xml:space="preserve">he </w:t>
      </w:r>
      <w:r>
        <w:rPr>
          <w:rFonts w:ascii="Times New Roman" w:hAnsi="Times New Roman"/>
          <w:sz w:val="24"/>
          <w:szCs w:val="24"/>
        </w:rPr>
        <w:t>a</w:t>
      </w:r>
      <w:r w:rsidR="00992F71" w:rsidRPr="0058499D">
        <w:rPr>
          <w:rFonts w:ascii="Times New Roman" w:hAnsi="Times New Roman"/>
          <w:sz w:val="24"/>
          <w:szCs w:val="24"/>
        </w:rPr>
        <w:t xml:space="preserve">pplicant </w:t>
      </w:r>
      <w:r w:rsidR="0007257F" w:rsidRPr="0058499D">
        <w:rPr>
          <w:rFonts w:ascii="Times New Roman" w:hAnsi="Times New Roman"/>
          <w:sz w:val="24"/>
          <w:szCs w:val="24"/>
        </w:rPr>
        <w:t>asserted that</w:t>
      </w:r>
      <w:r w:rsidR="003128E0" w:rsidRPr="0058499D">
        <w:rPr>
          <w:rFonts w:ascii="Times New Roman" w:hAnsi="Times New Roman"/>
          <w:sz w:val="24"/>
          <w:szCs w:val="24"/>
        </w:rPr>
        <w:t xml:space="preserve"> the prescriptive period only began to run from 9 June 20</w:t>
      </w:r>
      <w:r w:rsidR="00CB5B94" w:rsidRPr="0058499D">
        <w:rPr>
          <w:rFonts w:ascii="Times New Roman" w:hAnsi="Times New Roman"/>
          <w:sz w:val="24"/>
          <w:szCs w:val="24"/>
        </w:rPr>
        <w:t>2</w:t>
      </w:r>
      <w:r w:rsidR="003128E0" w:rsidRPr="0058499D">
        <w:rPr>
          <w:rFonts w:ascii="Times New Roman" w:hAnsi="Times New Roman"/>
          <w:sz w:val="24"/>
          <w:szCs w:val="24"/>
        </w:rPr>
        <w:t xml:space="preserve">1 when he received the e-mail. </w:t>
      </w:r>
      <w:r w:rsidR="00C65EC1" w:rsidRPr="0058499D">
        <w:rPr>
          <w:rFonts w:ascii="Times New Roman" w:hAnsi="Times New Roman"/>
          <w:sz w:val="24"/>
          <w:szCs w:val="24"/>
        </w:rPr>
        <w:t xml:space="preserve"> </w:t>
      </w:r>
      <w:r w:rsidR="00D953AC" w:rsidRPr="0058499D">
        <w:rPr>
          <w:rFonts w:ascii="Times New Roman" w:hAnsi="Times New Roman"/>
          <w:sz w:val="24"/>
          <w:szCs w:val="24"/>
        </w:rPr>
        <w:t xml:space="preserve"> </w:t>
      </w:r>
    </w:p>
    <w:p w14:paraId="499DDC28" w14:textId="77777777" w:rsidR="00D953AC" w:rsidRPr="0058499D" w:rsidRDefault="00D953AC" w:rsidP="0058499D">
      <w:pPr>
        <w:spacing w:line="360" w:lineRule="auto"/>
        <w:jc w:val="both"/>
        <w:rPr>
          <w:rFonts w:ascii="Times New Roman" w:hAnsi="Times New Roman"/>
          <w:i/>
          <w:sz w:val="24"/>
          <w:szCs w:val="24"/>
        </w:rPr>
      </w:pPr>
    </w:p>
    <w:p w14:paraId="4813C8CA" w14:textId="77777777" w:rsidR="004850A0" w:rsidRPr="0058499D" w:rsidRDefault="00386CA7" w:rsidP="0058499D">
      <w:pPr>
        <w:spacing w:line="360" w:lineRule="auto"/>
        <w:jc w:val="both"/>
        <w:rPr>
          <w:rFonts w:ascii="Times New Roman" w:hAnsi="Times New Roman"/>
          <w:sz w:val="24"/>
          <w:szCs w:val="24"/>
        </w:rPr>
      </w:pPr>
      <w:r w:rsidRPr="0058499D">
        <w:rPr>
          <w:rFonts w:ascii="Times New Roman" w:hAnsi="Times New Roman"/>
          <w:sz w:val="24"/>
          <w:szCs w:val="24"/>
        </w:rPr>
        <w:lastRenderedPageBreak/>
        <w:t xml:space="preserve"> </w:t>
      </w:r>
      <w:r w:rsidR="001C1A85" w:rsidRPr="0058499D">
        <w:rPr>
          <w:rFonts w:ascii="Times New Roman" w:hAnsi="Times New Roman"/>
          <w:sz w:val="24"/>
          <w:szCs w:val="24"/>
        </w:rPr>
        <w:t xml:space="preserve"> Secondly, the</w:t>
      </w:r>
      <w:r w:rsidRPr="0058499D">
        <w:rPr>
          <w:rFonts w:ascii="Times New Roman" w:hAnsi="Times New Roman"/>
          <w:sz w:val="24"/>
          <w:szCs w:val="24"/>
        </w:rPr>
        <w:t xml:space="preserve"> </w:t>
      </w:r>
      <w:r w:rsidR="00AA2D33">
        <w:rPr>
          <w:rFonts w:ascii="Times New Roman" w:hAnsi="Times New Roman"/>
          <w:sz w:val="24"/>
          <w:szCs w:val="24"/>
        </w:rPr>
        <w:t>a</w:t>
      </w:r>
      <w:r w:rsidRPr="0058499D">
        <w:rPr>
          <w:rFonts w:ascii="Times New Roman" w:hAnsi="Times New Roman"/>
          <w:sz w:val="24"/>
          <w:szCs w:val="24"/>
        </w:rPr>
        <w:t xml:space="preserve">pplicant maintained that the </w:t>
      </w:r>
      <w:r w:rsidR="00AA2D33">
        <w:rPr>
          <w:rFonts w:ascii="Times New Roman" w:hAnsi="Times New Roman"/>
          <w:sz w:val="24"/>
          <w:szCs w:val="24"/>
        </w:rPr>
        <w:t>a</w:t>
      </w:r>
      <w:r w:rsidRPr="0058499D">
        <w:rPr>
          <w:rFonts w:ascii="Times New Roman" w:hAnsi="Times New Roman"/>
          <w:sz w:val="24"/>
          <w:szCs w:val="24"/>
        </w:rPr>
        <w:t>pplicant did not</w:t>
      </w:r>
      <w:r w:rsidR="00235B08" w:rsidRPr="0058499D">
        <w:rPr>
          <w:rFonts w:ascii="Times New Roman" w:hAnsi="Times New Roman"/>
          <w:sz w:val="24"/>
          <w:szCs w:val="24"/>
        </w:rPr>
        <w:t xml:space="preserve"> comply with Section 196(1</w:t>
      </w:r>
      <w:r w:rsidR="0035082E" w:rsidRPr="0058499D">
        <w:rPr>
          <w:rFonts w:ascii="Times New Roman" w:hAnsi="Times New Roman"/>
          <w:sz w:val="24"/>
          <w:szCs w:val="24"/>
        </w:rPr>
        <w:t>) of the Customs and Excise Act.</w:t>
      </w:r>
      <w:r w:rsidR="0035082E" w:rsidRPr="0058499D">
        <w:rPr>
          <w:rFonts w:ascii="Times New Roman" w:hAnsi="Times New Roman"/>
          <w:i/>
          <w:sz w:val="24"/>
          <w:szCs w:val="24"/>
        </w:rPr>
        <w:t xml:space="preserve"> </w:t>
      </w:r>
      <w:r w:rsidR="004850A0" w:rsidRPr="0058499D">
        <w:rPr>
          <w:rFonts w:ascii="Times New Roman" w:hAnsi="Times New Roman"/>
          <w:sz w:val="24"/>
          <w:szCs w:val="24"/>
        </w:rPr>
        <w:t>Section 196(1) of the Customs and Excise Act provides as follows:</w:t>
      </w:r>
    </w:p>
    <w:p w14:paraId="3A0ADA8E" w14:textId="77777777" w:rsidR="004850A0" w:rsidRPr="00AA2D33" w:rsidRDefault="008B70B3" w:rsidP="00AA2D33">
      <w:pPr>
        <w:spacing w:line="240" w:lineRule="auto"/>
        <w:ind w:left="720"/>
        <w:jc w:val="both"/>
        <w:rPr>
          <w:rFonts w:ascii="Times New Roman" w:hAnsi="Times New Roman"/>
        </w:rPr>
      </w:pPr>
      <w:r w:rsidRPr="00AA2D33">
        <w:rPr>
          <w:rFonts w:ascii="Times New Roman" w:hAnsi="Times New Roman"/>
        </w:rPr>
        <w:t>“No civil proceedings shall be instituted against State, the Commissioner or any officer</w:t>
      </w:r>
      <w:r w:rsidR="00DB4EB2" w:rsidRPr="00AA2D33">
        <w:rPr>
          <w:rFonts w:ascii="Times New Roman" w:hAnsi="Times New Roman"/>
        </w:rPr>
        <w:t xml:space="preserve"> for anything done or omitted to be done by the Commissioner or an officer under this Act or any other law relating to customs and excise until sixty days after notice has been given in terms of State Liabilities Act [</w:t>
      </w:r>
      <w:r w:rsidR="00DB4EB2" w:rsidRPr="00AA2D33">
        <w:rPr>
          <w:rFonts w:ascii="Times New Roman" w:hAnsi="Times New Roman"/>
          <w:i/>
        </w:rPr>
        <w:t>Chapter 8:15</w:t>
      </w:r>
      <w:r w:rsidR="00DB4EB2" w:rsidRPr="00AA2D33">
        <w:rPr>
          <w:rFonts w:ascii="Times New Roman" w:hAnsi="Times New Roman"/>
        </w:rPr>
        <w:t>].”</w:t>
      </w:r>
    </w:p>
    <w:p w14:paraId="4D6F4603" w14:textId="77777777" w:rsidR="005D32B8" w:rsidRPr="0058499D" w:rsidRDefault="00AA2D33" w:rsidP="00AA2D33">
      <w:pPr>
        <w:spacing w:after="0" w:line="360" w:lineRule="auto"/>
        <w:jc w:val="both"/>
        <w:rPr>
          <w:rFonts w:ascii="Times New Roman" w:hAnsi="Times New Roman"/>
          <w:i/>
          <w:sz w:val="24"/>
          <w:szCs w:val="24"/>
        </w:rPr>
      </w:pPr>
      <w:r>
        <w:rPr>
          <w:rFonts w:ascii="Times New Roman" w:hAnsi="Times New Roman"/>
          <w:sz w:val="24"/>
          <w:szCs w:val="24"/>
        </w:rPr>
        <w:tab/>
      </w:r>
      <w:r w:rsidR="00DB4EB2" w:rsidRPr="0058499D">
        <w:rPr>
          <w:rFonts w:ascii="Times New Roman" w:hAnsi="Times New Roman"/>
          <w:sz w:val="24"/>
          <w:szCs w:val="24"/>
        </w:rPr>
        <w:t xml:space="preserve">According to the </w:t>
      </w:r>
      <w:r>
        <w:rPr>
          <w:rFonts w:ascii="Times New Roman" w:hAnsi="Times New Roman"/>
          <w:sz w:val="24"/>
          <w:szCs w:val="24"/>
        </w:rPr>
        <w:t>r</w:t>
      </w:r>
      <w:r w:rsidR="00DB4EB2" w:rsidRPr="0058499D">
        <w:rPr>
          <w:rFonts w:ascii="Times New Roman" w:hAnsi="Times New Roman"/>
          <w:sz w:val="24"/>
          <w:szCs w:val="24"/>
        </w:rPr>
        <w:t>espondent, t</w:t>
      </w:r>
      <w:r w:rsidR="00336438" w:rsidRPr="0058499D">
        <w:rPr>
          <w:rFonts w:ascii="Times New Roman" w:hAnsi="Times New Roman"/>
          <w:sz w:val="24"/>
          <w:szCs w:val="24"/>
        </w:rPr>
        <w:t xml:space="preserve">he </w:t>
      </w:r>
      <w:r>
        <w:rPr>
          <w:rFonts w:ascii="Times New Roman" w:hAnsi="Times New Roman"/>
          <w:sz w:val="24"/>
          <w:szCs w:val="24"/>
        </w:rPr>
        <w:t>a</w:t>
      </w:r>
      <w:r w:rsidR="00336438" w:rsidRPr="0058499D">
        <w:rPr>
          <w:rFonts w:ascii="Times New Roman" w:hAnsi="Times New Roman"/>
          <w:sz w:val="24"/>
          <w:szCs w:val="24"/>
        </w:rPr>
        <w:t>pplicant ought to have given notice of intention to sue</w:t>
      </w:r>
      <w:r w:rsidR="00145F43" w:rsidRPr="0058499D">
        <w:rPr>
          <w:rFonts w:ascii="Times New Roman" w:hAnsi="Times New Roman"/>
          <w:sz w:val="24"/>
          <w:szCs w:val="24"/>
        </w:rPr>
        <w:t xml:space="preserve"> before instituting this application</w:t>
      </w:r>
      <w:r w:rsidR="00336438" w:rsidRPr="0058499D">
        <w:rPr>
          <w:rFonts w:ascii="Times New Roman" w:hAnsi="Times New Roman"/>
          <w:sz w:val="24"/>
          <w:szCs w:val="24"/>
        </w:rPr>
        <w:t>.</w:t>
      </w:r>
      <w:r w:rsidR="0077520A" w:rsidRPr="0058499D">
        <w:rPr>
          <w:rFonts w:ascii="Times New Roman" w:hAnsi="Times New Roman"/>
          <w:sz w:val="24"/>
          <w:szCs w:val="24"/>
        </w:rPr>
        <w:t xml:space="preserve"> It is the case of the </w:t>
      </w:r>
      <w:r>
        <w:rPr>
          <w:rFonts w:ascii="Times New Roman" w:hAnsi="Times New Roman"/>
          <w:sz w:val="24"/>
          <w:szCs w:val="24"/>
        </w:rPr>
        <w:t>r</w:t>
      </w:r>
      <w:r w:rsidR="0077520A" w:rsidRPr="0058499D">
        <w:rPr>
          <w:rFonts w:ascii="Times New Roman" w:hAnsi="Times New Roman"/>
          <w:sz w:val="24"/>
          <w:szCs w:val="24"/>
        </w:rPr>
        <w:t xml:space="preserve">espondent that the purported notice of intention to sue attached to the founding affidavit was meant for the application for review. It further maintained that </w:t>
      </w:r>
      <w:r w:rsidR="004850A0" w:rsidRPr="0058499D">
        <w:rPr>
          <w:rFonts w:ascii="Times New Roman" w:hAnsi="Times New Roman"/>
          <w:sz w:val="24"/>
          <w:szCs w:val="24"/>
        </w:rPr>
        <w:t xml:space="preserve">the </w:t>
      </w:r>
      <w:r>
        <w:rPr>
          <w:rFonts w:ascii="Times New Roman" w:hAnsi="Times New Roman"/>
          <w:sz w:val="24"/>
          <w:szCs w:val="24"/>
        </w:rPr>
        <w:t>a</w:t>
      </w:r>
      <w:r w:rsidR="0007257F" w:rsidRPr="0058499D">
        <w:rPr>
          <w:rFonts w:ascii="Times New Roman" w:hAnsi="Times New Roman"/>
          <w:sz w:val="24"/>
          <w:szCs w:val="24"/>
        </w:rPr>
        <w:t>pplicant proceeded</w:t>
      </w:r>
      <w:r w:rsidR="004850A0" w:rsidRPr="0058499D">
        <w:rPr>
          <w:rFonts w:ascii="Times New Roman" w:hAnsi="Times New Roman"/>
          <w:sz w:val="24"/>
          <w:szCs w:val="24"/>
        </w:rPr>
        <w:t xml:space="preserve"> to mount the </w:t>
      </w:r>
      <w:r w:rsidR="005A77A0" w:rsidRPr="0058499D">
        <w:rPr>
          <w:rFonts w:ascii="Times New Roman" w:hAnsi="Times New Roman"/>
          <w:sz w:val="24"/>
          <w:szCs w:val="24"/>
        </w:rPr>
        <w:t xml:space="preserve">present application </w:t>
      </w:r>
      <w:r w:rsidR="004850A0" w:rsidRPr="0058499D">
        <w:rPr>
          <w:rFonts w:ascii="Times New Roman" w:hAnsi="Times New Roman"/>
          <w:sz w:val="24"/>
          <w:szCs w:val="24"/>
        </w:rPr>
        <w:t xml:space="preserve">without issuing the relevant notice of intention </w:t>
      </w:r>
      <w:r w:rsidR="00DB4EB2" w:rsidRPr="0058499D">
        <w:rPr>
          <w:rFonts w:ascii="Times New Roman" w:hAnsi="Times New Roman"/>
          <w:sz w:val="24"/>
          <w:szCs w:val="24"/>
        </w:rPr>
        <w:t xml:space="preserve">to sue </w:t>
      </w:r>
      <w:r w:rsidR="004850A0" w:rsidRPr="0058499D">
        <w:rPr>
          <w:rFonts w:ascii="Times New Roman" w:hAnsi="Times New Roman"/>
          <w:sz w:val="24"/>
          <w:szCs w:val="24"/>
        </w:rPr>
        <w:t xml:space="preserve">the </w:t>
      </w:r>
      <w:r>
        <w:rPr>
          <w:rFonts w:ascii="Times New Roman" w:hAnsi="Times New Roman"/>
          <w:sz w:val="24"/>
          <w:szCs w:val="24"/>
        </w:rPr>
        <w:t>r</w:t>
      </w:r>
      <w:r w:rsidR="004850A0" w:rsidRPr="0058499D">
        <w:rPr>
          <w:rFonts w:ascii="Times New Roman" w:hAnsi="Times New Roman"/>
          <w:sz w:val="24"/>
          <w:szCs w:val="24"/>
        </w:rPr>
        <w:t xml:space="preserve">espondent. </w:t>
      </w:r>
      <w:r w:rsidR="00D953AC" w:rsidRPr="0058499D">
        <w:rPr>
          <w:rFonts w:ascii="Times New Roman" w:hAnsi="Times New Roman"/>
          <w:sz w:val="24"/>
          <w:szCs w:val="24"/>
        </w:rPr>
        <w:t xml:space="preserve">The </w:t>
      </w:r>
      <w:r>
        <w:rPr>
          <w:rFonts w:ascii="Times New Roman" w:hAnsi="Times New Roman"/>
          <w:sz w:val="24"/>
          <w:szCs w:val="24"/>
        </w:rPr>
        <w:t>r</w:t>
      </w:r>
      <w:r w:rsidR="00D953AC" w:rsidRPr="0058499D">
        <w:rPr>
          <w:rFonts w:ascii="Times New Roman" w:hAnsi="Times New Roman"/>
          <w:sz w:val="24"/>
          <w:szCs w:val="24"/>
        </w:rPr>
        <w:t>espondent further averred that th</w:t>
      </w:r>
      <w:r w:rsidR="003128E0" w:rsidRPr="0058499D">
        <w:rPr>
          <w:rFonts w:ascii="Times New Roman" w:hAnsi="Times New Roman"/>
          <w:sz w:val="24"/>
          <w:szCs w:val="24"/>
        </w:rPr>
        <w:t>e</w:t>
      </w:r>
      <w:r w:rsidR="00D953AC" w:rsidRPr="0058499D">
        <w:rPr>
          <w:rFonts w:ascii="Times New Roman" w:hAnsi="Times New Roman"/>
          <w:sz w:val="24"/>
          <w:szCs w:val="24"/>
        </w:rPr>
        <w:t xml:space="preserve"> </w:t>
      </w:r>
      <w:r>
        <w:rPr>
          <w:rFonts w:ascii="Times New Roman" w:hAnsi="Times New Roman"/>
          <w:sz w:val="24"/>
          <w:szCs w:val="24"/>
        </w:rPr>
        <w:t>a</w:t>
      </w:r>
      <w:r w:rsidR="00D953AC" w:rsidRPr="0058499D">
        <w:rPr>
          <w:rFonts w:ascii="Times New Roman" w:hAnsi="Times New Roman"/>
          <w:sz w:val="24"/>
          <w:szCs w:val="24"/>
        </w:rPr>
        <w:t>pplicant is improperly before the</w:t>
      </w:r>
      <w:r w:rsidR="00EF54B4" w:rsidRPr="0058499D">
        <w:rPr>
          <w:rFonts w:ascii="Times New Roman" w:hAnsi="Times New Roman"/>
          <w:sz w:val="24"/>
          <w:szCs w:val="24"/>
        </w:rPr>
        <w:t xml:space="preserve"> </w:t>
      </w:r>
      <w:r w:rsidR="00D953AC" w:rsidRPr="0058499D">
        <w:rPr>
          <w:rFonts w:ascii="Times New Roman" w:hAnsi="Times New Roman"/>
          <w:sz w:val="24"/>
          <w:szCs w:val="24"/>
        </w:rPr>
        <w:t>court</w:t>
      </w:r>
      <w:r w:rsidR="00EF54B4" w:rsidRPr="0058499D">
        <w:rPr>
          <w:rFonts w:ascii="Times New Roman" w:hAnsi="Times New Roman"/>
          <w:sz w:val="24"/>
          <w:szCs w:val="24"/>
        </w:rPr>
        <w:t xml:space="preserve"> on this basis</w:t>
      </w:r>
      <w:r w:rsidR="00D953AC" w:rsidRPr="0058499D">
        <w:rPr>
          <w:rFonts w:ascii="Times New Roman" w:hAnsi="Times New Roman"/>
          <w:sz w:val="24"/>
          <w:szCs w:val="24"/>
        </w:rPr>
        <w:t>.</w:t>
      </w:r>
      <w:r w:rsidR="003128E0" w:rsidRPr="0058499D">
        <w:rPr>
          <w:rFonts w:ascii="Times New Roman" w:hAnsi="Times New Roman"/>
          <w:sz w:val="24"/>
          <w:szCs w:val="24"/>
        </w:rPr>
        <w:t xml:space="preserve"> Responding to </w:t>
      </w:r>
      <w:r w:rsidR="00EF54B4" w:rsidRPr="0058499D">
        <w:rPr>
          <w:rFonts w:ascii="Times New Roman" w:hAnsi="Times New Roman"/>
          <w:sz w:val="24"/>
          <w:szCs w:val="24"/>
        </w:rPr>
        <w:t xml:space="preserve">this </w:t>
      </w:r>
      <w:r w:rsidR="003128E0" w:rsidRPr="0058499D">
        <w:rPr>
          <w:rFonts w:ascii="Times New Roman" w:hAnsi="Times New Roman"/>
          <w:sz w:val="24"/>
          <w:szCs w:val="24"/>
        </w:rPr>
        <w:t xml:space="preserve">point </w:t>
      </w:r>
      <w:r w:rsidR="003128E0" w:rsidRPr="0058499D">
        <w:rPr>
          <w:rFonts w:ascii="Times New Roman" w:hAnsi="Times New Roman"/>
          <w:i/>
          <w:sz w:val="24"/>
          <w:szCs w:val="24"/>
        </w:rPr>
        <w:t>in limine,</w:t>
      </w:r>
      <w:r w:rsidR="005D32B8" w:rsidRPr="0058499D">
        <w:rPr>
          <w:rFonts w:ascii="Times New Roman" w:hAnsi="Times New Roman"/>
          <w:i/>
          <w:sz w:val="24"/>
          <w:szCs w:val="24"/>
        </w:rPr>
        <w:t xml:space="preserve"> </w:t>
      </w:r>
      <w:r w:rsidR="00EF54B4" w:rsidRPr="000E4126">
        <w:rPr>
          <w:rFonts w:ascii="Times New Roman" w:hAnsi="Times New Roman"/>
          <w:iCs/>
          <w:sz w:val="24"/>
          <w:szCs w:val="24"/>
        </w:rPr>
        <w:t xml:space="preserve">the </w:t>
      </w:r>
      <w:r>
        <w:rPr>
          <w:rFonts w:ascii="Times New Roman" w:hAnsi="Times New Roman"/>
          <w:iCs/>
          <w:sz w:val="24"/>
          <w:szCs w:val="24"/>
        </w:rPr>
        <w:t>a</w:t>
      </w:r>
      <w:r w:rsidR="00EF54B4" w:rsidRPr="000E4126">
        <w:rPr>
          <w:rFonts w:ascii="Times New Roman" w:hAnsi="Times New Roman"/>
          <w:iCs/>
          <w:sz w:val="24"/>
          <w:szCs w:val="24"/>
        </w:rPr>
        <w:t>pplicant</w:t>
      </w:r>
      <w:r w:rsidR="00EF54B4" w:rsidRPr="0058499D">
        <w:rPr>
          <w:rFonts w:ascii="Times New Roman" w:hAnsi="Times New Roman"/>
          <w:i/>
          <w:sz w:val="24"/>
          <w:szCs w:val="24"/>
        </w:rPr>
        <w:t xml:space="preserve"> </w:t>
      </w:r>
      <w:r w:rsidR="005D32B8" w:rsidRPr="0058499D">
        <w:rPr>
          <w:rFonts w:ascii="Times New Roman" w:hAnsi="Times New Roman"/>
          <w:sz w:val="24"/>
          <w:szCs w:val="24"/>
        </w:rPr>
        <w:t xml:space="preserve">averred that he served the </w:t>
      </w:r>
      <w:r>
        <w:rPr>
          <w:rFonts w:ascii="Times New Roman" w:hAnsi="Times New Roman"/>
          <w:sz w:val="24"/>
          <w:szCs w:val="24"/>
        </w:rPr>
        <w:t>r</w:t>
      </w:r>
      <w:r w:rsidR="005D32B8" w:rsidRPr="0058499D">
        <w:rPr>
          <w:rFonts w:ascii="Times New Roman" w:hAnsi="Times New Roman"/>
          <w:sz w:val="24"/>
          <w:szCs w:val="24"/>
        </w:rPr>
        <w:t>espondent with a notice of intention to sue on 5 July 2021.</w:t>
      </w:r>
      <w:r w:rsidR="00DB4EB2" w:rsidRPr="0058499D">
        <w:rPr>
          <w:rFonts w:ascii="Times New Roman" w:hAnsi="Times New Roman"/>
          <w:sz w:val="24"/>
          <w:szCs w:val="24"/>
        </w:rPr>
        <w:t xml:space="preserve"> The </w:t>
      </w:r>
      <w:r>
        <w:rPr>
          <w:rFonts w:ascii="Times New Roman" w:hAnsi="Times New Roman"/>
          <w:sz w:val="24"/>
          <w:szCs w:val="24"/>
        </w:rPr>
        <w:t>a</w:t>
      </w:r>
      <w:r w:rsidR="00DB4EB2" w:rsidRPr="0058499D">
        <w:rPr>
          <w:rFonts w:ascii="Times New Roman" w:hAnsi="Times New Roman"/>
          <w:sz w:val="24"/>
          <w:szCs w:val="24"/>
        </w:rPr>
        <w:t>pplicant averred that such notice was sufficient for the present application.</w:t>
      </w:r>
    </w:p>
    <w:p w14:paraId="40DDC56B" w14:textId="77777777" w:rsidR="001E5EA1" w:rsidRPr="0058499D" w:rsidRDefault="00AA2D33" w:rsidP="00AA2D33">
      <w:pPr>
        <w:spacing w:after="0" w:line="360" w:lineRule="auto"/>
        <w:jc w:val="both"/>
        <w:rPr>
          <w:rFonts w:ascii="Times New Roman" w:hAnsi="Times New Roman"/>
          <w:sz w:val="24"/>
          <w:szCs w:val="24"/>
        </w:rPr>
      </w:pPr>
      <w:r>
        <w:rPr>
          <w:rFonts w:ascii="Times New Roman" w:hAnsi="Times New Roman"/>
          <w:sz w:val="24"/>
          <w:szCs w:val="24"/>
        </w:rPr>
        <w:tab/>
      </w:r>
      <w:r w:rsidR="005D32B8" w:rsidRPr="0058499D">
        <w:rPr>
          <w:rFonts w:ascii="Times New Roman" w:hAnsi="Times New Roman"/>
          <w:sz w:val="24"/>
          <w:szCs w:val="24"/>
        </w:rPr>
        <w:t xml:space="preserve">In the answering affidavit, the </w:t>
      </w:r>
      <w:r>
        <w:rPr>
          <w:rFonts w:ascii="Times New Roman" w:hAnsi="Times New Roman"/>
          <w:sz w:val="24"/>
          <w:szCs w:val="24"/>
        </w:rPr>
        <w:t>a</w:t>
      </w:r>
      <w:r w:rsidR="005D32B8" w:rsidRPr="0058499D">
        <w:rPr>
          <w:rFonts w:ascii="Times New Roman" w:hAnsi="Times New Roman"/>
          <w:sz w:val="24"/>
          <w:szCs w:val="24"/>
        </w:rPr>
        <w:t xml:space="preserve">pplicant raised two </w:t>
      </w:r>
      <w:r w:rsidR="0007257F" w:rsidRPr="0058499D">
        <w:rPr>
          <w:rFonts w:ascii="Times New Roman" w:hAnsi="Times New Roman"/>
          <w:sz w:val="24"/>
          <w:szCs w:val="24"/>
        </w:rPr>
        <w:t>points</w:t>
      </w:r>
      <w:r w:rsidR="0007257F" w:rsidRPr="0058499D">
        <w:rPr>
          <w:rFonts w:ascii="Times New Roman" w:hAnsi="Times New Roman"/>
          <w:i/>
          <w:sz w:val="24"/>
          <w:szCs w:val="24"/>
        </w:rPr>
        <w:t xml:space="preserve"> in</w:t>
      </w:r>
      <w:r w:rsidR="005D32B8" w:rsidRPr="0058499D">
        <w:rPr>
          <w:rFonts w:ascii="Times New Roman" w:hAnsi="Times New Roman"/>
          <w:i/>
          <w:sz w:val="24"/>
          <w:szCs w:val="24"/>
        </w:rPr>
        <w:t xml:space="preserve"> limine.</w:t>
      </w:r>
      <w:r w:rsidR="005D32B8" w:rsidRPr="0058499D">
        <w:rPr>
          <w:rFonts w:ascii="Times New Roman" w:hAnsi="Times New Roman"/>
          <w:sz w:val="24"/>
          <w:szCs w:val="24"/>
        </w:rPr>
        <w:t xml:space="preserve"> </w:t>
      </w:r>
      <w:r w:rsidR="007B5755" w:rsidRPr="0058499D">
        <w:rPr>
          <w:rFonts w:ascii="Times New Roman" w:hAnsi="Times New Roman"/>
          <w:sz w:val="24"/>
          <w:szCs w:val="24"/>
        </w:rPr>
        <w:t xml:space="preserve">Firstly, he affirmed that the notice of opposition filed on behalf of the </w:t>
      </w:r>
      <w:r>
        <w:rPr>
          <w:rFonts w:ascii="Times New Roman" w:hAnsi="Times New Roman"/>
          <w:sz w:val="24"/>
          <w:szCs w:val="24"/>
        </w:rPr>
        <w:t>r</w:t>
      </w:r>
      <w:r w:rsidR="007B5755" w:rsidRPr="0058499D">
        <w:rPr>
          <w:rFonts w:ascii="Times New Roman" w:hAnsi="Times New Roman"/>
          <w:sz w:val="24"/>
          <w:szCs w:val="24"/>
        </w:rPr>
        <w:t>espondent is fatally defective.</w:t>
      </w:r>
      <w:r w:rsidR="00EF54B4" w:rsidRPr="0058499D">
        <w:rPr>
          <w:rFonts w:ascii="Times New Roman" w:hAnsi="Times New Roman"/>
          <w:sz w:val="24"/>
          <w:szCs w:val="24"/>
        </w:rPr>
        <w:t xml:space="preserve"> </w:t>
      </w:r>
      <w:r w:rsidR="00BD7AC6" w:rsidRPr="0058499D">
        <w:rPr>
          <w:rFonts w:ascii="Times New Roman" w:hAnsi="Times New Roman"/>
          <w:sz w:val="24"/>
          <w:szCs w:val="24"/>
        </w:rPr>
        <w:t xml:space="preserve">During the court proceedings, it later turned out that the court’s copy of the notice of opposition was signed and hence the point </w:t>
      </w:r>
      <w:r w:rsidR="00BD7AC6" w:rsidRPr="0058499D">
        <w:rPr>
          <w:rFonts w:ascii="Times New Roman" w:hAnsi="Times New Roman"/>
          <w:i/>
          <w:sz w:val="24"/>
          <w:szCs w:val="24"/>
        </w:rPr>
        <w:t>in limine</w:t>
      </w:r>
      <w:r w:rsidR="00BD7AC6" w:rsidRPr="0058499D">
        <w:rPr>
          <w:rFonts w:ascii="Times New Roman" w:hAnsi="Times New Roman"/>
          <w:sz w:val="24"/>
          <w:szCs w:val="24"/>
        </w:rPr>
        <w:t xml:space="preserve"> was no longer relevant and was accordingly abandoned.</w:t>
      </w:r>
    </w:p>
    <w:p w14:paraId="16EB7C08" w14:textId="77777777" w:rsidR="00D953AC" w:rsidRPr="0058499D" w:rsidRDefault="00AA2D33" w:rsidP="0058499D">
      <w:pPr>
        <w:spacing w:line="360" w:lineRule="auto"/>
        <w:jc w:val="both"/>
        <w:rPr>
          <w:rFonts w:ascii="Times New Roman" w:hAnsi="Times New Roman"/>
          <w:sz w:val="24"/>
          <w:szCs w:val="24"/>
        </w:rPr>
      </w:pPr>
      <w:r>
        <w:rPr>
          <w:rFonts w:ascii="Times New Roman" w:hAnsi="Times New Roman"/>
          <w:sz w:val="24"/>
          <w:szCs w:val="24"/>
        </w:rPr>
        <w:tab/>
      </w:r>
      <w:r w:rsidR="001E5EA1" w:rsidRPr="0058499D">
        <w:rPr>
          <w:rFonts w:ascii="Times New Roman" w:hAnsi="Times New Roman"/>
          <w:sz w:val="24"/>
          <w:szCs w:val="24"/>
        </w:rPr>
        <w:t xml:space="preserve">Secondly, the </w:t>
      </w:r>
      <w:r>
        <w:rPr>
          <w:rFonts w:ascii="Times New Roman" w:hAnsi="Times New Roman"/>
          <w:sz w:val="24"/>
          <w:szCs w:val="24"/>
        </w:rPr>
        <w:t>a</w:t>
      </w:r>
      <w:r w:rsidR="001E5EA1" w:rsidRPr="0058499D">
        <w:rPr>
          <w:rFonts w:ascii="Times New Roman" w:hAnsi="Times New Roman"/>
          <w:sz w:val="24"/>
          <w:szCs w:val="24"/>
        </w:rPr>
        <w:t xml:space="preserve">pplicant, by way of </w:t>
      </w:r>
      <w:r w:rsidR="00EF54B4" w:rsidRPr="0058499D">
        <w:rPr>
          <w:rFonts w:ascii="Times New Roman" w:hAnsi="Times New Roman"/>
          <w:sz w:val="24"/>
          <w:szCs w:val="24"/>
        </w:rPr>
        <w:t xml:space="preserve">a further </w:t>
      </w:r>
      <w:r w:rsidR="001E5EA1" w:rsidRPr="0058499D">
        <w:rPr>
          <w:rFonts w:ascii="Times New Roman" w:hAnsi="Times New Roman"/>
          <w:sz w:val="24"/>
          <w:szCs w:val="24"/>
        </w:rPr>
        <w:t xml:space="preserve">point </w:t>
      </w:r>
      <w:r w:rsidR="001E5EA1" w:rsidRPr="0058499D">
        <w:rPr>
          <w:rFonts w:ascii="Times New Roman" w:hAnsi="Times New Roman"/>
          <w:i/>
          <w:sz w:val="24"/>
          <w:szCs w:val="24"/>
        </w:rPr>
        <w:t>in limine</w:t>
      </w:r>
      <w:r w:rsidR="001E5EA1" w:rsidRPr="0058499D">
        <w:rPr>
          <w:rFonts w:ascii="Times New Roman" w:hAnsi="Times New Roman"/>
          <w:sz w:val="24"/>
          <w:szCs w:val="24"/>
        </w:rPr>
        <w:t xml:space="preserve">, argued that </w:t>
      </w:r>
      <w:r w:rsidR="0007257F" w:rsidRPr="0058499D">
        <w:rPr>
          <w:rFonts w:ascii="Times New Roman" w:hAnsi="Times New Roman"/>
          <w:sz w:val="24"/>
          <w:szCs w:val="24"/>
        </w:rPr>
        <w:t>the deponent</w:t>
      </w:r>
      <w:r w:rsidR="001E5EA1" w:rsidRPr="0058499D">
        <w:rPr>
          <w:rFonts w:ascii="Times New Roman" w:hAnsi="Times New Roman"/>
          <w:sz w:val="24"/>
          <w:szCs w:val="24"/>
        </w:rPr>
        <w:t xml:space="preserve"> </w:t>
      </w:r>
      <w:r w:rsidR="00001FC8" w:rsidRPr="0058499D">
        <w:rPr>
          <w:rFonts w:ascii="Times New Roman" w:hAnsi="Times New Roman"/>
          <w:sz w:val="24"/>
          <w:szCs w:val="24"/>
        </w:rPr>
        <w:t xml:space="preserve">to the </w:t>
      </w:r>
      <w:r w:rsidR="001E5EA1" w:rsidRPr="0058499D">
        <w:rPr>
          <w:rFonts w:ascii="Times New Roman" w:hAnsi="Times New Roman"/>
          <w:sz w:val="24"/>
          <w:szCs w:val="24"/>
        </w:rPr>
        <w:t xml:space="preserve">opposing </w:t>
      </w:r>
      <w:r w:rsidR="00EF54B4" w:rsidRPr="0058499D">
        <w:rPr>
          <w:rFonts w:ascii="Times New Roman" w:hAnsi="Times New Roman"/>
          <w:sz w:val="24"/>
          <w:szCs w:val="24"/>
        </w:rPr>
        <w:t xml:space="preserve">affidavit </w:t>
      </w:r>
      <w:r w:rsidR="001E5EA1" w:rsidRPr="0058499D">
        <w:rPr>
          <w:rFonts w:ascii="Times New Roman" w:hAnsi="Times New Roman"/>
          <w:sz w:val="24"/>
          <w:szCs w:val="24"/>
        </w:rPr>
        <w:t xml:space="preserve">had no authority to depose to </w:t>
      </w:r>
      <w:r w:rsidR="007D153B" w:rsidRPr="0058499D">
        <w:rPr>
          <w:rFonts w:ascii="Times New Roman" w:hAnsi="Times New Roman"/>
          <w:sz w:val="24"/>
          <w:szCs w:val="24"/>
        </w:rPr>
        <w:t xml:space="preserve">such </w:t>
      </w:r>
      <w:r w:rsidR="001E5EA1" w:rsidRPr="0058499D">
        <w:rPr>
          <w:rFonts w:ascii="Times New Roman" w:hAnsi="Times New Roman"/>
          <w:sz w:val="24"/>
          <w:szCs w:val="24"/>
        </w:rPr>
        <w:t>affidavit</w:t>
      </w:r>
      <w:r w:rsidR="00001FC8" w:rsidRPr="0058499D">
        <w:rPr>
          <w:rFonts w:ascii="Times New Roman" w:hAnsi="Times New Roman"/>
          <w:sz w:val="24"/>
          <w:szCs w:val="24"/>
        </w:rPr>
        <w:t xml:space="preserve"> as no resolution was attached to the opposing affidavit</w:t>
      </w:r>
      <w:r w:rsidR="001E5EA1" w:rsidRPr="0058499D">
        <w:rPr>
          <w:rFonts w:ascii="Times New Roman" w:hAnsi="Times New Roman"/>
          <w:sz w:val="24"/>
          <w:szCs w:val="24"/>
        </w:rPr>
        <w:t>.</w:t>
      </w:r>
      <w:r w:rsidR="003634A1" w:rsidRPr="0058499D">
        <w:rPr>
          <w:rFonts w:ascii="Times New Roman" w:hAnsi="Times New Roman"/>
          <w:sz w:val="24"/>
          <w:szCs w:val="24"/>
        </w:rPr>
        <w:t xml:space="preserve">  Mr. </w:t>
      </w:r>
      <w:r w:rsidR="003634A1" w:rsidRPr="00AA2D33">
        <w:rPr>
          <w:rFonts w:ascii="Times New Roman" w:hAnsi="Times New Roman"/>
          <w:i/>
          <w:iCs/>
          <w:sz w:val="24"/>
          <w:szCs w:val="24"/>
        </w:rPr>
        <w:t>Marange</w:t>
      </w:r>
      <w:r w:rsidR="003634A1" w:rsidRPr="0058499D">
        <w:rPr>
          <w:rFonts w:ascii="Times New Roman" w:hAnsi="Times New Roman"/>
          <w:sz w:val="24"/>
          <w:szCs w:val="24"/>
        </w:rPr>
        <w:t xml:space="preserve">, on behalf of the </w:t>
      </w:r>
      <w:r>
        <w:rPr>
          <w:rFonts w:ascii="Times New Roman" w:hAnsi="Times New Roman"/>
          <w:sz w:val="24"/>
          <w:szCs w:val="24"/>
        </w:rPr>
        <w:t>r</w:t>
      </w:r>
      <w:r w:rsidR="003634A1" w:rsidRPr="0058499D">
        <w:rPr>
          <w:rFonts w:ascii="Times New Roman" w:hAnsi="Times New Roman"/>
          <w:sz w:val="24"/>
          <w:szCs w:val="24"/>
        </w:rPr>
        <w:t>espondent, argued that</w:t>
      </w:r>
      <w:r w:rsidR="00F33A1E" w:rsidRPr="0058499D">
        <w:rPr>
          <w:rFonts w:ascii="Times New Roman" w:hAnsi="Times New Roman"/>
          <w:sz w:val="24"/>
          <w:szCs w:val="24"/>
        </w:rPr>
        <w:t xml:space="preserve"> not all circumstances would require the production of the resolution.</w:t>
      </w:r>
      <w:r w:rsidR="007D153B" w:rsidRPr="0058499D">
        <w:rPr>
          <w:rFonts w:ascii="Times New Roman" w:hAnsi="Times New Roman"/>
          <w:sz w:val="24"/>
          <w:szCs w:val="24"/>
        </w:rPr>
        <w:t xml:space="preserve"> </w:t>
      </w:r>
      <w:r w:rsidR="00F33A1E" w:rsidRPr="0058499D">
        <w:rPr>
          <w:rFonts w:ascii="Times New Roman" w:hAnsi="Times New Roman"/>
          <w:sz w:val="24"/>
          <w:szCs w:val="24"/>
        </w:rPr>
        <w:t xml:space="preserve">Mr. </w:t>
      </w:r>
      <w:r w:rsidR="00F33A1E" w:rsidRPr="00AA2D33">
        <w:rPr>
          <w:rFonts w:ascii="Times New Roman" w:hAnsi="Times New Roman"/>
          <w:i/>
          <w:iCs/>
          <w:sz w:val="24"/>
          <w:szCs w:val="24"/>
        </w:rPr>
        <w:t xml:space="preserve">Marange </w:t>
      </w:r>
      <w:r w:rsidR="007D153B" w:rsidRPr="0058499D">
        <w:rPr>
          <w:rFonts w:ascii="Times New Roman" w:hAnsi="Times New Roman"/>
          <w:sz w:val="24"/>
          <w:szCs w:val="24"/>
        </w:rPr>
        <w:t xml:space="preserve">further contended </w:t>
      </w:r>
      <w:r w:rsidR="00F33A1E" w:rsidRPr="0058499D">
        <w:rPr>
          <w:rFonts w:ascii="Times New Roman" w:hAnsi="Times New Roman"/>
          <w:sz w:val="24"/>
          <w:szCs w:val="24"/>
        </w:rPr>
        <w:t xml:space="preserve">that the deponent </w:t>
      </w:r>
      <w:r w:rsidR="00C77928">
        <w:rPr>
          <w:rFonts w:ascii="Times New Roman" w:hAnsi="Times New Roman"/>
          <w:sz w:val="24"/>
          <w:szCs w:val="24"/>
        </w:rPr>
        <w:t>of</w:t>
      </w:r>
      <w:r w:rsidR="00F33A1E" w:rsidRPr="0058499D">
        <w:rPr>
          <w:rFonts w:ascii="Times New Roman" w:hAnsi="Times New Roman"/>
          <w:sz w:val="24"/>
          <w:szCs w:val="24"/>
        </w:rPr>
        <w:t xml:space="preserve"> the opposing affidavit was qualified to depose to the opposing </w:t>
      </w:r>
      <w:r w:rsidR="007D153B" w:rsidRPr="0058499D">
        <w:rPr>
          <w:rFonts w:ascii="Times New Roman" w:hAnsi="Times New Roman"/>
          <w:sz w:val="24"/>
          <w:szCs w:val="24"/>
        </w:rPr>
        <w:t xml:space="preserve">affidavit </w:t>
      </w:r>
      <w:r w:rsidR="00F33A1E" w:rsidRPr="0058499D">
        <w:rPr>
          <w:rFonts w:ascii="Times New Roman" w:hAnsi="Times New Roman"/>
          <w:sz w:val="24"/>
          <w:szCs w:val="24"/>
        </w:rPr>
        <w:t xml:space="preserve">as he had the knowledge of the facts required in this </w:t>
      </w:r>
      <w:r w:rsidR="0007257F" w:rsidRPr="0058499D">
        <w:rPr>
          <w:rFonts w:ascii="Times New Roman" w:hAnsi="Times New Roman"/>
          <w:sz w:val="24"/>
          <w:szCs w:val="24"/>
        </w:rPr>
        <w:t>matter. Mr</w:t>
      </w:r>
      <w:r w:rsidR="00754CC7" w:rsidRPr="0058499D">
        <w:rPr>
          <w:rFonts w:ascii="Times New Roman" w:hAnsi="Times New Roman"/>
          <w:sz w:val="24"/>
          <w:szCs w:val="24"/>
        </w:rPr>
        <w:t xml:space="preserve">. </w:t>
      </w:r>
      <w:r w:rsidR="00754CC7" w:rsidRPr="00AA2D33">
        <w:rPr>
          <w:rFonts w:ascii="Times New Roman" w:hAnsi="Times New Roman"/>
          <w:i/>
          <w:iCs/>
          <w:sz w:val="24"/>
          <w:szCs w:val="24"/>
        </w:rPr>
        <w:t>Marange</w:t>
      </w:r>
      <w:r w:rsidR="00754CC7" w:rsidRPr="0058499D">
        <w:rPr>
          <w:rFonts w:ascii="Times New Roman" w:hAnsi="Times New Roman"/>
          <w:sz w:val="24"/>
          <w:szCs w:val="24"/>
        </w:rPr>
        <w:t xml:space="preserve"> referred the court to the case of </w:t>
      </w:r>
      <w:r w:rsidR="00754CC7" w:rsidRPr="000E4126">
        <w:rPr>
          <w:rFonts w:ascii="Times New Roman" w:hAnsi="Times New Roman"/>
          <w:i/>
          <w:iCs/>
          <w:sz w:val="24"/>
          <w:szCs w:val="24"/>
        </w:rPr>
        <w:t xml:space="preserve">BANC ABC </w:t>
      </w:r>
      <w:r w:rsidR="000E4126">
        <w:rPr>
          <w:rFonts w:ascii="Times New Roman" w:hAnsi="Times New Roman"/>
          <w:i/>
          <w:iCs/>
          <w:sz w:val="24"/>
          <w:szCs w:val="24"/>
        </w:rPr>
        <w:t>v</w:t>
      </w:r>
      <w:r w:rsidR="00754CC7" w:rsidRPr="000E4126">
        <w:rPr>
          <w:rFonts w:ascii="Times New Roman" w:hAnsi="Times New Roman"/>
          <w:i/>
          <w:iCs/>
          <w:sz w:val="24"/>
          <w:szCs w:val="24"/>
        </w:rPr>
        <w:t xml:space="preserve"> PWC Motors and Ors</w:t>
      </w:r>
      <w:r w:rsidR="00754CC7" w:rsidRPr="0058499D">
        <w:rPr>
          <w:rStyle w:val="FootnoteReference"/>
          <w:rFonts w:ascii="Times New Roman" w:hAnsi="Times New Roman"/>
          <w:sz w:val="24"/>
          <w:szCs w:val="24"/>
        </w:rPr>
        <w:footnoteReference w:id="1"/>
      </w:r>
      <w:r w:rsidR="00754CC7" w:rsidRPr="0058499D">
        <w:rPr>
          <w:rFonts w:ascii="Times New Roman" w:hAnsi="Times New Roman"/>
          <w:sz w:val="24"/>
          <w:szCs w:val="24"/>
        </w:rPr>
        <w:t xml:space="preserve">, where </w:t>
      </w:r>
      <w:r w:rsidR="007D153B" w:rsidRPr="00AA2D33">
        <w:rPr>
          <w:rFonts w:ascii="Times New Roman" w:hAnsi="Times New Roman"/>
          <w:iCs/>
          <w:smallCaps/>
          <w:sz w:val="24"/>
          <w:szCs w:val="24"/>
        </w:rPr>
        <w:t>Mathonsi J</w:t>
      </w:r>
      <w:r w:rsidR="007D153B" w:rsidRPr="0058499D">
        <w:rPr>
          <w:rFonts w:ascii="Times New Roman" w:hAnsi="Times New Roman"/>
          <w:sz w:val="24"/>
          <w:szCs w:val="24"/>
        </w:rPr>
        <w:t xml:space="preserve">, as he then was, </w:t>
      </w:r>
      <w:r w:rsidR="00754CC7" w:rsidRPr="0058499D">
        <w:rPr>
          <w:rFonts w:ascii="Times New Roman" w:hAnsi="Times New Roman"/>
          <w:sz w:val="24"/>
          <w:szCs w:val="24"/>
        </w:rPr>
        <w:t>pertinently commented as follows:</w:t>
      </w:r>
      <w:r w:rsidR="003634A1" w:rsidRPr="0058499D">
        <w:rPr>
          <w:rFonts w:ascii="Times New Roman" w:hAnsi="Times New Roman"/>
          <w:sz w:val="24"/>
          <w:szCs w:val="24"/>
        </w:rPr>
        <w:t xml:space="preserve"> </w:t>
      </w:r>
    </w:p>
    <w:p w14:paraId="6301F06F" w14:textId="77777777" w:rsidR="00754CC7" w:rsidRPr="00AA2D33" w:rsidRDefault="00754CC7" w:rsidP="0058499D">
      <w:pPr>
        <w:pStyle w:val="NoSpacing"/>
        <w:ind w:left="720"/>
        <w:jc w:val="both"/>
        <w:rPr>
          <w:sz w:val="22"/>
          <w:szCs w:val="22"/>
          <w:lang w:val="en-GB"/>
        </w:rPr>
      </w:pPr>
      <w:r w:rsidRPr="00AA2D33">
        <w:rPr>
          <w:sz w:val="22"/>
          <w:szCs w:val="22"/>
        </w:rPr>
        <w:t>“</w:t>
      </w:r>
      <w:r w:rsidRPr="00AA2D33">
        <w:rPr>
          <w:sz w:val="22"/>
          <w:szCs w:val="22"/>
          <w:lang w:val="en-GB"/>
        </w:rPr>
        <w:t xml:space="preserve">To my mind, the affidavit of Pfukwa meets all the requirements of Rule 64 and he fell within the category of persons who could swear positively to the facts; </w:t>
      </w:r>
      <w:r w:rsidRPr="00AA2D33">
        <w:rPr>
          <w:i/>
          <w:sz w:val="22"/>
          <w:szCs w:val="22"/>
          <w:lang w:val="en-GB"/>
        </w:rPr>
        <w:t>Bubye Minerals (Pvt) Ltd &amp;</w:t>
      </w:r>
      <w:r w:rsidRPr="00AA2D33">
        <w:rPr>
          <w:sz w:val="22"/>
          <w:szCs w:val="22"/>
          <w:lang w:val="en-GB"/>
        </w:rPr>
        <w:t xml:space="preserve"> </w:t>
      </w:r>
      <w:r w:rsidRPr="00AA2D33">
        <w:rPr>
          <w:i/>
          <w:sz w:val="22"/>
          <w:szCs w:val="22"/>
          <w:lang w:val="en-GB"/>
        </w:rPr>
        <w:t>Anor v Rani International Ltd</w:t>
      </w:r>
      <w:r w:rsidRPr="00AA2D33">
        <w:rPr>
          <w:sz w:val="22"/>
          <w:szCs w:val="22"/>
          <w:lang w:val="en-GB"/>
        </w:rPr>
        <w:t xml:space="preserve"> 2007 (1) ZLR 22 (S) 25B.</w:t>
      </w:r>
    </w:p>
    <w:p w14:paraId="5C71AEA2" w14:textId="77777777" w:rsidR="00754CC7" w:rsidRPr="00AA2D33" w:rsidRDefault="00754CC7" w:rsidP="0058499D">
      <w:pPr>
        <w:pStyle w:val="NoSpacing"/>
        <w:ind w:left="720"/>
        <w:jc w:val="both"/>
        <w:rPr>
          <w:sz w:val="22"/>
          <w:szCs w:val="22"/>
          <w:lang w:val="en-GB"/>
        </w:rPr>
      </w:pPr>
      <w:r w:rsidRPr="00AA2D33">
        <w:rPr>
          <w:sz w:val="22"/>
          <w:szCs w:val="22"/>
          <w:lang w:val="en-GB"/>
        </w:rPr>
        <w:t xml:space="preserve">I am aware that there is authority for demanding that a company official must produce proof of authority to represent the company in the form of a company resolution; </w:t>
      </w:r>
      <w:r w:rsidRPr="00AA2D33">
        <w:rPr>
          <w:i/>
          <w:sz w:val="22"/>
          <w:szCs w:val="22"/>
          <w:lang w:val="en-GB"/>
        </w:rPr>
        <w:t>South Africa</w:t>
      </w:r>
      <w:r w:rsidRPr="00AA2D33">
        <w:rPr>
          <w:sz w:val="22"/>
          <w:szCs w:val="22"/>
          <w:lang w:val="en-GB"/>
        </w:rPr>
        <w:t xml:space="preserve"> </w:t>
      </w:r>
      <w:r w:rsidRPr="00AA2D33">
        <w:rPr>
          <w:i/>
          <w:sz w:val="22"/>
          <w:szCs w:val="22"/>
          <w:lang w:val="en-GB"/>
        </w:rPr>
        <w:t>Milling Company (Pvt) Ltd v Reddy 1980(3) SA 431; South African Allied Workers Union &amp; Others v De Klerk N.O &amp; Others</w:t>
      </w:r>
      <w:r w:rsidRPr="00AA2D33">
        <w:rPr>
          <w:sz w:val="22"/>
          <w:szCs w:val="22"/>
          <w:lang w:val="en-GB"/>
        </w:rPr>
        <w:t xml:space="preserve"> 1990 (3) SA 425.</w:t>
      </w:r>
    </w:p>
    <w:p w14:paraId="104574AA" w14:textId="77777777" w:rsidR="00754CC7" w:rsidRPr="00AA2D33" w:rsidRDefault="00754CC7" w:rsidP="0058499D">
      <w:pPr>
        <w:pStyle w:val="NoSpacing"/>
        <w:ind w:left="720"/>
        <w:jc w:val="both"/>
        <w:rPr>
          <w:sz w:val="22"/>
          <w:szCs w:val="22"/>
          <w:lang w:val="en-GB"/>
        </w:rPr>
      </w:pPr>
      <w:r w:rsidRPr="00AA2D33">
        <w:rPr>
          <w:sz w:val="22"/>
          <w:szCs w:val="22"/>
          <w:lang w:val="en-GB"/>
        </w:rPr>
        <w:lastRenderedPageBreak/>
        <w:t xml:space="preserve">However, it occurs to me that that form of proof is not necessary in every case as each case must be considered on its own merits. </w:t>
      </w:r>
      <w:r w:rsidRPr="00AA2D33">
        <w:rPr>
          <w:i/>
          <w:sz w:val="22"/>
          <w:szCs w:val="22"/>
          <w:lang w:val="en-GB"/>
        </w:rPr>
        <w:t>Mall (Cape) (Pvt) Ltd v Merino KO-Oprasie Bpk</w:t>
      </w:r>
      <w:r w:rsidRPr="00AA2D33">
        <w:rPr>
          <w:sz w:val="22"/>
          <w:szCs w:val="22"/>
          <w:lang w:val="en-GB"/>
        </w:rPr>
        <w:t xml:space="preserve"> 1957 (2) SA 345 </w:t>
      </w:r>
      <w:r w:rsidR="0007257F" w:rsidRPr="00AA2D33">
        <w:rPr>
          <w:sz w:val="22"/>
          <w:szCs w:val="22"/>
          <w:lang w:val="en-GB"/>
        </w:rPr>
        <w:t>(C</w:t>
      </w:r>
      <w:r w:rsidRPr="00AA2D33">
        <w:rPr>
          <w:sz w:val="22"/>
          <w:szCs w:val="22"/>
          <w:lang w:val="en-GB"/>
        </w:rPr>
        <w:t>). All the court is required to do is satisfy itself that enough evidence has been placed before it to show that it is indeed the applicant which is litigating and not an unauthorised person.</w:t>
      </w:r>
    </w:p>
    <w:p w14:paraId="5399623E" w14:textId="77777777" w:rsidR="00754CC7" w:rsidRPr="00AA2D33" w:rsidRDefault="00754CC7" w:rsidP="00AA2D33">
      <w:pPr>
        <w:pStyle w:val="NoSpacing"/>
        <w:spacing w:after="240"/>
        <w:ind w:left="720"/>
        <w:jc w:val="both"/>
        <w:rPr>
          <w:sz w:val="22"/>
          <w:szCs w:val="22"/>
          <w:lang w:val="en-GB"/>
        </w:rPr>
      </w:pPr>
      <w:r w:rsidRPr="00AA2D33">
        <w:rPr>
          <w:sz w:val="22"/>
          <w:szCs w:val="22"/>
          <w:lang w:val="en-GB"/>
        </w:rPr>
        <w:t xml:space="preserve">To my mind the attachment of a resolution has been blown out of proportion and taken to ridiculous levels. Where the deponent of an affidavit states that he has the authority of the company to represent it, there is no reason for the court to disbelieve him unless it is shown evidence to the contrary. Where no such contrary evidence is produced the omission of a company resolution cannot be fatal to the application. I therefore reject the point </w:t>
      </w:r>
      <w:r w:rsidRPr="00AA2D33">
        <w:rPr>
          <w:i/>
          <w:sz w:val="22"/>
          <w:szCs w:val="22"/>
          <w:lang w:val="en-GB"/>
        </w:rPr>
        <w:t>in limine</w:t>
      </w:r>
      <w:r w:rsidRPr="00AA2D33">
        <w:rPr>
          <w:sz w:val="22"/>
          <w:szCs w:val="22"/>
          <w:lang w:val="en-GB"/>
        </w:rPr>
        <w:t>.”</w:t>
      </w:r>
    </w:p>
    <w:p w14:paraId="3E5ABF1D" w14:textId="77777777" w:rsidR="00FB5210" w:rsidRPr="0058499D" w:rsidRDefault="00AA2D33" w:rsidP="0058499D">
      <w:pPr>
        <w:pStyle w:val="NoSpacing"/>
        <w:spacing w:line="360" w:lineRule="auto"/>
        <w:jc w:val="both"/>
        <w:rPr>
          <w:lang w:val="en-GB"/>
        </w:rPr>
      </w:pPr>
      <w:r>
        <w:rPr>
          <w:lang w:val="en-GB"/>
        </w:rPr>
        <w:tab/>
      </w:r>
      <w:r w:rsidR="0007257F" w:rsidRPr="0058499D">
        <w:rPr>
          <w:lang w:val="en-GB"/>
        </w:rPr>
        <w:t>I do</w:t>
      </w:r>
      <w:r w:rsidR="008168D2" w:rsidRPr="0058499D">
        <w:rPr>
          <w:lang w:val="en-GB"/>
        </w:rPr>
        <w:t xml:space="preserve"> agree with the view of </w:t>
      </w:r>
      <w:r w:rsidR="005F05D9" w:rsidRPr="0058499D">
        <w:rPr>
          <w:lang w:val="en-GB"/>
        </w:rPr>
        <w:t xml:space="preserve">the </w:t>
      </w:r>
      <w:r w:rsidR="008168D2" w:rsidRPr="0058499D">
        <w:rPr>
          <w:lang w:val="en-GB"/>
        </w:rPr>
        <w:t>court</w:t>
      </w:r>
      <w:r w:rsidR="005F05D9" w:rsidRPr="0058499D">
        <w:rPr>
          <w:lang w:val="en-GB"/>
        </w:rPr>
        <w:t xml:space="preserve"> in the case </w:t>
      </w:r>
      <w:r w:rsidR="00366BD0" w:rsidRPr="0058499D">
        <w:rPr>
          <w:lang w:val="en-GB"/>
        </w:rPr>
        <w:t xml:space="preserve">of </w:t>
      </w:r>
      <w:r w:rsidR="005F05D9" w:rsidRPr="000E4126">
        <w:rPr>
          <w:i/>
          <w:iCs/>
          <w:lang w:val="en-GB"/>
        </w:rPr>
        <w:t>Banc ABC</w:t>
      </w:r>
      <w:r w:rsidR="005F05D9" w:rsidRPr="0058499D">
        <w:rPr>
          <w:lang w:val="en-GB"/>
        </w:rPr>
        <w:t xml:space="preserve"> (</w:t>
      </w:r>
      <w:r w:rsidR="005F05D9" w:rsidRPr="0058499D">
        <w:rPr>
          <w:i/>
          <w:lang w:val="en-GB"/>
        </w:rPr>
        <w:t>supra</w:t>
      </w:r>
      <w:r w:rsidR="005F05D9" w:rsidRPr="0058499D">
        <w:rPr>
          <w:lang w:val="en-GB"/>
        </w:rPr>
        <w:t>). The deponent had the capacity to swear positively to the facts</w:t>
      </w:r>
      <w:r w:rsidR="00366BD0" w:rsidRPr="0058499D">
        <w:rPr>
          <w:lang w:val="en-GB"/>
        </w:rPr>
        <w:t>, in my view</w:t>
      </w:r>
      <w:r w:rsidR="005F05D9" w:rsidRPr="0058499D">
        <w:rPr>
          <w:lang w:val="en-GB"/>
        </w:rPr>
        <w:t xml:space="preserve">. No contrary evidence was placed before the court suggesting </w:t>
      </w:r>
      <w:r w:rsidR="00FB5210" w:rsidRPr="0058499D">
        <w:rPr>
          <w:lang w:val="en-GB"/>
        </w:rPr>
        <w:t xml:space="preserve">that </w:t>
      </w:r>
      <w:r w:rsidR="0007257F" w:rsidRPr="0058499D">
        <w:rPr>
          <w:lang w:val="en-GB"/>
        </w:rPr>
        <w:t>the Respondent</w:t>
      </w:r>
      <w:r w:rsidR="005F05D9" w:rsidRPr="0058499D">
        <w:rPr>
          <w:lang w:val="en-GB"/>
        </w:rPr>
        <w:t xml:space="preserve"> is not the one </w:t>
      </w:r>
      <w:r w:rsidR="00FB5210" w:rsidRPr="0058499D">
        <w:rPr>
          <w:lang w:val="en-GB"/>
        </w:rPr>
        <w:t>litigating in this matter</w:t>
      </w:r>
      <w:r w:rsidR="005F05D9" w:rsidRPr="0058499D">
        <w:rPr>
          <w:lang w:val="en-GB"/>
        </w:rPr>
        <w:t>.</w:t>
      </w:r>
    </w:p>
    <w:p w14:paraId="3A62862A" w14:textId="77777777" w:rsidR="00C9145C" w:rsidRPr="0058499D" w:rsidRDefault="00AA2D33" w:rsidP="0058499D">
      <w:pPr>
        <w:pStyle w:val="NoSpacing"/>
        <w:spacing w:line="360" w:lineRule="auto"/>
        <w:jc w:val="both"/>
        <w:rPr>
          <w:lang w:val="en-GB"/>
        </w:rPr>
      </w:pPr>
      <w:r>
        <w:rPr>
          <w:lang w:val="en-GB"/>
        </w:rPr>
        <w:tab/>
      </w:r>
      <w:r w:rsidR="00EC4240" w:rsidRPr="0058499D">
        <w:rPr>
          <w:lang w:val="en-GB"/>
        </w:rPr>
        <w:t xml:space="preserve">Mr </w:t>
      </w:r>
      <w:r w:rsidR="00EC4240" w:rsidRPr="00AA2D33">
        <w:rPr>
          <w:i/>
          <w:iCs/>
          <w:lang w:val="en-GB"/>
        </w:rPr>
        <w:t>Tapera</w:t>
      </w:r>
      <w:r w:rsidR="00EC4240" w:rsidRPr="0058499D">
        <w:rPr>
          <w:lang w:val="en-GB"/>
        </w:rPr>
        <w:t xml:space="preserve"> also raised </w:t>
      </w:r>
      <w:r w:rsidR="0007257F" w:rsidRPr="0058499D">
        <w:rPr>
          <w:lang w:val="en-GB"/>
        </w:rPr>
        <w:t>a further</w:t>
      </w:r>
      <w:r w:rsidR="00EC4240" w:rsidRPr="0058499D">
        <w:rPr>
          <w:lang w:val="en-GB"/>
        </w:rPr>
        <w:t xml:space="preserve"> point </w:t>
      </w:r>
      <w:r w:rsidR="00EC4240" w:rsidRPr="0058499D">
        <w:rPr>
          <w:i/>
          <w:lang w:val="en-GB"/>
        </w:rPr>
        <w:t>in limine</w:t>
      </w:r>
      <w:r w:rsidR="00EC4240" w:rsidRPr="0058499D">
        <w:rPr>
          <w:lang w:val="en-GB"/>
        </w:rPr>
        <w:t xml:space="preserve"> through oral </w:t>
      </w:r>
      <w:r w:rsidR="0007257F" w:rsidRPr="0058499D">
        <w:rPr>
          <w:lang w:val="en-GB"/>
        </w:rPr>
        <w:t>submissions to</w:t>
      </w:r>
      <w:r w:rsidR="00BA034B" w:rsidRPr="0058499D">
        <w:rPr>
          <w:lang w:val="en-GB"/>
        </w:rPr>
        <w:t xml:space="preserve"> the </w:t>
      </w:r>
      <w:r w:rsidR="0007257F" w:rsidRPr="0058499D">
        <w:rPr>
          <w:lang w:val="en-GB"/>
        </w:rPr>
        <w:t>effect that</w:t>
      </w:r>
      <w:r w:rsidR="00F419C7" w:rsidRPr="0058499D">
        <w:rPr>
          <w:lang w:val="en-GB"/>
        </w:rPr>
        <w:t xml:space="preserve"> </w:t>
      </w:r>
      <w:r w:rsidR="00E14908" w:rsidRPr="0058499D">
        <w:rPr>
          <w:lang w:val="en-GB"/>
        </w:rPr>
        <w:t xml:space="preserve">the </w:t>
      </w:r>
      <w:r>
        <w:rPr>
          <w:lang w:val="en-GB"/>
        </w:rPr>
        <w:t>r</w:t>
      </w:r>
      <w:r w:rsidR="00E14908" w:rsidRPr="0058499D">
        <w:rPr>
          <w:lang w:val="en-GB"/>
        </w:rPr>
        <w:t xml:space="preserve">espondent’s Heads were filed out of time. However, this was correctly abandoned after it was discovered that the Heads of Argument for the </w:t>
      </w:r>
      <w:r>
        <w:rPr>
          <w:lang w:val="en-GB"/>
        </w:rPr>
        <w:t>r</w:t>
      </w:r>
      <w:r w:rsidR="00E14908" w:rsidRPr="0058499D">
        <w:rPr>
          <w:lang w:val="en-GB"/>
        </w:rPr>
        <w:t xml:space="preserve">espondent were filed on 14 July 2022 while the </w:t>
      </w:r>
      <w:r>
        <w:rPr>
          <w:lang w:val="en-GB"/>
        </w:rPr>
        <w:t>a</w:t>
      </w:r>
      <w:r w:rsidR="00E14908" w:rsidRPr="0058499D">
        <w:rPr>
          <w:lang w:val="en-GB"/>
        </w:rPr>
        <w:t xml:space="preserve">pplicant’s Heads of Argument were filed on 30 June 2022. In light of this, </w:t>
      </w:r>
      <w:r w:rsidR="0007257F" w:rsidRPr="0058499D">
        <w:rPr>
          <w:lang w:val="en-GB"/>
        </w:rPr>
        <w:t xml:space="preserve">the </w:t>
      </w:r>
      <w:r>
        <w:rPr>
          <w:lang w:val="en-GB"/>
        </w:rPr>
        <w:t>r</w:t>
      </w:r>
      <w:r w:rsidR="0007257F" w:rsidRPr="0058499D">
        <w:rPr>
          <w:lang w:val="en-GB"/>
        </w:rPr>
        <w:t>espondent’s</w:t>
      </w:r>
      <w:r w:rsidR="00E14908" w:rsidRPr="0058499D">
        <w:rPr>
          <w:lang w:val="en-GB"/>
        </w:rPr>
        <w:t xml:space="preserve"> Heads of Argument were filed within the prescribed timelines.</w:t>
      </w:r>
    </w:p>
    <w:p w14:paraId="70C1CFCC" w14:textId="77777777" w:rsidR="00961C84" w:rsidRPr="0058499D" w:rsidRDefault="00AA2D33" w:rsidP="0058499D">
      <w:pPr>
        <w:pStyle w:val="NoSpacing"/>
        <w:spacing w:line="360" w:lineRule="auto"/>
        <w:jc w:val="both"/>
        <w:rPr>
          <w:lang w:val="en-GB"/>
        </w:rPr>
      </w:pPr>
      <w:r>
        <w:rPr>
          <w:lang w:val="en-GB"/>
        </w:rPr>
        <w:tab/>
      </w:r>
      <w:r w:rsidR="00C9145C" w:rsidRPr="0058499D">
        <w:rPr>
          <w:lang w:val="en-GB"/>
        </w:rPr>
        <w:t xml:space="preserve">On merits, the </w:t>
      </w:r>
      <w:r>
        <w:rPr>
          <w:lang w:val="en-GB"/>
        </w:rPr>
        <w:t>r</w:t>
      </w:r>
      <w:r w:rsidR="00C9145C" w:rsidRPr="0058499D">
        <w:rPr>
          <w:lang w:val="en-GB"/>
        </w:rPr>
        <w:t xml:space="preserve">espondent argued that the 40 ft container was intended for commercial use and not for personal use as alleged by the </w:t>
      </w:r>
      <w:r>
        <w:rPr>
          <w:lang w:val="en-GB"/>
        </w:rPr>
        <w:t>a</w:t>
      </w:r>
      <w:r w:rsidR="00C9145C" w:rsidRPr="0058499D">
        <w:rPr>
          <w:lang w:val="en-GB"/>
        </w:rPr>
        <w:t>pplicant.</w:t>
      </w:r>
      <w:r w:rsidR="005C2653" w:rsidRPr="0058499D">
        <w:rPr>
          <w:lang w:val="en-GB"/>
        </w:rPr>
        <w:t xml:space="preserve"> </w:t>
      </w:r>
      <w:r w:rsidR="00A75412" w:rsidRPr="0058499D">
        <w:rPr>
          <w:lang w:val="en-GB"/>
        </w:rPr>
        <w:t xml:space="preserve">On this basis, </w:t>
      </w:r>
      <w:r w:rsidR="0007257F" w:rsidRPr="0058499D">
        <w:rPr>
          <w:lang w:val="en-GB"/>
        </w:rPr>
        <w:t>the Commissioner</w:t>
      </w:r>
      <w:r w:rsidR="00A75412" w:rsidRPr="0058499D">
        <w:rPr>
          <w:lang w:val="en-GB"/>
        </w:rPr>
        <w:t xml:space="preserve"> General</w:t>
      </w:r>
      <w:r w:rsidR="00684EF1" w:rsidRPr="0058499D">
        <w:rPr>
          <w:lang w:val="en-GB"/>
        </w:rPr>
        <w:t xml:space="preserve"> did not err by denying duty rebate </w:t>
      </w:r>
      <w:r w:rsidR="00961C84" w:rsidRPr="0058499D">
        <w:rPr>
          <w:lang w:val="en-GB"/>
        </w:rPr>
        <w:t xml:space="preserve">on </w:t>
      </w:r>
      <w:r w:rsidR="00684EF1" w:rsidRPr="0058499D">
        <w:rPr>
          <w:lang w:val="en-GB"/>
        </w:rPr>
        <w:t xml:space="preserve">the 40 ft </w:t>
      </w:r>
      <w:r w:rsidR="0007257F" w:rsidRPr="0058499D">
        <w:rPr>
          <w:lang w:val="en-GB"/>
        </w:rPr>
        <w:t>container,</w:t>
      </w:r>
      <w:r w:rsidR="005C2653" w:rsidRPr="0058499D">
        <w:rPr>
          <w:lang w:val="en-GB"/>
        </w:rPr>
        <w:t xml:space="preserve"> according to the </w:t>
      </w:r>
      <w:r>
        <w:rPr>
          <w:lang w:val="en-GB"/>
        </w:rPr>
        <w:t>r</w:t>
      </w:r>
      <w:r w:rsidR="005C2653" w:rsidRPr="0058499D">
        <w:rPr>
          <w:lang w:val="en-GB"/>
        </w:rPr>
        <w:t>espondent</w:t>
      </w:r>
      <w:r w:rsidR="00684EF1" w:rsidRPr="0058499D">
        <w:rPr>
          <w:lang w:val="en-GB"/>
        </w:rPr>
        <w:t>.</w:t>
      </w:r>
      <w:r w:rsidR="00961C84" w:rsidRPr="0058499D">
        <w:rPr>
          <w:lang w:val="en-GB"/>
        </w:rPr>
        <w:t xml:space="preserve"> </w:t>
      </w:r>
    </w:p>
    <w:p w14:paraId="564DBD71" w14:textId="77777777" w:rsidR="00FB5210" w:rsidRPr="0058499D" w:rsidRDefault="00AA2D33" w:rsidP="0058499D">
      <w:pPr>
        <w:pStyle w:val="NoSpacing"/>
        <w:spacing w:line="360" w:lineRule="auto"/>
        <w:jc w:val="both"/>
        <w:rPr>
          <w:lang w:val="en-GB"/>
        </w:rPr>
      </w:pPr>
      <w:r>
        <w:rPr>
          <w:lang w:val="en-GB"/>
        </w:rPr>
        <w:tab/>
      </w:r>
      <w:r w:rsidR="00961C84" w:rsidRPr="0058499D">
        <w:rPr>
          <w:lang w:val="en-GB"/>
        </w:rPr>
        <w:t xml:space="preserve">The </w:t>
      </w:r>
      <w:r>
        <w:rPr>
          <w:lang w:val="en-GB"/>
        </w:rPr>
        <w:t>r</w:t>
      </w:r>
      <w:r w:rsidR="0007257F" w:rsidRPr="0058499D">
        <w:rPr>
          <w:lang w:val="en-GB"/>
        </w:rPr>
        <w:t>espondent additionally</w:t>
      </w:r>
      <w:r w:rsidR="00F03CFA" w:rsidRPr="0058499D">
        <w:rPr>
          <w:lang w:val="en-GB"/>
        </w:rPr>
        <w:t xml:space="preserve"> </w:t>
      </w:r>
      <w:r w:rsidR="00961C84" w:rsidRPr="0058499D">
        <w:rPr>
          <w:lang w:val="en-GB"/>
        </w:rPr>
        <w:t xml:space="preserve">alleged that the application does not satisfy the requirements for the application for condonation. It contended that the </w:t>
      </w:r>
      <w:r>
        <w:rPr>
          <w:lang w:val="en-GB"/>
        </w:rPr>
        <w:t>a</w:t>
      </w:r>
      <w:r w:rsidR="00961C84" w:rsidRPr="0058499D">
        <w:rPr>
          <w:lang w:val="en-GB"/>
        </w:rPr>
        <w:t xml:space="preserve">pplicant failed to </w:t>
      </w:r>
      <w:r w:rsidR="005C2653" w:rsidRPr="0058499D">
        <w:rPr>
          <w:lang w:val="en-GB"/>
        </w:rPr>
        <w:t xml:space="preserve">offer </w:t>
      </w:r>
      <w:r w:rsidR="00961C84" w:rsidRPr="0058499D">
        <w:rPr>
          <w:lang w:val="en-GB"/>
        </w:rPr>
        <w:t>a reasonable explanation for the delay.</w:t>
      </w:r>
      <w:r w:rsidR="00E7602E" w:rsidRPr="0058499D">
        <w:rPr>
          <w:lang w:val="en-GB"/>
        </w:rPr>
        <w:t xml:space="preserve"> Further, the </w:t>
      </w:r>
      <w:r>
        <w:rPr>
          <w:lang w:val="en-GB"/>
        </w:rPr>
        <w:t>r</w:t>
      </w:r>
      <w:r w:rsidR="0007257F" w:rsidRPr="0058499D">
        <w:rPr>
          <w:lang w:val="en-GB"/>
        </w:rPr>
        <w:t>espondent asserted</w:t>
      </w:r>
      <w:r w:rsidR="00CF790D" w:rsidRPr="0058499D">
        <w:rPr>
          <w:lang w:val="en-GB"/>
        </w:rPr>
        <w:t xml:space="preserve"> that the </w:t>
      </w:r>
      <w:r>
        <w:rPr>
          <w:lang w:val="en-GB"/>
        </w:rPr>
        <w:t>a</w:t>
      </w:r>
      <w:r w:rsidR="00CF790D" w:rsidRPr="0058499D">
        <w:rPr>
          <w:lang w:val="en-GB"/>
        </w:rPr>
        <w:t>pplicant has failed to specify the legally recognised ground upon which he seeks to have the Commissioner General’s decision reviewed by this court.</w:t>
      </w:r>
      <w:r w:rsidR="005C2653" w:rsidRPr="0058499D">
        <w:rPr>
          <w:lang w:val="en-GB"/>
        </w:rPr>
        <w:t xml:space="preserve"> On this basis, the </w:t>
      </w:r>
      <w:r>
        <w:rPr>
          <w:lang w:val="en-GB"/>
        </w:rPr>
        <w:t>r</w:t>
      </w:r>
      <w:r w:rsidR="005C2653" w:rsidRPr="0058499D">
        <w:rPr>
          <w:lang w:val="en-GB"/>
        </w:rPr>
        <w:t>espondent claimed that the intended application for review lacks merit and hence it prayed for the dismissal of the present application.</w:t>
      </w:r>
      <w:r w:rsidR="00CF790D" w:rsidRPr="0058499D">
        <w:rPr>
          <w:lang w:val="en-GB"/>
        </w:rPr>
        <w:t xml:space="preserve"> </w:t>
      </w:r>
    </w:p>
    <w:p w14:paraId="7F698D76" w14:textId="77777777" w:rsidR="00F6596F" w:rsidRPr="0058499D" w:rsidRDefault="00AA2D33" w:rsidP="00AA2D33">
      <w:pPr>
        <w:pStyle w:val="NoSpacing"/>
        <w:spacing w:after="240" w:line="360" w:lineRule="auto"/>
        <w:jc w:val="both"/>
        <w:rPr>
          <w:lang w:val="en-GB"/>
        </w:rPr>
      </w:pPr>
      <w:r>
        <w:rPr>
          <w:lang w:val="en-GB"/>
        </w:rPr>
        <w:tab/>
      </w:r>
      <w:r w:rsidR="00685AC5" w:rsidRPr="0058499D">
        <w:rPr>
          <w:lang w:val="en-GB"/>
        </w:rPr>
        <w:t>Having deal</w:t>
      </w:r>
      <w:r w:rsidR="00366BD0" w:rsidRPr="0058499D">
        <w:rPr>
          <w:lang w:val="en-GB"/>
        </w:rPr>
        <w:t>t</w:t>
      </w:r>
      <w:r w:rsidR="00685AC5" w:rsidRPr="0058499D">
        <w:rPr>
          <w:lang w:val="en-GB"/>
        </w:rPr>
        <w:t xml:space="preserve"> with all points </w:t>
      </w:r>
      <w:r w:rsidR="00685AC5" w:rsidRPr="0058499D">
        <w:rPr>
          <w:i/>
          <w:lang w:val="en-GB"/>
        </w:rPr>
        <w:t xml:space="preserve">in limine </w:t>
      </w:r>
      <w:r w:rsidR="00685AC5" w:rsidRPr="0058499D">
        <w:rPr>
          <w:lang w:val="en-GB"/>
        </w:rPr>
        <w:t xml:space="preserve">raised by the </w:t>
      </w:r>
      <w:r>
        <w:rPr>
          <w:lang w:val="en-GB"/>
        </w:rPr>
        <w:t>a</w:t>
      </w:r>
      <w:r w:rsidR="00FB5210" w:rsidRPr="0058499D">
        <w:rPr>
          <w:lang w:val="en-GB"/>
        </w:rPr>
        <w:t xml:space="preserve">pplicant in his answering affidavit, I will now shift </w:t>
      </w:r>
      <w:r w:rsidR="00366BD0" w:rsidRPr="0058499D">
        <w:rPr>
          <w:lang w:val="en-GB"/>
        </w:rPr>
        <w:t xml:space="preserve">my attention towards </w:t>
      </w:r>
      <w:r w:rsidR="00E14908" w:rsidRPr="0058499D">
        <w:rPr>
          <w:lang w:val="en-GB"/>
        </w:rPr>
        <w:t xml:space="preserve">the points </w:t>
      </w:r>
      <w:r w:rsidR="00E14908" w:rsidRPr="0058499D">
        <w:rPr>
          <w:i/>
          <w:lang w:val="en-GB"/>
        </w:rPr>
        <w:t>in limine</w:t>
      </w:r>
      <w:r w:rsidR="00E14908" w:rsidRPr="0058499D">
        <w:rPr>
          <w:lang w:val="en-GB"/>
        </w:rPr>
        <w:t xml:space="preserve"> raised by the</w:t>
      </w:r>
      <w:r w:rsidR="00993D64" w:rsidRPr="0058499D">
        <w:rPr>
          <w:lang w:val="en-GB"/>
        </w:rPr>
        <w:t xml:space="preserve"> </w:t>
      </w:r>
      <w:r>
        <w:rPr>
          <w:lang w:val="en-GB"/>
        </w:rPr>
        <w:t>r</w:t>
      </w:r>
      <w:r w:rsidR="00993D64" w:rsidRPr="0058499D">
        <w:rPr>
          <w:lang w:val="en-GB"/>
        </w:rPr>
        <w:t>espondent.</w:t>
      </w:r>
      <w:r w:rsidR="000737E6" w:rsidRPr="0058499D">
        <w:rPr>
          <w:lang w:val="en-GB"/>
        </w:rPr>
        <w:t xml:space="preserve"> In term</w:t>
      </w:r>
      <w:r w:rsidR="00366BD0" w:rsidRPr="0058499D">
        <w:rPr>
          <w:lang w:val="en-GB"/>
        </w:rPr>
        <w:t xml:space="preserve">s of the Customs and Excise </w:t>
      </w:r>
      <w:r w:rsidR="0007257F" w:rsidRPr="0058499D">
        <w:rPr>
          <w:lang w:val="en-GB"/>
        </w:rPr>
        <w:t>Act, the</w:t>
      </w:r>
      <w:r w:rsidR="000737E6" w:rsidRPr="0058499D">
        <w:rPr>
          <w:lang w:val="en-GB"/>
        </w:rPr>
        <w:t xml:space="preserve"> prescriptive</w:t>
      </w:r>
      <w:r w:rsidR="009C7473" w:rsidRPr="0058499D">
        <w:rPr>
          <w:lang w:val="en-GB"/>
        </w:rPr>
        <w:t xml:space="preserve"> period</w:t>
      </w:r>
      <w:r w:rsidR="00840EE5" w:rsidRPr="0058499D">
        <w:rPr>
          <w:lang w:val="en-GB"/>
        </w:rPr>
        <w:t xml:space="preserve"> for </w:t>
      </w:r>
      <w:r w:rsidR="00F6596F" w:rsidRPr="0058499D">
        <w:rPr>
          <w:lang w:val="en-GB"/>
        </w:rPr>
        <w:t>claiming the property forfeited is eight months. Section 196(2) of the Customs and Excise Act provides as follows:</w:t>
      </w:r>
    </w:p>
    <w:p w14:paraId="0F64D9E9" w14:textId="77777777" w:rsidR="004C1258" w:rsidRPr="00AA2D33" w:rsidRDefault="00F6596F" w:rsidP="00AA2D33">
      <w:pPr>
        <w:pStyle w:val="NoSpacing"/>
        <w:spacing w:after="240"/>
        <w:ind w:left="720"/>
        <w:jc w:val="both"/>
        <w:rPr>
          <w:sz w:val="22"/>
          <w:szCs w:val="22"/>
          <w:lang w:val="en-GB"/>
        </w:rPr>
      </w:pPr>
      <w:r w:rsidRPr="00AA2D33">
        <w:rPr>
          <w:sz w:val="22"/>
          <w:szCs w:val="22"/>
          <w:lang w:val="en-GB"/>
        </w:rPr>
        <w:t>“Subject to subsection (12) of section one hundred ninety-three</w:t>
      </w:r>
      <w:r w:rsidR="0007257F" w:rsidRPr="00AA2D33">
        <w:rPr>
          <w:sz w:val="22"/>
          <w:szCs w:val="22"/>
          <w:lang w:val="en-GB"/>
        </w:rPr>
        <w:t>, any</w:t>
      </w:r>
      <w:r w:rsidR="00CA2F06" w:rsidRPr="00AA2D33">
        <w:rPr>
          <w:sz w:val="22"/>
          <w:szCs w:val="22"/>
          <w:lang w:val="en-GB"/>
        </w:rPr>
        <w:t xml:space="preserve"> proceedings referred to in subsection (1) shall be brought within eight months after the cause thereof arose and if the </w:t>
      </w:r>
      <w:r w:rsidR="00366BD0" w:rsidRPr="00AA2D33">
        <w:rPr>
          <w:sz w:val="22"/>
          <w:szCs w:val="22"/>
          <w:lang w:val="en-GB"/>
        </w:rPr>
        <w:t xml:space="preserve">plaintiff </w:t>
      </w:r>
      <w:r w:rsidR="00CA2F06" w:rsidRPr="00AA2D33">
        <w:rPr>
          <w:sz w:val="22"/>
          <w:szCs w:val="22"/>
          <w:lang w:val="en-GB"/>
        </w:rPr>
        <w:t xml:space="preserve">discontinues the action or judgment is given against him, the   defendant shall receive as costs full indemnity for all expenses incurred by </w:t>
      </w:r>
      <w:r w:rsidR="0007257F" w:rsidRPr="00AA2D33">
        <w:rPr>
          <w:sz w:val="22"/>
          <w:szCs w:val="22"/>
          <w:lang w:val="en-GB"/>
        </w:rPr>
        <w:t xml:space="preserve">him in </w:t>
      </w:r>
      <w:r w:rsidR="00CA2F06" w:rsidRPr="00AA2D33">
        <w:rPr>
          <w:sz w:val="22"/>
          <w:szCs w:val="22"/>
          <w:lang w:val="en-GB"/>
        </w:rPr>
        <w:t>or in respect of the action and shall have such remedy for the same as any defendant in other cases where costs are given by the law.”</w:t>
      </w:r>
    </w:p>
    <w:p w14:paraId="2B0884CE" w14:textId="77777777" w:rsidR="00487168" w:rsidRPr="0058499D" w:rsidRDefault="00AA2D33" w:rsidP="00724C2F">
      <w:pPr>
        <w:pStyle w:val="NoSpacing"/>
        <w:spacing w:after="240" w:line="360" w:lineRule="auto"/>
        <w:jc w:val="both"/>
        <w:rPr>
          <w:lang w:val="en-GB"/>
        </w:rPr>
      </w:pPr>
      <w:r>
        <w:rPr>
          <w:lang w:val="en-GB"/>
        </w:rPr>
        <w:lastRenderedPageBreak/>
        <w:tab/>
      </w:r>
      <w:r w:rsidR="004C1258" w:rsidRPr="0058499D">
        <w:rPr>
          <w:lang w:val="en-GB"/>
        </w:rPr>
        <w:t xml:space="preserve">In the founding affidavit, the </w:t>
      </w:r>
      <w:r>
        <w:rPr>
          <w:lang w:val="en-GB"/>
        </w:rPr>
        <w:t>a</w:t>
      </w:r>
      <w:r w:rsidR="004C1258" w:rsidRPr="0058499D">
        <w:rPr>
          <w:lang w:val="en-GB"/>
        </w:rPr>
        <w:t xml:space="preserve">pplicant averred that he was served with </w:t>
      </w:r>
      <w:r w:rsidR="008947ED" w:rsidRPr="0058499D">
        <w:rPr>
          <w:lang w:val="en-GB"/>
        </w:rPr>
        <w:t xml:space="preserve">the </w:t>
      </w:r>
      <w:r w:rsidR="004C1258" w:rsidRPr="0058499D">
        <w:rPr>
          <w:lang w:val="en-GB"/>
        </w:rPr>
        <w:t xml:space="preserve">Commissioner General’s response on 21 June 2021. Reference is made to paragraph </w:t>
      </w:r>
      <w:r w:rsidR="00487168" w:rsidRPr="0058499D">
        <w:rPr>
          <w:lang w:val="en-GB"/>
        </w:rPr>
        <w:t xml:space="preserve">9 </w:t>
      </w:r>
      <w:r w:rsidR="004C1258" w:rsidRPr="0058499D">
        <w:rPr>
          <w:lang w:val="en-GB"/>
        </w:rPr>
        <w:t xml:space="preserve">of the founding affidavit </w:t>
      </w:r>
      <w:r w:rsidR="00994EAB" w:rsidRPr="0058499D">
        <w:rPr>
          <w:lang w:val="en-GB"/>
        </w:rPr>
        <w:t>part</w:t>
      </w:r>
      <w:r w:rsidR="00487168" w:rsidRPr="0058499D">
        <w:rPr>
          <w:lang w:val="en-GB"/>
        </w:rPr>
        <w:t xml:space="preserve"> of which is </w:t>
      </w:r>
      <w:r w:rsidR="00994EAB" w:rsidRPr="0058499D">
        <w:rPr>
          <w:lang w:val="en-GB"/>
        </w:rPr>
        <w:t>as follows</w:t>
      </w:r>
      <w:r w:rsidR="004C1258" w:rsidRPr="0058499D">
        <w:rPr>
          <w:lang w:val="en-GB"/>
        </w:rPr>
        <w:t>:</w:t>
      </w:r>
    </w:p>
    <w:p w14:paraId="00DB9F6B" w14:textId="77777777" w:rsidR="004C1258" w:rsidRPr="00AA2D33" w:rsidRDefault="00487168" w:rsidP="00AA2D33">
      <w:pPr>
        <w:pStyle w:val="NoSpacing"/>
        <w:spacing w:after="240"/>
        <w:ind w:left="720"/>
        <w:jc w:val="both"/>
        <w:rPr>
          <w:sz w:val="22"/>
          <w:szCs w:val="22"/>
          <w:lang w:val="en-GB"/>
        </w:rPr>
      </w:pPr>
      <w:r w:rsidRPr="0058499D">
        <w:rPr>
          <w:lang w:val="en-GB"/>
        </w:rPr>
        <w:t>“</w:t>
      </w:r>
      <w:r w:rsidRPr="00AA2D33">
        <w:rPr>
          <w:sz w:val="22"/>
          <w:szCs w:val="22"/>
          <w:lang w:val="en-GB"/>
        </w:rPr>
        <w:t>The letter from Commissioner General was dated 26 May 2021, (</w:t>
      </w:r>
      <w:r w:rsidR="00994EAB" w:rsidRPr="00AA2D33">
        <w:rPr>
          <w:sz w:val="22"/>
          <w:szCs w:val="22"/>
          <w:lang w:val="en-GB"/>
        </w:rPr>
        <w:t>see Annexure</w:t>
      </w:r>
      <w:r w:rsidRPr="00AA2D33">
        <w:rPr>
          <w:sz w:val="22"/>
          <w:szCs w:val="22"/>
          <w:lang w:val="en-GB"/>
        </w:rPr>
        <w:t xml:space="preserve"> “E”</w:t>
      </w:r>
      <w:r w:rsidR="00994EAB" w:rsidRPr="00AA2D33">
        <w:rPr>
          <w:sz w:val="22"/>
          <w:szCs w:val="22"/>
          <w:lang w:val="en-GB"/>
        </w:rPr>
        <w:t>) which</w:t>
      </w:r>
      <w:r w:rsidRPr="00AA2D33">
        <w:rPr>
          <w:sz w:val="22"/>
          <w:szCs w:val="22"/>
          <w:lang w:val="en-GB"/>
        </w:rPr>
        <w:t xml:space="preserve"> response I however received on 21 June 2021.”</w:t>
      </w:r>
    </w:p>
    <w:p w14:paraId="047F716A" w14:textId="77777777" w:rsidR="004C1258" w:rsidRPr="0058499D" w:rsidRDefault="00AA2D33" w:rsidP="00AA2D33">
      <w:pPr>
        <w:pStyle w:val="NoSpacing"/>
        <w:spacing w:after="240" w:line="360" w:lineRule="auto"/>
        <w:jc w:val="both"/>
        <w:rPr>
          <w:lang w:val="en-GB"/>
        </w:rPr>
      </w:pPr>
      <w:r>
        <w:rPr>
          <w:lang w:val="en-GB"/>
        </w:rPr>
        <w:tab/>
      </w:r>
      <w:r w:rsidR="004C1258" w:rsidRPr="0058499D">
        <w:rPr>
          <w:lang w:val="en-GB"/>
        </w:rPr>
        <w:t xml:space="preserve">However, the </w:t>
      </w:r>
      <w:r>
        <w:rPr>
          <w:lang w:val="en-GB"/>
        </w:rPr>
        <w:t>a</w:t>
      </w:r>
      <w:r w:rsidR="004C1258" w:rsidRPr="0058499D">
        <w:rPr>
          <w:lang w:val="en-GB"/>
        </w:rPr>
        <w:t xml:space="preserve">pplicant departed from this version in the answering affidavit where he </w:t>
      </w:r>
      <w:r w:rsidR="00487168" w:rsidRPr="0058499D">
        <w:rPr>
          <w:lang w:val="en-GB"/>
        </w:rPr>
        <w:t xml:space="preserve">admitted having </w:t>
      </w:r>
      <w:r w:rsidR="008947ED" w:rsidRPr="0058499D">
        <w:rPr>
          <w:lang w:val="en-GB"/>
        </w:rPr>
        <w:t xml:space="preserve">received </w:t>
      </w:r>
      <w:r w:rsidR="00487168" w:rsidRPr="0058499D">
        <w:rPr>
          <w:lang w:val="en-GB"/>
        </w:rPr>
        <w:t xml:space="preserve">this </w:t>
      </w:r>
      <w:r w:rsidR="00994EAB" w:rsidRPr="0058499D">
        <w:rPr>
          <w:lang w:val="en-GB"/>
        </w:rPr>
        <w:t>response on</w:t>
      </w:r>
      <w:r w:rsidR="00487168" w:rsidRPr="0058499D">
        <w:rPr>
          <w:lang w:val="en-GB"/>
        </w:rPr>
        <w:t xml:space="preserve"> 9 June 2021.  He </w:t>
      </w:r>
      <w:r w:rsidR="004C1258" w:rsidRPr="0058499D">
        <w:rPr>
          <w:lang w:val="en-GB"/>
        </w:rPr>
        <w:t>stated that:</w:t>
      </w:r>
    </w:p>
    <w:p w14:paraId="282EA310" w14:textId="77777777" w:rsidR="00FF530B" w:rsidRPr="00AA2D33" w:rsidRDefault="00487168" w:rsidP="00AA2D33">
      <w:pPr>
        <w:pStyle w:val="NoSpacing"/>
        <w:spacing w:after="240"/>
        <w:ind w:left="720"/>
        <w:jc w:val="both"/>
        <w:rPr>
          <w:sz w:val="22"/>
          <w:szCs w:val="22"/>
          <w:lang w:val="en-GB"/>
        </w:rPr>
      </w:pPr>
      <w:r w:rsidRPr="00AA2D33">
        <w:rPr>
          <w:sz w:val="22"/>
          <w:szCs w:val="22"/>
          <w:lang w:val="en-GB"/>
        </w:rPr>
        <w:t xml:space="preserve">“The 8 months to institute civil proceedings being referred (sic) the </w:t>
      </w:r>
      <w:r w:rsidR="00AA2D33">
        <w:rPr>
          <w:sz w:val="22"/>
          <w:szCs w:val="22"/>
          <w:lang w:val="en-GB"/>
        </w:rPr>
        <w:t>r</w:t>
      </w:r>
      <w:r w:rsidRPr="00AA2D33">
        <w:rPr>
          <w:sz w:val="22"/>
          <w:szCs w:val="22"/>
          <w:lang w:val="en-GB"/>
        </w:rPr>
        <w:t xml:space="preserve">espondent should not be counted from </w:t>
      </w:r>
      <w:r w:rsidR="00ED4BF4" w:rsidRPr="00AA2D33">
        <w:rPr>
          <w:sz w:val="22"/>
          <w:szCs w:val="22"/>
          <w:lang w:val="en-GB"/>
        </w:rPr>
        <w:t xml:space="preserve">20 </w:t>
      </w:r>
      <w:r w:rsidRPr="00AA2D33">
        <w:rPr>
          <w:sz w:val="22"/>
          <w:szCs w:val="22"/>
          <w:lang w:val="en-GB"/>
        </w:rPr>
        <w:t xml:space="preserve">February 2020, but from 9 June 2021 when the </w:t>
      </w:r>
      <w:r w:rsidR="00AA2D33">
        <w:rPr>
          <w:sz w:val="22"/>
          <w:szCs w:val="22"/>
          <w:lang w:val="en-GB"/>
        </w:rPr>
        <w:t>a</w:t>
      </w:r>
      <w:r w:rsidRPr="00AA2D33">
        <w:rPr>
          <w:sz w:val="22"/>
          <w:szCs w:val="22"/>
          <w:lang w:val="en-GB"/>
        </w:rPr>
        <w:t>pplicant received e-mail from Zimbabwe Revenue Officer known as S. Zengeni”</w:t>
      </w:r>
    </w:p>
    <w:p w14:paraId="20325A97" w14:textId="77777777" w:rsidR="004C1258" w:rsidRPr="0058499D" w:rsidRDefault="00AA2D33" w:rsidP="0058499D">
      <w:pPr>
        <w:pStyle w:val="NoSpacing"/>
        <w:spacing w:line="360" w:lineRule="auto"/>
        <w:jc w:val="both"/>
        <w:rPr>
          <w:lang w:val="en-GB"/>
        </w:rPr>
      </w:pPr>
      <w:r>
        <w:rPr>
          <w:lang w:val="en-GB"/>
        </w:rPr>
        <w:tab/>
      </w:r>
      <w:r w:rsidR="00FF530B" w:rsidRPr="0058499D">
        <w:rPr>
          <w:lang w:val="en-GB"/>
        </w:rPr>
        <w:t xml:space="preserve">Counting from </w:t>
      </w:r>
      <w:r w:rsidR="00BF3B38" w:rsidRPr="0058499D">
        <w:rPr>
          <w:lang w:val="en-GB"/>
        </w:rPr>
        <w:t>9 June 2021</w:t>
      </w:r>
      <w:r w:rsidR="00994EAB" w:rsidRPr="0058499D">
        <w:rPr>
          <w:lang w:val="en-GB"/>
        </w:rPr>
        <w:t>, the</w:t>
      </w:r>
      <w:r w:rsidR="00174078" w:rsidRPr="0058499D">
        <w:rPr>
          <w:lang w:val="en-GB"/>
        </w:rPr>
        <w:t xml:space="preserve"> prescriptive </w:t>
      </w:r>
      <w:r w:rsidR="00FF530B" w:rsidRPr="0058499D">
        <w:rPr>
          <w:lang w:val="en-GB"/>
        </w:rPr>
        <w:t xml:space="preserve">period of eight </w:t>
      </w:r>
      <w:r w:rsidR="00BF3B38" w:rsidRPr="0058499D">
        <w:rPr>
          <w:lang w:val="en-GB"/>
        </w:rPr>
        <w:t xml:space="preserve">months would </w:t>
      </w:r>
      <w:r w:rsidR="00174078" w:rsidRPr="0058499D">
        <w:rPr>
          <w:lang w:val="en-GB"/>
        </w:rPr>
        <w:t xml:space="preserve">be complete by </w:t>
      </w:r>
      <w:r w:rsidR="00BF3B38" w:rsidRPr="0058499D">
        <w:rPr>
          <w:lang w:val="en-GB"/>
        </w:rPr>
        <w:t xml:space="preserve">no later than 9 February 2022. </w:t>
      </w:r>
      <w:r w:rsidR="00174078" w:rsidRPr="0058499D">
        <w:rPr>
          <w:lang w:val="en-GB"/>
        </w:rPr>
        <w:t xml:space="preserve">Even if the prescriptive period is to begin </w:t>
      </w:r>
      <w:r w:rsidR="00F03CFA" w:rsidRPr="0058499D">
        <w:rPr>
          <w:lang w:val="en-GB"/>
        </w:rPr>
        <w:t xml:space="preserve">running </w:t>
      </w:r>
      <w:r w:rsidR="00174078" w:rsidRPr="0058499D">
        <w:rPr>
          <w:lang w:val="en-GB"/>
        </w:rPr>
        <w:t>from 21 June 2021 as alleged in the founding affidavit, such period would be completed by no later than 21 February 2022.</w:t>
      </w:r>
      <w:r w:rsidR="005520E2" w:rsidRPr="0058499D">
        <w:rPr>
          <w:lang w:val="en-GB"/>
        </w:rPr>
        <w:t xml:space="preserve"> This application was filed on 23 February 2022. This was after</w:t>
      </w:r>
      <w:r w:rsidR="007F072A">
        <w:rPr>
          <w:lang w:val="en-GB"/>
        </w:rPr>
        <w:t xml:space="preserve"> the </w:t>
      </w:r>
      <w:r w:rsidR="007F072A" w:rsidRPr="0058499D">
        <w:rPr>
          <w:lang w:val="en-GB"/>
        </w:rPr>
        <w:t>prescriptive</w:t>
      </w:r>
      <w:r w:rsidR="005520E2" w:rsidRPr="0058499D">
        <w:rPr>
          <w:lang w:val="en-GB"/>
        </w:rPr>
        <w:t xml:space="preserve"> </w:t>
      </w:r>
      <w:r w:rsidR="006B7F06" w:rsidRPr="0058499D">
        <w:rPr>
          <w:lang w:val="en-GB"/>
        </w:rPr>
        <w:t xml:space="preserve">period </w:t>
      </w:r>
      <w:r w:rsidR="005520E2" w:rsidRPr="0058499D">
        <w:rPr>
          <w:lang w:val="en-GB"/>
        </w:rPr>
        <w:t>had been completed.</w:t>
      </w:r>
      <w:r w:rsidR="005913BE" w:rsidRPr="0058499D">
        <w:rPr>
          <w:lang w:val="en-GB"/>
        </w:rPr>
        <w:t xml:space="preserve"> </w:t>
      </w:r>
      <w:r w:rsidR="007F0A39" w:rsidRPr="0058499D">
        <w:rPr>
          <w:lang w:val="en-GB"/>
        </w:rPr>
        <w:t>If I w</w:t>
      </w:r>
      <w:r w:rsidR="007F072A">
        <w:rPr>
          <w:lang w:val="en-GB"/>
        </w:rPr>
        <w:t>ere</w:t>
      </w:r>
      <w:r w:rsidR="007F0A39" w:rsidRPr="0058499D">
        <w:rPr>
          <w:lang w:val="en-GB"/>
        </w:rPr>
        <w:t xml:space="preserve"> to grant the application for condonation, the main application was not going to succeed on the basis of prescription. </w:t>
      </w:r>
      <w:r w:rsidR="00994EAB" w:rsidRPr="0058499D">
        <w:rPr>
          <w:lang w:val="en-GB"/>
        </w:rPr>
        <w:t>Prescription is</w:t>
      </w:r>
      <w:r w:rsidR="007F0A39" w:rsidRPr="0058499D">
        <w:rPr>
          <w:lang w:val="en-GB"/>
        </w:rPr>
        <w:t xml:space="preserve"> an absolute bar.</w:t>
      </w:r>
      <w:r w:rsidR="003A2B6F" w:rsidRPr="0058499D">
        <w:rPr>
          <w:lang w:val="en-GB"/>
        </w:rPr>
        <w:t xml:space="preserve"> In light of this, the main application has no prospects </w:t>
      </w:r>
      <w:r w:rsidR="006B7F06" w:rsidRPr="0058499D">
        <w:rPr>
          <w:lang w:val="en-GB"/>
        </w:rPr>
        <w:t xml:space="preserve">of success </w:t>
      </w:r>
      <w:r w:rsidR="003A2B6F" w:rsidRPr="0058499D">
        <w:rPr>
          <w:lang w:val="en-GB"/>
        </w:rPr>
        <w:t xml:space="preserve">and hence I saw it prudent to dismiss the present application as the application does not enjoy prospects of success. </w:t>
      </w:r>
    </w:p>
    <w:p w14:paraId="46CA08C4" w14:textId="77777777" w:rsidR="004C1258" w:rsidRPr="0058499D" w:rsidRDefault="00AA2D33" w:rsidP="0058499D">
      <w:pPr>
        <w:spacing w:line="360" w:lineRule="auto"/>
        <w:jc w:val="both"/>
        <w:rPr>
          <w:rFonts w:ascii="Times New Roman" w:hAnsi="Times New Roman"/>
          <w:sz w:val="24"/>
          <w:szCs w:val="24"/>
        </w:rPr>
      </w:pPr>
      <w:r>
        <w:rPr>
          <w:rFonts w:ascii="Times New Roman" w:hAnsi="Times New Roman"/>
          <w:sz w:val="24"/>
          <w:szCs w:val="24"/>
        </w:rPr>
        <w:tab/>
      </w:r>
      <w:r w:rsidR="004C1258" w:rsidRPr="0058499D">
        <w:rPr>
          <w:rFonts w:ascii="Times New Roman" w:hAnsi="Times New Roman"/>
          <w:sz w:val="24"/>
          <w:szCs w:val="24"/>
        </w:rPr>
        <w:t>Mr.</w:t>
      </w:r>
      <w:r w:rsidR="000E4126">
        <w:rPr>
          <w:rFonts w:ascii="Times New Roman" w:hAnsi="Times New Roman"/>
          <w:sz w:val="24"/>
          <w:szCs w:val="24"/>
        </w:rPr>
        <w:t xml:space="preserve"> </w:t>
      </w:r>
      <w:r w:rsidR="007F072A" w:rsidRPr="00AA2D33">
        <w:rPr>
          <w:rFonts w:ascii="Times New Roman" w:hAnsi="Times New Roman"/>
          <w:i/>
          <w:iCs/>
          <w:sz w:val="24"/>
          <w:szCs w:val="24"/>
        </w:rPr>
        <w:t>Marange</w:t>
      </w:r>
      <w:r w:rsidR="007F072A" w:rsidRPr="0058499D">
        <w:rPr>
          <w:rFonts w:ascii="Times New Roman" w:hAnsi="Times New Roman"/>
          <w:sz w:val="24"/>
          <w:szCs w:val="24"/>
        </w:rPr>
        <w:t xml:space="preserve"> argued</w:t>
      </w:r>
      <w:r w:rsidR="004C1258" w:rsidRPr="0058499D">
        <w:rPr>
          <w:rFonts w:ascii="Times New Roman" w:hAnsi="Times New Roman"/>
          <w:sz w:val="24"/>
          <w:szCs w:val="24"/>
        </w:rPr>
        <w:t xml:space="preserve"> that </w:t>
      </w:r>
      <w:r w:rsidR="005913BE" w:rsidRPr="0058499D">
        <w:rPr>
          <w:rFonts w:ascii="Times New Roman" w:hAnsi="Times New Roman"/>
          <w:sz w:val="24"/>
          <w:szCs w:val="24"/>
        </w:rPr>
        <w:t xml:space="preserve">the prescriptive period must start running from </w:t>
      </w:r>
      <w:r w:rsidR="004C1258" w:rsidRPr="0058499D">
        <w:rPr>
          <w:rFonts w:ascii="Times New Roman" w:hAnsi="Times New Roman"/>
          <w:sz w:val="24"/>
          <w:szCs w:val="24"/>
        </w:rPr>
        <w:t xml:space="preserve">12 February 2020. I do not agree with his submission. The </w:t>
      </w:r>
      <w:r>
        <w:rPr>
          <w:rFonts w:ascii="Times New Roman" w:hAnsi="Times New Roman"/>
          <w:sz w:val="24"/>
          <w:szCs w:val="24"/>
        </w:rPr>
        <w:t>a</w:t>
      </w:r>
      <w:r w:rsidR="004C1258" w:rsidRPr="0058499D">
        <w:rPr>
          <w:rFonts w:ascii="Times New Roman" w:hAnsi="Times New Roman"/>
          <w:sz w:val="24"/>
          <w:szCs w:val="24"/>
        </w:rPr>
        <w:t>pplicant wishes to</w:t>
      </w:r>
      <w:r w:rsidR="004F3228" w:rsidRPr="0058499D">
        <w:rPr>
          <w:rFonts w:ascii="Times New Roman" w:hAnsi="Times New Roman"/>
          <w:sz w:val="24"/>
          <w:szCs w:val="24"/>
        </w:rPr>
        <w:t xml:space="preserve"> </w:t>
      </w:r>
      <w:r w:rsidR="004C1258" w:rsidRPr="0058499D">
        <w:rPr>
          <w:rFonts w:ascii="Times New Roman" w:hAnsi="Times New Roman"/>
          <w:sz w:val="24"/>
          <w:szCs w:val="24"/>
        </w:rPr>
        <w:t>seek the review of the Commissioner General’s decision of 26 May 2021</w:t>
      </w:r>
      <w:r w:rsidR="004F3228" w:rsidRPr="0058499D">
        <w:rPr>
          <w:rFonts w:ascii="Times New Roman" w:hAnsi="Times New Roman"/>
          <w:sz w:val="24"/>
          <w:szCs w:val="24"/>
        </w:rPr>
        <w:t xml:space="preserve"> for the forfeiture of the 40 ft container</w:t>
      </w:r>
      <w:r w:rsidR="005913BE" w:rsidRPr="0058499D">
        <w:rPr>
          <w:rFonts w:ascii="Times New Roman" w:hAnsi="Times New Roman"/>
          <w:sz w:val="24"/>
          <w:szCs w:val="24"/>
        </w:rPr>
        <w:t xml:space="preserve">. </w:t>
      </w:r>
      <w:r w:rsidR="004C1258" w:rsidRPr="0058499D">
        <w:rPr>
          <w:rFonts w:ascii="Times New Roman" w:hAnsi="Times New Roman"/>
          <w:sz w:val="24"/>
          <w:szCs w:val="24"/>
        </w:rPr>
        <w:t xml:space="preserve">The prescriptive period of eight months should </w:t>
      </w:r>
      <w:r w:rsidR="00994EAB" w:rsidRPr="0058499D">
        <w:rPr>
          <w:rFonts w:ascii="Times New Roman" w:hAnsi="Times New Roman"/>
          <w:sz w:val="24"/>
          <w:szCs w:val="24"/>
        </w:rPr>
        <w:t>start running</w:t>
      </w:r>
      <w:r w:rsidR="004C1258" w:rsidRPr="0058499D">
        <w:rPr>
          <w:rFonts w:ascii="Times New Roman" w:hAnsi="Times New Roman"/>
          <w:sz w:val="24"/>
          <w:szCs w:val="24"/>
        </w:rPr>
        <w:t xml:space="preserve"> from </w:t>
      </w:r>
      <w:r w:rsidR="00037D20" w:rsidRPr="0058499D">
        <w:rPr>
          <w:rFonts w:ascii="Times New Roman" w:hAnsi="Times New Roman"/>
          <w:sz w:val="24"/>
          <w:szCs w:val="24"/>
        </w:rPr>
        <w:t xml:space="preserve">9 June 2021 </w:t>
      </w:r>
      <w:r w:rsidR="006B7F06" w:rsidRPr="0058499D">
        <w:rPr>
          <w:rFonts w:ascii="Times New Roman" w:hAnsi="Times New Roman"/>
          <w:sz w:val="24"/>
          <w:szCs w:val="24"/>
        </w:rPr>
        <w:t xml:space="preserve">the date upon which </w:t>
      </w:r>
      <w:r w:rsidR="00994EAB" w:rsidRPr="0058499D">
        <w:rPr>
          <w:rFonts w:ascii="Times New Roman" w:hAnsi="Times New Roman"/>
          <w:sz w:val="24"/>
          <w:szCs w:val="24"/>
        </w:rPr>
        <w:t xml:space="preserve">the </w:t>
      </w:r>
      <w:r w:rsidR="00724C2F">
        <w:rPr>
          <w:rFonts w:ascii="Times New Roman" w:hAnsi="Times New Roman"/>
          <w:sz w:val="24"/>
          <w:szCs w:val="24"/>
        </w:rPr>
        <w:t>a</w:t>
      </w:r>
      <w:r w:rsidR="00994EAB" w:rsidRPr="0058499D">
        <w:rPr>
          <w:rFonts w:ascii="Times New Roman" w:hAnsi="Times New Roman"/>
          <w:sz w:val="24"/>
          <w:szCs w:val="24"/>
        </w:rPr>
        <w:t>pplicant</w:t>
      </w:r>
      <w:r w:rsidR="006B7F06" w:rsidRPr="0058499D">
        <w:rPr>
          <w:rFonts w:ascii="Times New Roman" w:hAnsi="Times New Roman"/>
          <w:sz w:val="24"/>
          <w:szCs w:val="24"/>
        </w:rPr>
        <w:t xml:space="preserve"> became aware of the Commissioner General’s determination</w:t>
      </w:r>
      <w:r w:rsidR="004C1258" w:rsidRPr="0058499D">
        <w:rPr>
          <w:rFonts w:ascii="Times New Roman" w:hAnsi="Times New Roman"/>
          <w:sz w:val="24"/>
          <w:szCs w:val="24"/>
        </w:rPr>
        <w:t>.</w:t>
      </w:r>
      <w:r w:rsidR="00C94FC6" w:rsidRPr="0058499D">
        <w:rPr>
          <w:rFonts w:ascii="Times New Roman" w:hAnsi="Times New Roman"/>
          <w:sz w:val="24"/>
          <w:szCs w:val="24"/>
        </w:rPr>
        <w:t xml:space="preserve"> It is an </w:t>
      </w:r>
      <w:r w:rsidR="00994EAB" w:rsidRPr="0058499D">
        <w:rPr>
          <w:rFonts w:ascii="Times New Roman" w:hAnsi="Times New Roman"/>
          <w:sz w:val="24"/>
          <w:szCs w:val="24"/>
        </w:rPr>
        <w:t>established principle</w:t>
      </w:r>
      <w:r w:rsidR="00C94FC6" w:rsidRPr="0058499D">
        <w:rPr>
          <w:rFonts w:ascii="Times New Roman" w:hAnsi="Times New Roman"/>
          <w:sz w:val="24"/>
          <w:szCs w:val="24"/>
        </w:rPr>
        <w:t xml:space="preserve"> in our jurisdiction that</w:t>
      </w:r>
      <w:r w:rsidR="00C71550" w:rsidRPr="0058499D">
        <w:rPr>
          <w:rFonts w:ascii="Times New Roman" w:hAnsi="Times New Roman"/>
          <w:sz w:val="24"/>
          <w:szCs w:val="24"/>
        </w:rPr>
        <w:t xml:space="preserve"> the debt cannot be due until the claimant is aware or ought reasonably to have become aware, of the facts from which the debt arose.</w:t>
      </w:r>
      <w:r w:rsidR="006B7F06" w:rsidRPr="0058499D">
        <w:rPr>
          <w:rFonts w:ascii="Times New Roman" w:hAnsi="Times New Roman"/>
          <w:sz w:val="24"/>
          <w:szCs w:val="24"/>
        </w:rPr>
        <w:t xml:space="preserve"> </w:t>
      </w:r>
      <w:r w:rsidR="00C71550" w:rsidRPr="0058499D">
        <w:rPr>
          <w:rFonts w:ascii="Times New Roman" w:hAnsi="Times New Roman"/>
          <w:sz w:val="24"/>
          <w:szCs w:val="24"/>
        </w:rPr>
        <w:t xml:space="preserve">In the case of </w:t>
      </w:r>
      <w:r w:rsidR="00C71550" w:rsidRPr="000E4126">
        <w:rPr>
          <w:rFonts w:ascii="Times New Roman" w:hAnsi="Times New Roman"/>
          <w:i/>
          <w:iCs/>
          <w:sz w:val="24"/>
          <w:szCs w:val="24"/>
        </w:rPr>
        <w:t xml:space="preserve">Shonhiwa </w:t>
      </w:r>
      <w:r w:rsidR="005934A2" w:rsidRPr="000E4126">
        <w:rPr>
          <w:rFonts w:ascii="Times New Roman" w:hAnsi="Times New Roman"/>
          <w:i/>
          <w:iCs/>
          <w:sz w:val="24"/>
          <w:szCs w:val="24"/>
        </w:rPr>
        <w:t xml:space="preserve">and Anor </w:t>
      </w:r>
      <w:r w:rsidR="00C71550" w:rsidRPr="000E4126">
        <w:rPr>
          <w:rFonts w:ascii="Times New Roman" w:hAnsi="Times New Roman"/>
          <w:i/>
          <w:iCs/>
          <w:sz w:val="24"/>
          <w:szCs w:val="24"/>
        </w:rPr>
        <w:t>v</w:t>
      </w:r>
      <w:r w:rsidR="005934A2" w:rsidRPr="000E4126">
        <w:rPr>
          <w:rFonts w:ascii="Times New Roman" w:hAnsi="Times New Roman"/>
          <w:i/>
          <w:iCs/>
          <w:sz w:val="24"/>
          <w:szCs w:val="24"/>
        </w:rPr>
        <w:t xml:space="preserve"> Moor and Ors</w:t>
      </w:r>
      <w:r w:rsidR="001A2A74" w:rsidRPr="0058499D">
        <w:rPr>
          <w:rStyle w:val="FootnoteReference"/>
          <w:rFonts w:ascii="Times New Roman" w:hAnsi="Times New Roman"/>
          <w:sz w:val="24"/>
          <w:szCs w:val="24"/>
        </w:rPr>
        <w:footnoteReference w:id="2"/>
      </w:r>
      <w:r w:rsidR="005934A2" w:rsidRPr="0058499D">
        <w:rPr>
          <w:rFonts w:ascii="Times New Roman" w:hAnsi="Times New Roman"/>
          <w:sz w:val="24"/>
          <w:szCs w:val="24"/>
        </w:rPr>
        <w:t xml:space="preserve">, Charewa </w:t>
      </w:r>
      <w:r w:rsidR="00994EAB" w:rsidRPr="0058499D">
        <w:rPr>
          <w:rFonts w:ascii="Times New Roman" w:hAnsi="Times New Roman"/>
          <w:sz w:val="24"/>
          <w:szCs w:val="24"/>
        </w:rPr>
        <w:t>excellently propounded</w:t>
      </w:r>
      <w:r w:rsidR="005934A2" w:rsidRPr="0058499D">
        <w:rPr>
          <w:rFonts w:ascii="Times New Roman" w:hAnsi="Times New Roman"/>
          <w:sz w:val="24"/>
          <w:szCs w:val="24"/>
        </w:rPr>
        <w:t xml:space="preserve"> the following remarks: </w:t>
      </w:r>
      <w:r w:rsidR="00C71550" w:rsidRPr="0058499D">
        <w:rPr>
          <w:rFonts w:ascii="Times New Roman" w:hAnsi="Times New Roman"/>
          <w:sz w:val="24"/>
          <w:szCs w:val="24"/>
        </w:rPr>
        <w:t xml:space="preserve">   </w:t>
      </w:r>
      <w:r w:rsidR="00C94FC6" w:rsidRPr="0058499D">
        <w:rPr>
          <w:rFonts w:ascii="Times New Roman" w:hAnsi="Times New Roman"/>
          <w:sz w:val="24"/>
          <w:szCs w:val="24"/>
        </w:rPr>
        <w:t xml:space="preserve"> </w:t>
      </w:r>
      <w:r w:rsidR="004C1258" w:rsidRPr="0058499D">
        <w:rPr>
          <w:rFonts w:ascii="Times New Roman" w:hAnsi="Times New Roman"/>
          <w:sz w:val="24"/>
          <w:szCs w:val="24"/>
        </w:rPr>
        <w:t xml:space="preserve"> </w:t>
      </w:r>
    </w:p>
    <w:p w14:paraId="4FBF2859" w14:textId="77777777" w:rsidR="00C94FC6" w:rsidRPr="0058499D" w:rsidRDefault="00386CA7" w:rsidP="0058499D">
      <w:pPr>
        <w:spacing w:line="360" w:lineRule="auto"/>
        <w:jc w:val="both"/>
        <w:rPr>
          <w:rFonts w:ascii="Times New Roman" w:hAnsi="Times New Roman"/>
          <w:i/>
          <w:sz w:val="24"/>
          <w:szCs w:val="24"/>
        </w:rPr>
      </w:pPr>
      <w:r w:rsidRPr="0058499D">
        <w:rPr>
          <w:rFonts w:ascii="Times New Roman" w:hAnsi="Times New Roman"/>
          <w:i/>
          <w:sz w:val="24"/>
          <w:szCs w:val="24"/>
        </w:rPr>
        <w:t xml:space="preserve"> </w:t>
      </w:r>
      <w:r w:rsidR="001C1A85" w:rsidRPr="0058499D">
        <w:rPr>
          <w:rFonts w:ascii="Times New Roman" w:hAnsi="Times New Roman"/>
          <w:i/>
          <w:sz w:val="24"/>
          <w:szCs w:val="24"/>
        </w:rPr>
        <w:t xml:space="preserve">  </w:t>
      </w:r>
    </w:p>
    <w:p w14:paraId="737BB818" w14:textId="77777777" w:rsidR="005934A2" w:rsidRPr="00724C2F" w:rsidRDefault="00C94FC6" w:rsidP="00724C2F">
      <w:pPr>
        <w:spacing w:line="240" w:lineRule="auto"/>
        <w:ind w:left="720"/>
        <w:jc w:val="both"/>
        <w:rPr>
          <w:rFonts w:ascii="Times New Roman" w:hAnsi="Times New Roman"/>
        </w:rPr>
      </w:pPr>
      <w:r w:rsidRPr="00724C2F">
        <w:rPr>
          <w:rFonts w:ascii="Times New Roman" w:hAnsi="Times New Roman"/>
        </w:rPr>
        <w:t xml:space="preserve">“It is also well settled in our law that a debt does not become due until the claimant is aware or ought reasonably to have become aware, of the facts from which the debt arose. These “facts” </w:t>
      </w:r>
      <w:r w:rsidRPr="00724C2F">
        <w:rPr>
          <w:rFonts w:ascii="Times New Roman" w:hAnsi="Times New Roman"/>
        </w:rPr>
        <w:lastRenderedPageBreak/>
        <w:t xml:space="preserve">have generally been interpreted to mean the material or broad facts from which a cause of action arises or all the facts which a plaintiff must prove to obtain judgment in his favour.” </w:t>
      </w:r>
    </w:p>
    <w:p w14:paraId="6C5261C8" w14:textId="77777777" w:rsidR="00B24C71" w:rsidRPr="0058499D" w:rsidRDefault="00724C2F" w:rsidP="00724C2F">
      <w:pPr>
        <w:spacing w:line="360" w:lineRule="auto"/>
        <w:jc w:val="both"/>
        <w:rPr>
          <w:rFonts w:ascii="Times New Roman" w:hAnsi="Times New Roman"/>
          <w:sz w:val="24"/>
          <w:szCs w:val="24"/>
        </w:rPr>
      </w:pPr>
      <w:r>
        <w:rPr>
          <w:rFonts w:ascii="Times New Roman" w:hAnsi="Times New Roman"/>
          <w:sz w:val="24"/>
          <w:szCs w:val="24"/>
        </w:rPr>
        <w:tab/>
      </w:r>
      <w:r w:rsidR="005934A2" w:rsidRPr="0058499D">
        <w:rPr>
          <w:rFonts w:ascii="Times New Roman" w:hAnsi="Times New Roman"/>
          <w:sz w:val="24"/>
          <w:szCs w:val="24"/>
        </w:rPr>
        <w:t xml:space="preserve">The </w:t>
      </w:r>
      <w:r>
        <w:rPr>
          <w:rFonts w:ascii="Times New Roman" w:hAnsi="Times New Roman"/>
          <w:sz w:val="24"/>
          <w:szCs w:val="24"/>
        </w:rPr>
        <w:t>a</w:t>
      </w:r>
      <w:r w:rsidR="005934A2" w:rsidRPr="0058499D">
        <w:rPr>
          <w:rFonts w:ascii="Times New Roman" w:hAnsi="Times New Roman"/>
          <w:sz w:val="24"/>
          <w:szCs w:val="24"/>
        </w:rPr>
        <w:t xml:space="preserve">pplicant became aware of all relevant facts </w:t>
      </w:r>
      <w:r w:rsidR="00160DDD" w:rsidRPr="0058499D">
        <w:rPr>
          <w:rFonts w:ascii="Times New Roman" w:hAnsi="Times New Roman"/>
          <w:sz w:val="24"/>
          <w:szCs w:val="24"/>
        </w:rPr>
        <w:t xml:space="preserve">for the forfeiture of his 40 ft container </w:t>
      </w:r>
      <w:r w:rsidR="005934A2" w:rsidRPr="0058499D">
        <w:rPr>
          <w:rFonts w:ascii="Times New Roman" w:hAnsi="Times New Roman"/>
          <w:sz w:val="24"/>
          <w:szCs w:val="24"/>
        </w:rPr>
        <w:t>on 9 June 2021</w:t>
      </w:r>
      <w:r w:rsidR="00160DDD" w:rsidRPr="0058499D">
        <w:rPr>
          <w:rFonts w:ascii="Times New Roman" w:hAnsi="Times New Roman"/>
          <w:sz w:val="24"/>
          <w:szCs w:val="24"/>
        </w:rPr>
        <w:t xml:space="preserve">. </w:t>
      </w:r>
      <w:r w:rsidR="007F072A" w:rsidRPr="0058499D">
        <w:rPr>
          <w:rFonts w:ascii="Times New Roman" w:hAnsi="Times New Roman"/>
          <w:sz w:val="24"/>
          <w:szCs w:val="24"/>
        </w:rPr>
        <w:t>Hence,</w:t>
      </w:r>
      <w:r w:rsidR="005934A2" w:rsidRPr="0058499D">
        <w:rPr>
          <w:rFonts w:ascii="Times New Roman" w:hAnsi="Times New Roman"/>
          <w:sz w:val="24"/>
          <w:szCs w:val="24"/>
        </w:rPr>
        <w:t xml:space="preserve"> </w:t>
      </w:r>
      <w:r w:rsidR="00160DDD" w:rsidRPr="0058499D">
        <w:rPr>
          <w:rFonts w:ascii="Times New Roman" w:hAnsi="Times New Roman"/>
          <w:sz w:val="24"/>
          <w:szCs w:val="24"/>
        </w:rPr>
        <w:t xml:space="preserve">he </w:t>
      </w:r>
      <w:r w:rsidR="005934A2" w:rsidRPr="0058499D">
        <w:rPr>
          <w:rFonts w:ascii="Times New Roman" w:hAnsi="Times New Roman"/>
          <w:sz w:val="24"/>
          <w:szCs w:val="24"/>
        </w:rPr>
        <w:t xml:space="preserve">was expected to swiftly prosecute his claim within the prescriptive period. </w:t>
      </w:r>
      <w:r w:rsidR="001A2A74" w:rsidRPr="0058499D">
        <w:rPr>
          <w:rFonts w:ascii="Times New Roman" w:hAnsi="Times New Roman"/>
          <w:sz w:val="24"/>
          <w:szCs w:val="24"/>
        </w:rPr>
        <w:t xml:space="preserve">In the </w:t>
      </w:r>
      <w:r w:rsidR="006B7F06" w:rsidRPr="0058499D">
        <w:rPr>
          <w:rFonts w:ascii="Times New Roman" w:hAnsi="Times New Roman"/>
          <w:sz w:val="24"/>
          <w:szCs w:val="24"/>
        </w:rPr>
        <w:t xml:space="preserve">case of </w:t>
      </w:r>
      <w:r w:rsidR="001A2A74" w:rsidRPr="000E4126">
        <w:rPr>
          <w:rFonts w:ascii="Times New Roman" w:hAnsi="Times New Roman"/>
          <w:i/>
          <w:iCs/>
          <w:sz w:val="24"/>
          <w:szCs w:val="24"/>
        </w:rPr>
        <w:t xml:space="preserve">Shonhiwa </w:t>
      </w:r>
      <w:r w:rsidR="001A2A74" w:rsidRPr="0058499D">
        <w:rPr>
          <w:rFonts w:ascii="Times New Roman" w:hAnsi="Times New Roman"/>
          <w:sz w:val="24"/>
          <w:szCs w:val="24"/>
        </w:rPr>
        <w:t>(</w:t>
      </w:r>
      <w:r w:rsidR="001A2A74" w:rsidRPr="0058499D">
        <w:rPr>
          <w:rFonts w:ascii="Times New Roman" w:hAnsi="Times New Roman"/>
          <w:i/>
          <w:sz w:val="24"/>
          <w:szCs w:val="24"/>
        </w:rPr>
        <w:t>supra</w:t>
      </w:r>
      <w:r w:rsidR="001A2A74" w:rsidRPr="0058499D">
        <w:rPr>
          <w:rFonts w:ascii="Times New Roman" w:hAnsi="Times New Roman"/>
          <w:sz w:val="24"/>
          <w:szCs w:val="24"/>
        </w:rPr>
        <w:t>), Charewa further commented as follows:</w:t>
      </w:r>
      <w:r w:rsidR="005934A2" w:rsidRPr="0058499D">
        <w:rPr>
          <w:rFonts w:ascii="Times New Roman" w:hAnsi="Times New Roman"/>
          <w:sz w:val="24"/>
          <w:szCs w:val="24"/>
        </w:rPr>
        <w:t xml:space="preserve"> </w:t>
      </w:r>
    </w:p>
    <w:p w14:paraId="2F7E399B" w14:textId="77777777" w:rsidR="00B24C71" w:rsidRPr="00724C2F" w:rsidRDefault="00B24C71" w:rsidP="00724C2F">
      <w:pPr>
        <w:spacing w:after="0" w:line="240" w:lineRule="auto"/>
        <w:ind w:left="720"/>
        <w:jc w:val="both"/>
        <w:rPr>
          <w:rFonts w:ascii="Times New Roman" w:hAnsi="Times New Roman"/>
        </w:rPr>
      </w:pPr>
      <w:r w:rsidRPr="00724C2F">
        <w:rPr>
          <w:rFonts w:ascii="Times New Roman" w:hAnsi="Times New Roman"/>
        </w:rPr>
        <w:t>“It is further trite that a good explanation for not taking action does not interrupt prescription. The running of prescription can only be interrupted as prescribed by law.</w:t>
      </w:r>
    </w:p>
    <w:p w14:paraId="1874C435" w14:textId="77777777" w:rsidR="009A4858" w:rsidRPr="00724C2F" w:rsidRDefault="00B24C71" w:rsidP="00724C2F">
      <w:pPr>
        <w:spacing w:line="240" w:lineRule="auto"/>
        <w:ind w:left="720"/>
        <w:jc w:val="both"/>
        <w:rPr>
          <w:rFonts w:ascii="Times New Roman" w:hAnsi="Times New Roman"/>
        </w:rPr>
      </w:pPr>
      <w:r w:rsidRPr="00724C2F">
        <w:rPr>
          <w:rFonts w:ascii="Times New Roman" w:hAnsi="Times New Roman"/>
        </w:rPr>
        <w:t>Nor is it the function of the court to dispense charity however tear-jerking a litigant’s case might be. The function of the court is to dispense justice within the confines of the law.”</w:t>
      </w:r>
    </w:p>
    <w:p w14:paraId="5297D103" w14:textId="77777777" w:rsidR="00130C4D" w:rsidRPr="0058499D" w:rsidRDefault="00724C2F" w:rsidP="00724C2F">
      <w:pPr>
        <w:spacing w:after="0" w:line="360" w:lineRule="auto"/>
        <w:jc w:val="both"/>
        <w:rPr>
          <w:rFonts w:ascii="Times New Roman" w:hAnsi="Times New Roman"/>
          <w:sz w:val="24"/>
          <w:szCs w:val="24"/>
        </w:rPr>
      </w:pPr>
      <w:r>
        <w:rPr>
          <w:rFonts w:ascii="Times New Roman" w:hAnsi="Times New Roman"/>
          <w:sz w:val="24"/>
          <w:szCs w:val="24"/>
        </w:rPr>
        <w:tab/>
      </w:r>
      <w:r w:rsidR="009A4858" w:rsidRPr="0058499D">
        <w:rPr>
          <w:rFonts w:ascii="Times New Roman" w:hAnsi="Times New Roman"/>
          <w:sz w:val="24"/>
          <w:szCs w:val="24"/>
        </w:rPr>
        <w:t xml:space="preserve">Having reached </w:t>
      </w:r>
      <w:r w:rsidR="00831C0E">
        <w:rPr>
          <w:rFonts w:ascii="Times New Roman" w:hAnsi="Times New Roman"/>
          <w:sz w:val="24"/>
          <w:szCs w:val="24"/>
        </w:rPr>
        <w:t>a</w:t>
      </w:r>
      <w:r w:rsidR="009A4858" w:rsidRPr="0058499D">
        <w:rPr>
          <w:rFonts w:ascii="Times New Roman" w:hAnsi="Times New Roman"/>
          <w:sz w:val="24"/>
          <w:szCs w:val="24"/>
        </w:rPr>
        <w:t xml:space="preserve"> conclusion that the main application was not going to succeed on the basis of </w:t>
      </w:r>
      <w:r w:rsidR="00831C0E" w:rsidRPr="0058499D">
        <w:rPr>
          <w:rFonts w:ascii="Times New Roman" w:hAnsi="Times New Roman"/>
          <w:sz w:val="24"/>
          <w:szCs w:val="24"/>
        </w:rPr>
        <w:t>prescription, it</w:t>
      </w:r>
      <w:r w:rsidR="009A4858" w:rsidRPr="0058499D">
        <w:rPr>
          <w:rFonts w:ascii="Times New Roman" w:hAnsi="Times New Roman"/>
          <w:sz w:val="24"/>
          <w:szCs w:val="24"/>
        </w:rPr>
        <w:t xml:space="preserve"> was no longer necessary </w:t>
      </w:r>
      <w:r w:rsidR="006432CD" w:rsidRPr="0058499D">
        <w:rPr>
          <w:rFonts w:ascii="Times New Roman" w:hAnsi="Times New Roman"/>
          <w:sz w:val="24"/>
          <w:szCs w:val="24"/>
        </w:rPr>
        <w:t xml:space="preserve">for me </w:t>
      </w:r>
      <w:r w:rsidR="009A4858" w:rsidRPr="0058499D">
        <w:rPr>
          <w:rFonts w:ascii="Times New Roman" w:hAnsi="Times New Roman"/>
          <w:sz w:val="24"/>
          <w:szCs w:val="24"/>
        </w:rPr>
        <w:t xml:space="preserve">to deal with the other point </w:t>
      </w:r>
      <w:r w:rsidR="009A4858" w:rsidRPr="0058499D">
        <w:rPr>
          <w:rFonts w:ascii="Times New Roman" w:hAnsi="Times New Roman"/>
          <w:i/>
          <w:sz w:val="24"/>
          <w:szCs w:val="24"/>
        </w:rPr>
        <w:t>in limine</w:t>
      </w:r>
      <w:r w:rsidR="009A4858" w:rsidRPr="0058499D">
        <w:rPr>
          <w:rFonts w:ascii="Times New Roman" w:hAnsi="Times New Roman"/>
          <w:sz w:val="24"/>
          <w:szCs w:val="24"/>
        </w:rPr>
        <w:t xml:space="preserve"> raised by the </w:t>
      </w:r>
      <w:r>
        <w:rPr>
          <w:rFonts w:ascii="Times New Roman" w:hAnsi="Times New Roman"/>
          <w:sz w:val="24"/>
          <w:szCs w:val="24"/>
        </w:rPr>
        <w:t>r</w:t>
      </w:r>
      <w:r w:rsidR="009A4858" w:rsidRPr="0058499D">
        <w:rPr>
          <w:rFonts w:ascii="Times New Roman" w:hAnsi="Times New Roman"/>
          <w:sz w:val="24"/>
          <w:szCs w:val="24"/>
        </w:rPr>
        <w:t xml:space="preserve">espondent of failure to issue </w:t>
      </w:r>
      <w:r w:rsidR="00831C0E">
        <w:rPr>
          <w:rFonts w:ascii="Times New Roman" w:hAnsi="Times New Roman"/>
          <w:sz w:val="24"/>
          <w:szCs w:val="24"/>
        </w:rPr>
        <w:t xml:space="preserve">a </w:t>
      </w:r>
      <w:r w:rsidR="009A4858" w:rsidRPr="0058499D">
        <w:rPr>
          <w:rFonts w:ascii="Times New Roman" w:hAnsi="Times New Roman"/>
          <w:sz w:val="24"/>
          <w:szCs w:val="24"/>
        </w:rPr>
        <w:t xml:space="preserve">relevant notice of intention to sue the </w:t>
      </w:r>
      <w:r>
        <w:rPr>
          <w:rFonts w:ascii="Times New Roman" w:hAnsi="Times New Roman"/>
          <w:sz w:val="24"/>
          <w:szCs w:val="24"/>
        </w:rPr>
        <w:t>r</w:t>
      </w:r>
      <w:r w:rsidR="009A4858" w:rsidRPr="0058499D">
        <w:rPr>
          <w:rFonts w:ascii="Times New Roman" w:hAnsi="Times New Roman"/>
          <w:sz w:val="24"/>
          <w:szCs w:val="24"/>
        </w:rPr>
        <w:t xml:space="preserve">espondent. </w:t>
      </w:r>
      <w:r w:rsidR="006432CD" w:rsidRPr="0058499D">
        <w:rPr>
          <w:rFonts w:ascii="Times New Roman" w:hAnsi="Times New Roman"/>
          <w:sz w:val="24"/>
          <w:szCs w:val="24"/>
        </w:rPr>
        <w:t xml:space="preserve">Although I had directed parties to make submissions on the merits, my decision was not based on the merits of the present application. The decision was motivated by the point </w:t>
      </w:r>
      <w:r w:rsidR="006432CD" w:rsidRPr="0058499D">
        <w:rPr>
          <w:rFonts w:ascii="Times New Roman" w:hAnsi="Times New Roman"/>
          <w:i/>
          <w:sz w:val="24"/>
          <w:szCs w:val="24"/>
        </w:rPr>
        <w:t>in limine</w:t>
      </w:r>
      <w:r w:rsidR="006432CD" w:rsidRPr="0058499D">
        <w:rPr>
          <w:rFonts w:ascii="Times New Roman" w:hAnsi="Times New Roman"/>
          <w:sz w:val="24"/>
          <w:szCs w:val="24"/>
        </w:rPr>
        <w:t xml:space="preserve"> of prescription which acts </w:t>
      </w:r>
      <w:r w:rsidR="00F03CFA" w:rsidRPr="0058499D">
        <w:rPr>
          <w:rFonts w:ascii="Times New Roman" w:hAnsi="Times New Roman"/>
          <w:sz w:val="24"/>
          <w:szCs w:val="24"/>
        </w:rPr>
        <w:t xml:space="preserve">as </w:t>
      </w:r>
      <w:r w:rsidR="006432CD" w:rsidRPr="0058499D">
        <w:rPr>
          <w:rFonts w:ascii="Times New Roman" w:hAnsi="Times New Roman"/>
          <w:sz w:val="24"/>
          <w:szCs w:val="24"/>
        </w:rPr>
        <w:t>an absolute bar where it has been successfully argued.</w:t>
      </w:r>
    </w:p>
    <w:p w14:paraId="253A3CEE" w14:textId="77777777" w:rsidR="00F03CFA" w:rsidRDefault="00724C2F" w:rsidP="0058499D">
      <w:pPr>
        <w:spacing w:after="0" w:line="360" w:lineRule="auto"/>
        <w:jc w:val="both"/>
        <w:rPr>
          <w:rFonts w:ascii="Times New Roman" w:hAnsi="Times New Roman"/>
          <w:sz w:val="24"/>
          <w:szCs w:val="24"/>
        </w:rPr>
      </w:pPr>
      <w:r>
        <w:rPr>
          <w:rFonts w:ascii="Times New Roman" w:hAnsi="Times New Roman"/>
          <w:sz w:val="24"/>
          <w:szCs w:val="24"/>
        </w:rPr>
        <w:tab/>
      </w:r>
      <w:r w:rsidR="00130C4D" w:rsidRPr="0058499D">
        <w:rPr>
          <w:rFonts w:ascii="Times New Roman" w:hAnsi="Times New Roman"/>
          <w:sz w:val="24"/>
          <w:szCs w:val="24"/>
        </w:rPr>
        <w:t xml:space="preserve">On the basis of </w:t>
      </w:r>
      <w:r w:rsidR="007D1A28" w:rsidRPr="0058499D">
        <w:rPr>
          <w:rFonts w:ascii="Times New Roman" w:hAnsi="Times New Roman"/>
          <w:sz w:val="24"/>
          <w:szCs w:val="24"/>
        </w:rPr>
        <w:t xml:space="preserve">this </w:t>
      </w:r>
      <w:r w:rsidR="00994EAB" w:rsidRPr="0058499D">
        <w:rPr>
          <w:rFonts w:ascii="Times New Roman" w:hAnsi="Times New Roman"/>
          <w:sz w:val="24"/>
          <w:szCs w:val="24"/>
        </w:rPr>
        <w:t>reasoning,</w:t>
      </w:r>
      <w:r w:rsidR="006110F2" w:rsidRPr="0058499D">
        <w:rPr>
          <w:rFonts w:ascii="Times New Roman" w:hAnsi="Times New Roman"/>
          <w:sz w:val="24"/>
          <w:szCs w:val="24"/>
        </w:rPr>
        <w:t xml:space="preserve"> I dismissed the present application</w:t>
      </w:r>
      <w:r w:rsidR="00CB1108" w:rsidRPr="0058499D">
        <w:rPr>
          <w:rFonts w:ascii="Times New Roman" w:hAnsi="Times New Roman"/>
          <w:sz w:val="24"/>
          <w:szCs w:val="24"/>
        </w:rPr>
        <w:t>.</w:t>
      </w:r>
    </w:p>
    <w:p w14:paraId="46402BF6" w14:textId="77777777" w:rsidR="00724C2F" w:rsidRDefault="00724C2F" w:rsidP="0058499D">
      <w:pPr>
        <w:spacing w:after="0" w:line="360" w:lineRule="auto"/>
        <w:jc w:val="both"/>
        <w:rPr>
          <w:rFonts w:ascii="Times New Roman" w:hAnsi="Times New Roman"/>
          <w:sz w:val="24"/>
          <w:szCs w:val="24"/>
        </w:rPr>
      </w:pPr>
    </w:p>
    <w:p w14:paraId="26E34A5F" w14:textId="77777777" w:rsidR="00724C2F" w:rsidRDefault="00724C2F" w:rsidP="0058499D">
      <w:pPr>
        <w:spacing w:after="0" w:line="360" w:lineRule="auto"/>
        <w:jc w:val="both"/>
        <w:rPr>
          <w:rFonts w:ascii="Times New Roman" w:hAnsi="Times New Roman"/>
          <w:sz w:val="24"/>
          <w:szCs w:val="24"/>
        </w:rPr>
      </w:pPr>
    </w:p>
    <w:p w14:paraId="78A8D55B" w14:textId="77777777" w:rsidR="00F03CFA" w:rsidRPr="0058499D" w:rsidRDefault="00724C2F" w:rsidP="00724C2F">
      <w:pPr>
        <w:spacing w:line="360" w:lineRule="auto"/>
        <w:jc w:val="both"/>
        <w:rPr>
          <w:rFonts w:ascii="Times New Roman" w:hAnsi="Times New Roman"/>
          <w:sz w:val="24"/>
          <w:szCs w:val="24"/>
        </w:rPr>
      </w:pPr>
      <w:r w:rsidRPr="00724C2F">
        <w:rPr>
          <w:rFonts w:ascii="Times New Roman" w:hAnsi="Times New Roman"/>
          <w:b/>
          <w:bCs/>
          <w:smallCaps/>
          <w:sz w:val="24"/>
          <w:szCs w:val="24"/>
        </w:rPr>
        <w:t>Deme J</w:t>
      </w:r>
      <w:r>
        <w:rPr>
          <w:rFonts w:ascii="Times New Roman" w:hAnsi="Times New Roman"/>
          <w:sz w:val="24"/>
          <w:szCs w:val="24"/>
        </w:rPr>
        <w:t>: ………………………………………....</w:t>
      </w:r>
    </w:p>
    <w:p w14:paraId="000E02C4" w14:textId="77777777" w:rsidR="00174EB0" w:rsidRPr="0058499D" w:rsidRDefault="00174EB0" w:rsidP="00724C2F">
      <w:pPr>
        <w:spacing w:after="0" w:line="240" w:lineRule="auto"/>
        <w:jc w:val="both"/>
        <w:rPr>
          <w:rFonts w:ascii="Times New Roman" w:hAnsi="Times New Roman"/>
          <w:sz w:val="24"/>
          <w:szCs w:val="24"/>
        </w:rPr>
      </w:pPr>
      <w:r w:rsidRPr="00724C2F">
        <w:rPr>
          <w:rFonts w:ascii="Times New Roman" w:hAnsi="Times New Roman"/>
          <w:i/>
          <w:iCs/>
          <w:sz w:val="24"/>
          <w:szCs w:val="24"/>
        </w:rPr>
        <w:t>Tapera Muzanenhamo and Partners</w:t>
      </w:r>
      <w:r w:rsidRPr="0058499D">
        <w:rPr>
          <w:rFonts w:ascii="Times New Roman" w:hAnsi="Times New Roman"/>
          <w:sz w:val="24"/>
          <w:szCs w:val="24"/>
        </w:rPr>
        <w:t xml:space="preserve">, </w:t>
      </w:r>
      <w:r w:rsidR="00724C2F">
        <w:rPr>
          <w:rFonts w:ascii="Times New Roman" w:hAnsi="Times New Roman"/>
          <w:sz w:val="24"/>
          <w:szCs w:val="24"/>
        </w:rPr>
        <w:t>a</w:t>
      </w:r>
      <w:r w:rsidRPr="0058499D">
        <w:rPr>
          <w:rFonts w:ascii="Times New Roman" w:hAnsi="Times New Roman"/>
          <w:sz w:val="24"/>
          <w:szCs w:val="24"/>
        </w:rPr>
        <w:t xml:space="preserve">pplicant’s </w:t>
      </w:r>
      <w:r w:rsidR="00724C2F">
        <w:rPr>
          <w:rFonts w:ascii="Times New Roman" w:hAnsi="Times New Roman"/>
          <w:sz w:val="24"/>
          <w:szCs w:val="24"/>
        </w:rPr>
        <w:t>l</w:t>
      </w:r>
      <w:r w:rsidRPr="0058499D">
        <w:rPr>
          <w:rFonts w:ascii="Times New Roman" w:hAnsi="Times New Roman"/>
          <w:sz w:val="24"/>
          <w:szCs w:val="24"/>
        </w:rPr>
        <w:t xml:space="preserve">egal </w:t>
      </w:r>
      <w:r w:rsidR="00724C2F">
        <w:rPr>
          <w:rFonts w:ascii="Times New Roman" w:hAnsi="Times New Roman"/>
          <w:sz w:val="24"/>
          <w:szCs w:val="24"/>
        </w:rPr>
        <w:t>p</w:t>
      </w:r>
      <w:r w:rsidRPr="0058499D">
        <w:rPr>
          <w:rFonts w:ascii="Times New Roman" w:hAnsi="Times New Roman"/>
          <w:sz w:val="24"/>
          <w:szCs w:val="24"/>
        </w:rPr>
        <w:t>ractitioners</w:t>
      </w:r>
    </w:p>
    <w:p w14:paraId="348CD2AD" w14:textId="77777777" w:rsidR="00174EB0" w:rsidRPr="0058499D" w:rsidRDefault="00D77EC9" w:rsidP="00724C2F">
      <w:pPr>
        <w:spacing w:line="240" w:lineRule="auto"/>
        <w:jc w:val="both"/>
        <w:rPr>
          <w:rFonts w:ascii="Times New Roman" w:hAnsi="Times New Roman"/>
          <w:sz w:val="24"/>
          <w:szCs w:val="24"/>
        </w:rPr>
      </w:pPr>
      <w:r w:rsidRPr="00724C2F">
        <w:rPr>
          <w:rFonts w:ascii="Times New Roman" w:hAnsi="Times New Roman"/>
          <w:i/>
          <w:iCs/>
          <w:sz w:val="24"/>
          <w:szCs w:val="24"/>
        </w:rPr>
        <w:t>Zimbabwe Revenue Authority</w:t>
      </w:r>
      <w:r w:rsidRPr="0058499D">
        <w:rPr>
          <w:rFonts w:ascii="Times New Roman" w:hAnsi="Times New Roman"/>
          <w:sz w:val="24"/>
          <w:szCs w:val="24"/>
        </w:rPr>
        <w:t xml:space="preserve">, Legal Services Division, </w:t>
      </w:r>
      <w:r w:rsidR="00724C2F">
        <w:rPr>
          <w:rFonts w:ascii="Times New Roman" w:hAnsi="Times New Roman"/>
          <w:sz w:val="24"/>
          <w:szCs w:val="24"/>
        </w:rPr>
        <w:t>r</w:t>
      </w:r>
      <w:r w:rsidRPr="0058499D">
        <w:rPr>
          <w:rFonts w:ascii="Times New Roman" w:hAnsi="Times New Roman"/>
          <w:sz w:val="24"/>
          <w:szCs w:val="24"/>
        </w:rPr>
        <w:t xml:space="preserve">espondent’s </w:t>
      </w:r>
      <w:r w:rsidR="00724C2F">
        <w:rPr>
          <w:rFonts w:ascii="Times New Roman" w:hAnsi="Times New Roman"/>
          <w:sz w:val="24"/>
          <w:szCs w:val="24"/>
        </w:rPr>
        <w:t>l</w:t>
      </w:r>
      <w:r w:rsidRPr="0058499D">
        <w:rPr>
          <w:rFonts w:ascii="Times New Roman" w:hAnsi="Times New Roman"/>
          <w:sz w:val="24"/>
          <w:szCs w:val="24"/>
        </w:rPr>
        <w:t xml:space="preserve">egal </w:t>
      </w:r>
      <w:r w:rsidR="00724C2F">
        <w:rPr>
          <w:rFonts w:ascii="Times New Roman" w:hAnsi="Times New Roman"/>
          <w:sz w:val="24"/>
          <w:szCs w:val="24"/>
        </w:rPr>
        <w:t>p</w:t>
      </w:r>
      <w:r w:rsidRPr="0058499D">
        <w:rPr>
          <w:rFonts w:ascii="Times New Roman" w:hAnsi="Times New Roman"/>
          <w:sz w:val="24"/>
          <w:szCs w:val="24"/>
        </w:rPr>
        <w:t>ractitioners</w:t>
      </w:r>
    </w:p>
    <w:sectPr w:rsidR="00174EB0" w:rsidRPr="0058499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37359" w14:textId="77777777" w:rsidR="00770220" w:rsidRDefault="00770220" w:rsidP="00754CC7">
      <w:pPr>
        <w:spacing w:after="0" w:line="240" w:lineRule="auto"/>
      </w:pPr>
      <w:r>
        <w:separator/>
      </w:r>
    </w:p>
  </w:endnote>
  <w:endnote w:type="continuationSeparator" w:id="0">
    <w:p w14:paraId="291608EE" w14:textId="77777777" w:rsidR="00770220" w:rsidRDefault="00770220" w:rsidP="00754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CCDF2" w14:textId="77777777" w:rsidR="00770220" w:rsidRDefault="00770220" w:rsidP="00754CC7">
      <w:pPr>
        <w:spacing w:after="0" w:line="240" w:lineRule="auto"/>
      </w:pPr>
      <w:r>
        <w:separator/>
      </w:r>
    </w:p>
  </w:footnote>
  <w:footnote w:type="continuationSeparator" w:id="0">
    <w:p w14:paraId="50CFFA9F" w14:textId="77777777" w:rsidR="00770220" w:rsidRDefault="00770220" w:rsidP="00754CC7">
      <w:pPr>
        <w:spacing w:after="0" w:line="240" w:lineRule="auto"/>
      </w:pPr>
      <w:r>
        <w:continuationSeparator/>
      </w:r>
    </w:p>
  </w:footnote>
  <w:footnote w:id="1">
    <w:p w14:paraId="3D598228" w14:textId="77777777" w:rsidR="00754CC7" w:rsidRPr="00754CC7" w:rsidRDefault="00754CC7">
      <w:pPr>
        <w:pStyle w:val="FootnoteText"/>
        <w:rPr>
          <w:lang w:val="en-GB"/>
        </w:rPr>
      </w:pPr>
      <w:r>
        <w:rPr>
          <w:rStyle w:val="FootnoteReference"/>
        </w:rPr>
        <w:footnoteRef/>
      </w:r>
      <w:r>
        <w:t xml:space="preserve"> HH123/13.</w:t>
      </w:r>
    </w:p>
  </w:footnote>
  <w:footnote w:id="2">
    <w:p w14:paraId="2DE31A04" w14:textId="77777777" w:rsidR="001A2A74" w:rsidRPr="001A2A74" w:rsidRDefault="001A2A74">
      <w:pPr>
        <w:pStyle w:val="FootnoteText"/>
        <w:rPr>
          <w:lang w:val="en-GB"/>
        </w:rPr>
      </w:pPr>
      <w:r>
        <w:rPr>
          <w:rStyle w:val="FootnoteReference"/>
        </w:rPr>
        <w:footnoteRef/>
      </w:r>
      <w:r>
        <w:t xml:space="preserve"> HH304/18.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397E7" w14:textId="74386018" w:rsidR="00AA2D33" w:rsidRDefault="00AA2D33" w:rsidP="00AA2D33">
    <w:pPr>
      <w:pStyle w:val="Header"/>
      <w:spacing w:after="0"/>
      <w:jc w:val="right"/>
      <w:rPr>
        <w:noProof/>
      </w:rPr>
    </w:pPr>
    <w:r>
      <w:fldChar w:fldCharType="begin"/>
    </w:r>
    <w:r>
      <w:instrText xml:space="preserve"> PAGE   \* MERGEFORMAT </w:instrText>
    </w:r>
    <w:r>
      <w:fldChar w:fldCharType="separate"/>
    </w:r>
    <w:r w:rsidR="00FB09D6">
      <w:rPr>
        <w:noProof/>
      </w:rPr>
      <w:t>1</w:t>
    </w:r>
    <w:r>
      <w:rPr>
        <w:noProof/>
      </w:rPr>
      <w:fldChar w:fldCharType="end"/>
    </w:r>
  </w:p>
  <w:p w14:paraId="66B73A67" w14:textId="77777777" w:rsidR="00E42E5D" w:rsidRDefault="00E42E5D" w:rsidP="00AA2D33">
    <w:pPr>
      <w:pStyle w:val="Header"/>
      <w:spacing w:after="0"/>
      <w:jc w:val="right"/>
      <w:rPr>
        <w:noProof/>
      </w:rPr>
    </w:pPr>
    <w:r>
      <w:rPr>
        <w:noProof/>
      </w:rPr>
      <w:t>HH 492 – 24</w:t>
    </w:r>
  </w:p>
  <w:p w14:paraId="1E48782F" w14:textId="77777777" w:rsidR="00AA2D33" w:rsidRDefault="00AA2D33" w:rsidP="00AA2D33">
    <w:pPr>
      <w:pStyle w:val="Header"/>
      <w:spacing w:after="0"/>
      <w:jc w:val="right"/>
    </w:pPr>
    <w:r>
      <w:rPr>
        <w:noProof/>
      </w:rPr>
      <w:t>HC 1178/22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07B47"/>
    <w:multiLevelType w:val="hybridMultilevel"/>
    <w:tmpl w:val="5F827A30"/>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E19"/>
    <w:rsid w:val="00001FC8"/>
    <w:rsid w:val="00037A65"/>
    <w:rsid w:val="00037D20"/>
    <w:rsid w:val="000624C9"/>
    <w:rsid w:val="0007257F"/>
    <w:rsid w:val="000737E6"/>
    <w:rsid w:val="000C27C0"/>
    <w:rsid w:val="000E4126"/>
    <w:rsid w:val="0010180B"/>
    <w:rsid w:val="00116B41"/>
    <w:rsid w:val="0012643D"/>
    <w:rsid w:val="00130C4D"/>
    <w:rsid w:val="00140B18"/>
    <w:rsid w:val="00145892"/>
    <w:rsid w:val="00145F43"/>
    <w:rsid w:val="00160DDD"/>
    <w:rsid w:val="00174078"/>
    <w:rsid w:val="00174EB0"/>
    <w:rsid w:val="001831AF"/>
    <w:rsid w:val="001A2A74"/>
    <w:rsid w:val="001C1A85"/>
    <w:rsid w:val="001E5EA1"/>
    <w:rsid w:val="002240B2"/>
    <w:rsid w:val="00234FED"/>
    <w:rsid w:val="00235B08"/>
    <w:rsid w:val="002721B8"/>
    <w:rsid w:val="002858CC"/>
    <w:rsid w:val="00287F9E"/>
    <w:rsid w:val="002A314E"/>
    <w:rsid w:val="002B2E79"/>
    <w:rsid w:val="002B62E9"/>
    <w:rsid w:val="00310C67"/>
    <w:rsid w:val="003128E0"/>
    <w:rsid w:val="00336438"/>
    <w:rsid w:val="003461DA"/>
    <w:rsid w:val="0035082E"/>
    <w:rsid w:val="00361087"/>
    <w:rsid w:val="003634A1"/>
    <w:rsid w:val="00366BD0"/>
    <w:rsid w:val="00386CA7"/>
    <w:rsid w:val="003A2B6F"/>
    <w:rsid w:val="003B58C2"/>
    <w:rsid w:val="003B72A5"/>
    <w:rsid w:val="003D3879"/>
    <w:rsid w:val="004020A4"/>
    <w:rsid w:val="0043057F"/>
    <w:rsid w:val="00433B1A"/>
    <w:rsid w:val="00476517"/>
    <w:rsid w:val="004850A0"/>
    <w:rsid w:val="00487168"/>
    <w:rsid w:val="004C1258"/>
    <w:rsid w:val="004D4106"/>
    <w:rsid w:val="004E197A"/>
    <w:rsid w:val="004F3228"/>
    <w:rsid w:val="005520E2"/>
    <w:rsid w:val="005840C6"/>
    <w:rsid w:val="0058499D"/>
    <w:rsid w:val="005913BE"/>
    <w:rsid w:val="005934A2"/>
    <w:rsid w:val="005A17DB"/>
    <w:rsid w:val="005A77A0"/>
    <w:rsid w:val="005C2653"/>
    <w:rsid w:val="005D32B8"/>
    <w:rsid w:val="005D44BC"/>
    <w:rsid w:val="005F05D9"/>
    <w:rsid w:val="00601A45"/>
    <w:rsid w:val="006110F2"/>
    <w:rsid w:val="006432CD"/>
    <w:rsid w:val="006604E2"/>
    <w:rsid w:val="006753AA"/>
    <w:rsid w:val="00684EF1"/>
    <w:rsid w:val="00685AC5"/>
    <w:rsid w:val="00685BFD"/>
    <w:rsid w:val="006A00B7"/>
    <w:rsid w:val="006B0441"/>
    <w:rsid w:val="006B380B"/>
    <w:rsid w:val="006B704B"/>
    <w:rsid w:val="006B7F06"/>
    <w:rsid w:val="006F078D"/>
    <w:rsid w:val="00703709"/>
    <w:rsid w:val="00724C2F"/>
    <w:rsid w:val="00754CC7"/>
    <w:rsid w:val="00762AC7"/>
    <w:rsid w:val="00767F1D"/>
    <w:rsid w:val="00770220"/>
    <w:rsid w:val="0077520A"/>
    <w:rsid w:val="007A2336"/>
    <w:rsid w:val="007A648B"/>
    <w:rsid w:val="007B5755"/>
    <w:rsid w:val="007D153B"/>
    <w:rsid w:val="007D1A28"/>
    <w:rsid w:val="007D6F38"/>
    <w:rsid w:val="007F072A"/>
    <w:rsid w:val="007F0A39"/>
    <w:rsid w:val="00810768"/>
    <w:rsid w:val="008168D2"/>
    <w:rsid w:val="00831C0E"/>
    <w:rsid w:val="00840EE5"/>
    <w:rsid w:val="008501DD"/>
    <w:rsid w:val="008947ED"/>
    <w:rsid w:val="008B70B3"/>
    <w:rsid w:val="00910184"/>
    <w:rsid w:val="00927AFE"/>
    <w:rsid w:val="00961C84"/>
    <w:rsid w:val="009839D9"/>
    <w:rsid w:val="00992F71"/>
    <w:rsid w:val="00993D64"/>
    <w:rsid w:val="00994EAB"/>
    <w:rsid w:val="009A4858"/>
    <w:rsid w:val="009C7473"/>
    <w:rsid w:val="00A15BEB"/>
    <w:rsid w:val="00A375DF"/>
    <w:rsid w:val="00A64FC9"/>
    <w:rsid w:val="00A717FE"/>
    <w:rsid w:val="00A75412"/>
    <w:rsid w:val="00AA2D33"/>
    <w:rsid w:val="00AC0D2E"/>
    <w:rsid w:val="00B04915"/>
    <w:rsid w:val="00B24C71"/>
    <w:rsid w:val="00B25EFB"/>
    <w:rsid w:val="00B45A12"/>
    <w:rsid w:val="00B65E19"/>
    <w:rsid w:val="00BA034B"/>
    <w:rsid w:val="00BB0D32"/>
    <w:rsid w:val="00BD7AC6"/>
    <w:rsid w:val="00BE6D66"/>
    <w:rsid w:val="00BF3B38"/>
    <w:rsid w:val="00C65EC1"/>
    <w:rsid w:val="00C71550"/>
    <w:rsid w:val="00C76245"/>
    <w:rsid w:val="00C77928"/>
    <w:rsid w:val="00C9145C"/>
    <w:rsid w:val="00C9482D"/>
    <w:rsid w:val="00C94FC6"/>
    <w:rsid w:val="00CA2F06"/>
    <w:rsid w:val="00CB1108"/>
    <w:rsid w:val="00CB5B94"/>
    <w:rsid w:val="00CD7926"/>
    <w:rsid w:val="00CF790D"/>
    <w:rsid w:val="00D52270"/>
    <w:rsid w:val="00D772FF"/>
    <w:rsid w:val="00D779E5"/>
    <w:rsid w:val="00D77EC9"/>
    <w:rsid w:val="00D8049F"/>
    <w:rsid w:val="00D84EDA"/>
    <w:rsid w:val="00D953AC"/>
    <w:rsid w:val="00DA6A99"/>
    <w:rsid w:val="00DA7B55"/>
    <w:rsid w:val="00DB4EB2"/>
    <w:rsid w:val="00DF2F21"/>
    <w:rsid w:val="00E14908"/>
    <w:rsid w:val="00E42E5D"/>
    <w:rsid w:val="00E7602E"/>
    <w:rsid w:val="00E83740"/>
    <w:rsid w:val="00EB2C61"/>
    <w:rsid w:val="00EB2E62"/>
    <w:rsid w:val="00EC4240"/>
    <w:rsid w:val="00ED4BF4"/>
    <w:rsid w:val="00EF54B4"/>
    <w:rsid w:val="00F02F09"/>
    <w:rsid w:val="00F03CFA"/>
    <w:rsid w:val="00F33A1E"/>
    <w:rsid w:val="00F419C7"/>
    <w:rsid w:val="00F42034"/>
    <w:rsid w:val="00F4551D"/>
    <w:rsid w:val="00F6596F"/>
    <w:rsid w:val="00F868FC"/>
    <w:rsid w:val="00FA24D6"/>
    <w:rsid w:val="00FB09D6"/>
    <w:rsid w:val="00FB5210"/>
    <w:rsid w:val="00FC4E0A"/>
    <w:rsid w:val="00FD1A8B"/>
    <w:rsid w:val="00FF530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BC437"/>
  <w15:chartTrackingRefBased/>
  <w15:docId w15:val="{CA86A7EB-17A8-4EF4-8B26-8C65FC69D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ZW" w:eastAsia="en-Z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4CC7"/>
    <w:rPr>
      <w:rFonts w:ascii="Times New Roman" w:eastAsia="Times New Roman" w:hAnsi="Times New Roman"/>
      <w:sz w:val="24"/>
      <w:szCs w:val="24"/>
      <w:lang w:val="en-US" w:eastAsia="en-US"/>
    </w:rPr>
  </w:style>
  <w:style w:type="paragraph" w:styleId="FootnoteText">
    <w:name w:val="footnote text"/>
    <w:basedOn w:val="Normal"/>
    <w:link w:val="FootnoteTextChar"/>
    <w:uiPriority w:val="99"/>
    <w:semiHidden/>
    <w:unhideWhenUsed/>
    <w:rsid w:val="00754CC7"/>
    <w:rPr>
      <w:sz w:val="20"/>
      <w:szCs w:val="20"/>
    </w:rPr>
  </w:style>
  <w:style w:type="character" w:customStyle="1" w:styleId="FootnoteTextChar">
    <w:name w:val="Footnote Text Char"/>
    <w:link w:val="FootnoteText"/>
    <w:uiPriority w:val="99"/>
    <w:semiHidden/>
    <w:rsid w:val="00754CC7"/>
    <w:rPr>
      <w:lang w:eastAsia="en-US"/>
    </w:rPr>
  </w:style>
  <w:style w:type="character" w:styleId="FootnoteReference">
    <w:name w:val="footnote reference"/>
    <w:uiPriority w:val="99"/>
    <w:semiHidden/>
    <w:unhideWhenUsed/>
    <w:rsid w:val="00754CC7"/>
    <w:rPr>
      <w:vertAlign w:val="superscript"/>
    </w:rPr>
  </w:style>
  <w:style w:type="paragraph" w:styleId="Header">
    <w:name w:val="header"/>
    <w:basedOn w:val="Normal"/>
    <w:link w:val="HeaderChar"/>
    <w:uiPriority w:val="99"/>
    <w:unhideWhenUsed/>
    <w:rsid w:val="00AA2D33"/>
    <w:pPr>
      <w:tabs>
        <w:tab w:val="center" w:pos="4513"/>
        <w:tab w:val="right" w:pos="9026"/>
      </w:tabs>
    </w:pPr>
  </w:style>
  <w:style w:type="character" w:customStyle="1" w:styleId="HeaderChar">
    <w:name w:val="Header Char"/>
    <w:link w:val="Header"/>
    <w:uiPriority w:val="99"/>
    <w:rsid w:val="00AA2D33"/>
    <w:rPr>
      <w:sz w:val="22"/>
      <w:szCs w:val="22"/>
      <w:lang w:eastAsia="en-US"/>
    </w:rPr>
  </w:style>
  <w:style w:type="paragraph" w:styleId="Footer">
    <w:name w:val="footer"/>
    <w:basedOn w:val="Normal"/>
    <w:link w:val="FooterChar"/>
    <w:uiPriority w:val="99"/>
    <w:unhideWhenUsed/>
    <w:rsid w:val="00AA2D33"/>
    <w:pPr>
      <w:tabs>
        <w:tab w:val="center" w:pos="4513"/>
        <w:tab w:val="right" w:pos="9026"/>
      </w:tabs>
    </w:pPr>
  </w:style>
  <w:style w:type="character" w:customStyle="1" w:styleId="FooterChar">
    <w:name w:val="Footer Char"/>
    <w:link w:val="Footer"/>
    <w:uiPriority w:val="99"/>
    <w:rsid w:val="00AA2D3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21C72-F9AE-4A32-9C90-1C6F6A85E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2186</Words>
  <Characters>12462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Deme</dc:creator>
  <cp:keywords/>
  <dc:description/>
  <cp:lastModifiedBy>JSC</cp:lastModifiedBy>
  <cp:revision>2</cp:revision>
  <dcterms:created xsi:type="dcterms:W3CDTF">2024-11-01T10:08:00Z</dcterms:created>
  <dcterms:modified xsi:type="dcterms:W3CDTF">2024-11-01T10:08:00Z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915a174a8a75a2adb24d7a807ce2053bfa73913ee8287a22fbfe786ad5309d5f</vt:lpwstr>
  </property>
</Properties>
</file>