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882" w:rsidRPr="00C95C70" w:rsidRDefault="0049630D" w:rsidP="0049630D">
      <w:pPr>
        <w:spacing w:after="0" w:line="240" w:lineRule="auto"/>
        <w:rPr>
          <w:rFonts w:ascii="Times New Roman" w:hAnsi="Times New Roman" w:cs="Times New Roman"/>
          <w:b/>
          <w:sz w:val="24"/>
          <w:szCs w:val="24"/>
        </w:rPr>
      </w:pPr>
      <w:r w:rsidRPr="00C95C70">
        <w:rPr>
          <w:rFonts w:ascii="Times New Roman" w:hAnsi="Times New Roman" w:cs="Times New Roman"/>
          <w:b/>
          <w:sz w:val="24"/>
          <w:szCs w:val="24"/>
        </w:rPr>
        <w:t>IN THE LABOUR COURT OF ZIMBABWE</w:t>
      </w:r>
      <w:r w:rsidRPr="00C95C70">
        <w:rPr>
          <w:rFonts w:ascii="Times New Roman" w:hAnsi="Times New Roman" w:cs="Times New Roman"/>
          <w:b/>
          <w:sz w:val="24"/>
          <w:szCs w:val="24"/>
        </w:rPr>
        <w:tab/>
      </w:r>
      <w:r w:rsidR="00C95C70">
        <w:rPr>
          <w:rFonts w:ascii="Times New Roman" w:hAnsi="Times New Roman" w:cs="Times New Roman"/>
          <w:b/>
          <w:sz w:val="24"/>
          <w:szCs w:val="24"/>
        </w:rPr>
        <w:t xml:space="preserve">         </w:t>
      </w:r>
      <w:r w:rsidRPr="00C95C70">
        <w:rPr>
          <w:rFonts w:ascii="Times New Roman" w:hAnsi="Times New Roman" w:cs="Times New Roman"/>
          <w:b/>
          <w:sz w:val="24"/>
          <w:szCs w:val="24"/>
        </w:rPr>
        <w:t>JUDGMENT NO LC/H/</w:t>
      </w:r>
      <w:r w:rsidR="00AA6D10">
        <w:rPr>
          <w:rFonts w:ascii="Times New Roman" w:hAnsi="Times New Roman" w:cs="Times New Roman"/>
          <w:b/>
          <w:sz w:val="24"/>
          <w:szCs w:val="24"/>
        </w:rPr>
        <w:t>471</w:t>
      </w:r>
      <w:r w:rsidRPr="00C95C70">
        <w:rPr>
          <w:rFonts w:ascii="Times New Roman" w:hAnsi="Times New Roman" w:cs="Times New Roman"/>
          <w:b/>
          <w:sz w:val="24"/>
          <w:szCs w:val="24"/>
        </w:rPr>
        <w:t>/2016</w:t>
      </w:r>
    </w:p>
    <w:p w:rsidR="0049630D" w:rsidRPr="00C95C70" w:rsidRDefault="0049630D" w:rsidP="0049630D">
      <w:pPr>
        <w:spacing w:after="0" w:line="240" w:lineRule="auto"/>
        <w:rPr>
          <w:rFonts w:ascii="Times New Roman" w:hAnsi="Times New Roman" w:cs="Times New Roman"/>
          <w:b/>
          <w:sz w:val="24"/>
          <w:szCs w:val="24"/>
        </w:rPr>
      </w:pPr>
    </w:p>
    <w:p w:rsidR="0049630D" w:rsidRPr="00C95C70" w:rsidRDefault="0049630D" w:rsidP="0049630D">
      <w:pPr>
        <w:spacing w:after="0" w:line="240" w:lineRule="auto"/>
        <w:rPr>
          <w:rFonts w:ascii="Times New Roman" w:hAnsi="Times New Roman" w:cs="Times New Roman"/>
          <w:b/>
          <w:sz w:val="24"/>
          <w:szCs w:val="24"/>
        </w:rPr>
      </w:pPr>
      <w:r w:rsidRPr="00C95C70">
        <w:rPr>
          <w:rFonts w:ascii="Times New Roman" w:hAnsi="Times New Roman" w:cs="Times New Roman"/>
          <w:b/>
          <w:sz w:val="24"/>
          <w:szCs w:val="24"/>
        </w:rPr>
        <w:t>HARARE, 5 JULY 2016 &amp;</w:t>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t xml:space="preserve">        CASE NO LC/H/147/2016</w:t>
      </w:r>
    </w:p>
    <w:p w:rsidR="0049630D" w:rsidRDefault="00AA6D10" w:rsidP="0049630D">
      <w:pPr>
        <w:spacing w:after="0" w:line="240" w:lineRule="auto"/>
        <w:rPr>
          <w:rFonts w:ascii="Times New Roman" w:hAnsi="Times New Roman" w:cs="Times New Roman"/>
          <w:b/>
          <w:sz w:val="24"/>
          <w:szCs w:val="24"/>
        </w:rPr>
      </w:pPr>
      <w:r>
        <w:rPr>
          <w:rFonts w:ascii="Times New Roman" w:hAnsi="Times New Roman" w:cs="Times New Roman"/>
          <w:b/>
          <w:sz w:val="24"/>
          <w:szCs w:val="24"/>
        </w:rPr>
        <w:t>5 AUGUST 2016</w:t>
      </w:r>
    </w:p>
    <w:p w:rsidR="00AA6D10" w:rsidRPr="00C95C70" w:rsidRDefault="00AA6D10" w:rsidP="0049630D">
      <w:pPr>
        <w:spacing w:after="0" w:line="240" w:lineRule="auto"/>
        <w:rPr>
          <w:rFonts w:ascii="Times New Roman" w:hAnsi="Times New Roman" w:cs="Times New Roman"/>
          <w:b/>
          <w:sz w:val="24"/>
          <w:szCs w:val="24"/>
        </w:rPr>
      </w:pPr>
      <w:bookmarkStart w:id="0" w:name="_GoBack"/>
      <w:bookmarkEnd w:id="0"/>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p>
    <w:p w:rsidR="0049630D" w:rsidRPr="00C95C70" w:rsidRDefault="0049630D" w:rsidP="0049630D">
      <w:pPr>
        <w:spacing w:after="0" w:line="240" w:lineRule="auto"/>
        <w:rPr>
          <w:rFonts w:ascii="Times New Roman" w:hAnsi="Times New Roman" w:cs="Times New Roman"/>
          <w:b/>
          <w:sz w:val="24"/>
          <w:szCs w:val="24"/>
        </w:rPr>
      </w:pPr>
      <w:r w:rsidRPr="00C95C70">
        <w:rPr>
          <w:rFonts w:ascii="Times New Roman" w:hAnsi="Times New Roman" w:cs="Times New Roman"/>
          <w:b/>
          <w:sz w:val="24"/>
          <w:szCs w:val="24"/>
        </w:rPr>
        <w:t>KEITH ROBIN MUNGOSHI</w:t>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t>APPELLANT</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p>
    <w:p w:rsidR="0049630D" w:rsidRPr="00C95C70" w:rsidRDefault="0049630D" w:rsidP="0049630D">
      <w:pPr>
        <w:spacing w:after="0" w:line="240" w:lineRule="auto"/>
        <w:rPr>
          <w:rFonts w:ascii="Times New Roman" w:hAnsi="Times New Roman" w:cs="Times New Roman"/>
          <w:b/>
          <w:sz w:val="24"/>
          <w:szCs w:val="24"/>
        </w:rPr>
      </w:pPr>
      <w:r w:rsidRPr="00C95C70">
        <w:rPr>
          <w:rFonts w:ascii="Times New Roman" w:hAnsi="Times New Roman" w:cs="Times New Roman"/>
          <w:b/>
          <w:sz w:val="24"/>
          <w:szCs w:val="24"/>
        </w:rPr>
        <w:t>SIKIRWAI GANDI</w:t>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r>
      <w:r w:rsidRPr="00C95C70">
        <w:rPr>
          <w:rFonts w:ascii="Times New Roman" w:hAnsi="Times New Roman" w:cs="Times New Roman"/>
          <w:b/>
          <w:sz w:val="24"/>
          <w:szCs w:val="24"/>
        </w:rPr>
        <w:tab/>
        <w:t>RESPONDENT</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G </w:t>
      </w:r>
      <w:proofErr w:type="spellStart"/>
      <w:proofErr w:type="gramStart"/>
      <w:r>
        <w:rPr>
          <w:rFonts w:ascii="Times New Roman" w:hAnsi="Times New Roman" w:cs="Times New Roman"/>
          <w:sz w:val="24"/>
          <w:szCs w:val="24"/>
        </w:rPr>
        <w:t>Pendei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T </w:t>
      </w:r>
      <w:proofErr w:type="spellStart"/>
      <w:r>
        <w:rPr>
          <w:rFonts w:ascii="Times New Roman" w:hAnsi="Times New Roman" w:cs="Times New Roman"/>
          <w:sz w:val="24"/>
          <w:szCs w:val="24"/>
        </w:rPr>
        <w:t>Dzikiti</w:t>
      </w:r>
      <w:proofErr w:type="spellEnd"/>
      <w:r>
        <w:rPr>
          <w:rFonts w:ascii="Times New Roman" w:hAnsi="Times New Roman" w:cs="Times New Roman"/>
          <w:sz w:val="24"/>
          <w:szCs w:val="24"/>
        </w:rPr>
        <w:t xml:space="preserve"> (Legal Practitioner)</w:t>
      </w:r>
    </w:p>
    <w:p w:rsidR="0049630D" w:rsidRDefault="0049630D" w:rsidP="0049630D">
      <w:pPr>
        <w:spacing w:after="0" w:line="240" w:lineRule="auto"/>
        <w:rPr>
          <w:rFonts w:ascii="Times New Roman" w:hAnsi="Times New Roman" w:cs="Times New Roman"/>
          <w:sz w:val="24"/>
          <w:szCs w:val="24"/>
        </w:rPr>
      </w:pPr>
    </w:p>
    <w:p w:rsidR="0049630D" w:rsidRDefault="0049630D" w:rsidP="0049630D">
      <w:pPr>
        <w:spacing w:after="0" w:line="240" w:lineRule="auto"/>
        <w:rPr>
          <w:rFonts w:ascii="Times New Roman" w:hAnsi="Times New Roman" w:cs="Times New Roman"/>
          <w:sz w:val="24"/>
          <w:szCs w:val="24"/>
        </w:rPr>
      </w:pPr>
    </w:p>
    <w:p w:rsidR="0049630D" w:rsidRPr="00C95C70" w:rsidRDefault="0049630D" w:rsidP="0049630D">
      <w:pPr>
        <w:spacing w:after="0" w:line="240" w:lineRule="auto"/>
        <w:rPr>
          <w:rFonts w:ascii="Times New Roman" w:hAnsi="Times New Roman" w:cs="Times New Roman"/>
          <w:b/>
          <w:sz w:val="24"/>
          <w:szCs w:val="24"/>
        </w:rPr>
      </w:pPr>
      <w:r w:rsidRPr="00C95C70">
        <w:rPr>
          <w:rFonts w:ascii="Times New Roman" w:hAnsi="Times New Roman" w:cs="Times New Roman"/>
          <w:b/>
          <w:sz w:val="24"/>
          <w:szCs w:val="24"/>
        </w:rPr>
        <w:t>MUCHAWA J:</w:t>
      </w:r>
    </w:p>
    <w:p w:rsidR="0049630D" w:rsidRDefault="0049630D" w:rsidP="0049630D">
      <w:pPr>
        <w:spacing w:after="0" w:line="240" w:lineRule="auto"/>
        <w:rPr>
          <w:rFonts w:ascii="Times New Roman" w:hAnsi="Times New Roman" w:cs="Times New Roman"/>
          <w:sz w:val="24"/>
          <w:szCs w:val="24"/>
        </w:rPr>
      </w:pPr>
    </w:p>
    <w:p w:rsidR="0049630D" w:rsidRDefault="0049630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appeal against an arbitral award in respect to one </w:t>
      </w:r>
      <w:proofErr w:type="spellStart"/>
      <w:r>
        <w:rPr>
          <w:rFonts w:ascii="Times New Roman" w:hAnsi="Times New Roman" w:cs="Times New Roman"/>
          <w:sz w:val="24"/>
          <w:szCs w:val="24"/>
        </w:rPr>
        <w:t>Sikirwai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and Milestone Academy (MA). The arbitrator’s terms of reference were to determine whether or not the termination of the respondent’s contract of employment was lawful, the amount of salary arrears and the appropriate remedy.</w:t>
      </w:r>
    </w:p>
    <w:p w:rsidR="0049630D" w:rsidRDefault="0049630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termination was unlawful and that Milestone Academy owed the respondent arrear salaries in the amount of $6 976-40. He ordered that the respondent be reinstated or alternatively that he be paid damages in lieu of reinstatement.</w:t>
      </w:r>
    </w:p>
    <w:p w:rsidR="0049630D" w:rsidRDefault="0049630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this court, a party known as Keith Robin </w:t>
      </w:r>
      <w:proofErr w:type="spellStart"/>
      <w:r>
        <w:rPr>
          <w:rFonts w:ascii="Times New Roman" w:hAnsi="Times New Roman" w:cs="Times New Roman"/>
          <w:sz w:val="24"/>
          <w:szCs w:val="24"/>
        </w:rPr>
        <w:t>Mungoshi</w:t>
      </w:r>
      <w:proofErr w:type="spellEnd"/>
      <w:r>
        <w:rPr>
          <w:rFonts w:ascii="Times New Roman" w:hAnsi="Times New Roman" w:cs="Times New Roman"/>
          <w:sz w:val="24"/>
          <w:szCs w:val="24"/>
        </w:rPr>
        <w:t xml:space="preserve"> filed an appeal against the arbitral award purportedly as “Milestone Academy”. The appeal is noted as between Keith Robin </w:t>
      </w:r>
      <w:proofErr w:type="spellStart"/>
      <w:r>
        <w:rPr>
          <w:rFonts w:ascii="Times New Roman" w:hAnsi="Times New Roman" w:cs="Times New Roman"/>
          <w:sz w:val="24"/>
          <w:szCs w:val="24"/>
        </w:rPr>
        <w:t>Mungoshi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Sikirwai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w:t>
      </w:r>
    </w:p>
    <w:p w:rsidR="0049630D" w:rsidRDefault="0049630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grounds are in the form of what is termed “arbitration rebuts spanning a full seven pages and includes the following attachments:</w:t>
      </w:r>
    </w:p>
    <w:p w:rsidR="0049630D" w:rsidRDefault="0049630D" w:rsidP="00C95C70">
      <w:pPr>
        <w:spacing w:after="0" w:line="240" w:lineRule="auto"/>
        <w:jc w:val="both"/>
        <w:rPr>
          <w:rFonts w:ascii="Times New Roman" w:hAnsi="Times New Roman" w:cs="Times New Roman"/>
          <w:sz w:val="24"/>
          <w:szCs w:val="24"/>
        </w:rPr>
      </w:pPr>
    </w:p>
    <w:p w:rsidR="0049630D" w:rsidRDefault="0049630D"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sample Milestone Academy contract of employment  (6 pages)</w:t>
      </w:r>
    </w:p>
    <w:p w:rsidR="0049630D" w:rsidRDefault="0049630D"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Salary schedule S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(1 page)</w:t>
      </w:r>
    </w:p>
    <w:p w:rsidR="0049630D" w:rsidRDefault="0049630D"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pages of proof that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received education benefit.</w:t>
      </w:r>
    </w:p>
    <w:p w:rsidR="0049630D" w:rsidRDefault="0049630D" w:rsidP="00C95C70">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Gandi</w:t>
      </w:r>
      <w:proofErr w:type="spellEnd"/>
      <w:r>
        <w:rPr>
          <w:rFonts w:ascii="Times New Roman" w:hAnsi="Times New Roman" w:cs="Times New Roman"/>
          <w:sz w:val="24"/>
          <w:szCs w:val="24"/>
        </w:rPr>
        <w:t xml:space="preserve"> </w:t>
      </w:r>
      <w:r w:rsidR="00403B14">
        <w:rPr>
          <w:rFonts w:ascii="Times New Roman" w:hAnsi="Times New Roman" w:cs="Times New Roman"/>
          <w:sz w:val="24"/>
          <w:szCs w:val="24"/>
        </w:rPr>
        <w:t>a fraudulent character on duty for 122 hours  (1 page)</w:t>
      </w:r>
    </w:p>
    <w:p w:rsidR="00403B14" w:rsidRDefault="00403B14"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Terminal contract signed by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(1 page)</w:t>
      </w:r>
    </w:p>
    <w:p w:rsidR="00403B14" w:rsidRDefault="00403B14" w:rsidP="00C95C70">
      <w:pPr>
        <w:pStyle w:val="ListParagraph"/>
        <w:numPr>
          <w:ilvl w:val="0"/>
          <w:numId w:val="1"/>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Gandi’s</w:t>
      </w:r>
      <w:proofErr w:type="spellEnd"/>
      <w:r>
        <w:rPr>
          <w:rFonts w:ascii="Times New Roman" w:hAnsi="Times New Roman" w:cs="Times New Roman"/>
          <w:sz w:val="24"/>
          <w:szCs w:val="24"/>
        </w:rPr>
        <w:t xml:space="preserve"> fraudulent holiday job card (1 page)</w:t>
      </w:r>
    </w:p>
    <w:p w:rsidR="00403B14" w:rsidRDefault="00403B14"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Police Act Provisions  (1 page)</w:t>
      </w:r>
    </w:p>
    <w:p w:rsidR="00403B14" w:rsidRDefault="00403B14"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Witness list (2 pages)</w:t>
      </w:r>
    </w:p>
    <w:p w:rsidR="00403B14" w:rsidRDefault="00403B14" w:rsidP="00C95C7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Occurrence book  (18 pages)</w:t>
      </w:r>
    </w:p>
    <w:p w:rsidR="00403B14" w:rsidRDefault="00403B14" w:rsidP="00C95C70">
      <w:pPr>
        <w:spacing w:after="0" w:line="240" w:lineRule="auto"/>
        <w:jc w:val="both"/>
        <w:rPr>
          <w:rFonts w:ascii="Times New Roman" w:hAnsi="Times New Roman" w:cs="Times New Roman"/>
          <w:sz w:val="24"/>
          <w:szCs w:val="24"/>
        </w:rPr>
      </w:pPr>
    </w:p>
    <w:p w:rsidR="00403B14" w:rsidRDefault="00403B14" w:rsidP="00C95C7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following emerge as possible grounds of appeal:</w:t>
      </w:r>
    </w:p>
    <w:p w:rsidR="00403B14" w:rsidRDefault="00403B14" w:rsidP="00C95C70">
      <w:pPr>
        <w:spacing w:after="0" w:line="240" w:lineRule="auto"/>
        <w:jc w:val="both"/>
        <w:rPr>
          <w:rFonts w:ascii="Times New Roman" w:hAnsi="Times New Roman" w:cs="Times New Roman"/>
          <w:sz w:val="24"/>
          <w:szCs w:val="24"/>
        </w:rPr>
      </w:pP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Case closed prematurely.</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Failure to determine agreement between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and MA.</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All requests for documents made on behalf of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were met by MA.</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Unfair dismissal and reinstatement.</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Unjust enrichment.</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failed to accommodate witnesses.</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fails to deliver papers to MA lawyers.</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issued with (allegedly) wrong and malicious calculations.</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Failure by judgment to explain the arbitration process.</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Lack of proper handover/takeover – conciliation and arbitration.</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MA concerns ignored by judgment.</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proceedings and duress.</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Monetary extortion omitted in judgment.</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Inclusion of holiday salaries in judgment.</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a shared resource.</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Fabrications on job cards.</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a uniformed member of ZRP</w:t>
      </w:r>
    </w:p>
    <w:p w:rsidR="00403B14" w:rsidRDefault="00403B14" w:rsidP="00C95C7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in contravention of the Police Act of Zimbabwe.</w:t>
      </w:r>
    </w:p>
    <w:p w:rsidR="00403B14" w:rsidRDefault="00403B14" w:rsidP="00C95C70">
      <w:pPr>
        <w:spacing w:after="0" w:line="240" w:lineRule="auto"/>
        <w:jc w:val="both"/>
        <w:rPr>
          <w:rFonts w:ascii="Times New Roman" w:hAnsi="Times New Roman" w:cs="Times New Roman"/>
          <w:sz w:val="24"/>
          <w:szCs w:val="24"/>
        </w:rPr>
      </w:pPr>
    </w:p>
    <w:p w:rsidR="00403B14" w:rsidRDefault="00403B14"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the filing of the appeal on 15 March 2016, the respondent filed a response and raised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there are no proper grounds of appeal before me as most deal with procedure and that they do not raise questions of law as stipulated by the Labour Act. Further that the grounds of appeal are not succinctly</w:t>
      </w:r>
      <w:r w:rsidR="006C501D">
        <w:rPr>
          <w:rFonts w:ascii="Times New Roman" w:hAnsi="Times New Roman" w:cs="Times New Roman"/>
          <w:sz w:val="24"/>
          <w:szCs w:val="24"/>
        </w:rPr>
        <w:t xml:space="preserve"> stated so as to enable a proper response by the respondent.</w:t>
      </w:r>
    </w:p>
    <w:p w:rsidR="006C501D" w:rsidRDefault="006C501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appellant, who was then legally represented at the </w:t>
      </w:r>
      <w:proofErr w:type="gramStart"/>
      <w:r>
        <w:rPr>
          <w:rFonts w:ascii="Times New Roman" w:hAnsi="Times New Roman" w:cs="Times New Roman"/>
          <w:sz w:val="24"/>
          <w:szCs w:val="24"/>
        </w:rPr>
        <w:t>hearing</w:t>
      </w:r>
      <w:proofErr w:type="gramEnd"/>
      <w:r>
        <w:rPr>
          <w:rFonts w:ascii="Times New Roman" w:hAnsi="Times New Roman" w:cs="Times New Roman"/>
          <w:sz w:val="24"/>
          <w:szCs w:val="24"/>
        </w:rPr>
        <w:t xml:space="preserve"> also raised points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The first is that the notice of opposition is not in the proper form as prescribed in Rule 15 (2) of the Labour Court Rules which provides that a notice of response should be lodged on Part II of Form LC2. I dismissed this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as I exercised my discretion to condone the non-compliance. I found that there had been substantial compliance with the Rules.</w:t>
      </w:r>
    </w:p>
    <w:p w:rsidR="006C501D" w:rsidRDefault="006C501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however upheld the second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wherein the appellant invoked Rule 19 (3) of the Labour Court Rules. The respondent was barred and I proceeded to determine the matter on the merits. I however made a preliminary observation.</w:t>
      </w:r>
    </w:p>
    <w:p w:rsidR="006C501D" w:rsidRDefault="006C501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observed that the current appellant was not a party to the proceedings before the arbitrator. The respondent’s position was that the appellant had no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standi</w:t>
      </w:r>
      <w:proofErr w:type="spellEnd"/>
      <w:r>
        <w:rPr>
          <w:rFonts w:ascii="Times New Roman" w:hAnsi="Times New Roman" w:cs="Times New Roman"/>
          <w:sz w:val="24"/>
          <w:szCs w:val="24"/>
        </w:rPr>
        <w:t>.</w:t>
      </w:r>
    </w:p>
    <w:p w:rsidR="006C501D" w:rsidRDefault="006C501D"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lawyer who seemed not to have noted this and assumed agency and filed hears of argument for Milestone Academy explained that the true parties before the court are Milestone Academy and </w:t>
      </w:r>
      <w:proofErr w:type="spellStart"/>
      <w:r>
        <w:rPr>
          <w:rFonts w:ascii="Times New Roman" w:hAnsi="Times New Roman" w:cs="Times New Roman"/>
          <w:sz w:val="24"/>
          <w:szCs w:val="24"/>
        </w:rPr>
        <w:t>Sikirwai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Gandi</w:t>
      </w:r>
      <w:proofErr w:type="spellEnd"/>
      <w:r>
        <w:rPr>
          <w:rFonts w:ascii="Times New Roman" w:hAnsi="Times New Roman" w:cs="Times New Roman"/>
          <w:sz w:val="24"/>
          <w:szCs w:val="24"/>
        </w:rPr>
        <w:t xml:space="preserve"> as evident from the arbitral award appealed against. It was further explained that this was as a result of the appellant being a self-actor. I was asked to amend the citation of the parties to Milestone Academy v </w:t>
      </w:r>
      <w:proofErr w:type="spellStart"/>
      <w:r w:rsidRPr="00582922">
        <w:rPr>
          <w:rFonts w:ascii="Times New Roman" w:hAnsi="Times New Roman" w:cs="Times New Roman"/>
          <w:sz w:val="24"/>
          <w:szCs w:val="24"/>
        </w:rPr>
        <w:t>Siki</w:t>
      </w:r>
      <w:r w:rsidR="00582922" w:rsidRPr="00582922">
        <w:rPr>
          <w:rFonts w:ascii="Times New Roman" w:hAnsi="Times New Roman" w:cs="Times New Roman"/>
          <w:sz w:val="24"/>
          <w:szCs w:val="24"/>
        </w:rPr>
        <w:t>r</w:t>
      </w:r>
      <w:r w:rsidRPr="00582922">
        <w:rPr>
          <w:rFonts w:ascii="Times New Roman" w:hAnsi="Times New Roman" w:cs="Times New Roman"/>
          <w:sz w:val="24"/>
          <w:szCs w:val="24"/>
        </w:rPr>
        <w:t>wa</w:t>
      </w:r>
      <w:r w:rsidR="00582922" w:rsidRPr="00582922">
        <w:rPr>
          <w:rFonts w:ascii="Times New Roman" w:hAnsi="Times New Roman" w:cs="Times New Roman"/>
          <w:sz w:val="24"/>
          <w:szCs w:val="24"/>
        </w:rPr>
        <w:t>i</w:t>
      </w:r>
      <w:proofErr w:type="spellEnd"/>
      <w:r w:rsidR="00582922" w:rsidRPr="00582922">
        <w:rPr>
          <w:rFonts w:ascii="Times New Roman" w:hAnsi="Times New Roman" w:cs="Times New Roman"/>
          <w:sz w:val="24"/>
          <w:szCs w:val="24"/>
        </w:rPr>
        <w:t xml:space="preserve"> </w:t>
      </w:r>
      <w:proofErr w:type="spellStart"/>
      <w:r w:rsidR="00582922" w:rsidRPr="00582922">
        <w:rPr>
          <w:rFonts w:ascii="Times New Roman" w:hAnsi="Times New Roman" w:cs="Times New Roman"/>
          <w:sz w:val="24"/>
          <w:szCs w:val="24"/>
        </w:rPr>
        <w:t>Gandi</w:t>
      </w:r>
      <w:proofErr w:type="spellEnd"/>
      <w:r w:rsidR="00582922" w:rsidRPr="00582922">
        <w:rPr>
          <w:rFonts w:ascii="Times New Roman" w:hAnsi="Times New Roman" w:cs="Times New Roman"/>
          <w:sz w:val="24"/>
          <w:szCs w:val="24"/>
        </w:rPr>
        <w:t>.</w:t>
      </w:r>
      <w:r w:rsidR="00582922">
        <w:rPr>
          <w:rFonts w:ascii="Times New Roman" w:hAnsi="Times New Roman" w:cs="Times New Roman"/>
          <w:sz w:val="24"/>
          <w:szCs w:val="24"/>
        </w:rPr>
        <w:t xml:space="preserve"> I reserved my ruling on this. This is it.</w:t>
      </w:r>
    </w:p>
    <w:p w:rsidR="00582922" w:rsidRDefault="00582922"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Milestone Academy is an organisation run by a board of governors and it is a legal persona.</w:t>
      </w:r>
    </w:p>
    <w:p w:rsidR="00582922" w:rsidRDefault="00582922"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is the principal of Milestone Academy. The two are distinct legal personas. The applicant was not a party to the arbitral proceedings. He has no capacity therefore, to lodge an appeal in this manner before me.</w:t>
      </w:r>
    </w:p>
    <w:p w:rsidR="00582922" w:rsidRDefault="00582922"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drafting of the grounds of appeal, Mr </w:t>
      </w:r>
      <w:proofErr w:type="spellStart"/>
      <w:r>
        <w:rPr>
          <w:rFonts w:ascii="Times New Roman" w:hAnsi="Times New Roman" w:cs="Times New Roman"/>
          <w:i/>
          <w:sz w:val="24"/>
          <w:szCs w:val="24"/>
        </w:rPr>
        <w:t>Pendei</w:t>
      </w:r>
      <w:proofErr w:type="spellEnd"/>
      <w:r>
        <w:rPr>
          <w:rFonts w:ascii="Times New Roman" w:hAnsi="Times New Roman" w:cs="Times New Roman"/>
          <w:sz w:val="24"/>
          <w:szCs w:val="24"/>
        </w:rPr>
        <w:t xml:space="preserve"> for the appellant, at the hearing admitted that the grounds of appeal are poorly drafted. He then directed the court to only consider whether or not the termination was unfair, the appropriate remedy and whether the arbitrator erred in awarding arrear salaries.</w:t>
      </w:r>
    </w:p>
    <w:p w:rsidR="00582922" w:rsidRDefault="00582922"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that the appellant’s </w:t>
      </w:r>
      <w:proofErr w:type="gramStart"/>
      <w:r>
        <w:rPr>
          <w:rFonts w:ascii="Times New Roman" w:hAnsi="Times New Roman" w:cs="Times New Roman"/>
          <w:sz w:val="24"/>
          <w:szCs w:val="24"/>
        </w:rPr>
        <w:t>attempts to rectify the state of the grounds of appeal was</w:t>
      </w:r>
      <w:proofErr w:type="gramEnd"/>
      <w:r>
        <w:rPr>
          <w:rFonts w:ascii="Times New Roman" w:hAnsi="Times New Roman" w:cs="Times New Roman"/>
          <w:sz w:val="24"/>
          <w:szCs w:val="24"/>
        </w:rPr>
        <w:t xml:space="preserve"> late. Omnibus grounds of appeal are not permitted at law. </w:t>
      </w:r>
      <w:proofErr w:type="gramStart"/>
      <w:r>
        <w:rPr>
          <w:rFonts w:ascii="Times New Roman" w:hAnsi="Times New Roman" w:cs="Times New Roman"/>
          <w:i/>
          <w:sz w:val="24"/>
          <w:szCs w:val="24"/>
        </w:rPr>
        <w:t>Jensen</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Acavalos</w:t>
      </w:r>
      <w:proofErr w:type="spellEnd"/>
      <w:r>
        <w:rPr>
          <w:rFonts w:ascii="Times New Roman" w:hAnsi="Times New Roman" w:cs="Times New Roman"/>
          <w:sz w:val="24"/>
          <w:szCs w:val="24"/>
        </w:rPr>
        <w:t xml:space="preserve"> 1993 (1) ZLR 216 (S).</w:t>
      </w:r>
      <w:proofErr w:type="gramEnd"/>
      <w:r>
        <w:rPr>
          <w:rFonts w:ascii="Times New Roman" w:hAnsi="Times New Roman" w:cs="Times New Roman"/>
          <w:sz w:val="24"/>
          <w:szCs w:val="24"/>
        </w:rPr>
        <w:t xml:space="preserve"> Such grounds are required to be a precise statement of the points on which the appellant relies so that the respondent may know on which points he must prepare a reply, and so that the court may know on which points a decision is required. </w:t>
      </w:r>
      <w:proofErr w:type="gramStart"/>
      <w:r>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McNab</w:t>
      </w:r>
      <w:proofErr w:type="spellEnd"/>
      <w:r>
        <w:rPr>
          <w:rFonts w:ascii="Times New Roman" w:hAnsi="Times New Roman" w:cs="Times New Roman"/>
          <w:sz w:val="24"/>
          <w:szCs w:val="24"/>
        </w:rPr>
        <w:t xml:space="preserve"> 1986 (2) ZLR 280 (SC).</w:t>
      </w:r>
      <w:proofErr w:type="gramEnd"/>
    </w:p>
    <w:p w:rsidR="00582922" w:rsidRDefault="00582922"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in </w:t>
      </w:r>
      <w:proofErr w:type="spellStart"/>
      <w:r>
        <w:rPr>
          <w:rFonts w:ascii="Times New Roman" w:hAnsi="Times New Roman" w:cs="Times New Roman"/>
          <w:i/>
          <w:sz w:val="24"/>
          <w:szCs w:val="24"/>
        </w:rPr>
        <w:t>Songono</w:t>
      </w:r>
      <w:proofErr w:type="spellEnd"/>
      <w:r>
        <w:rPr>
          <w:rFonts w:ascii="Times New Roman" w:hAnsi="Times New Roman" w:cs="Times New Roman"/>
          <w:sz w:val="24"/>
          <w:szCs w:val="24"/>
        </w:rPr>
        <w:t xml:space="preserve"> v </w:t>
      </w:r>
      <w:r>
        <w:rPr>
          <w:rFonts w:ascii="Times New Roman" w:hAnsi="Times New Roman" w:cs="Times New Roman"/>
          <w:i/>
          <w:sz w:val="24"/>
          <w:szCs w:val="24"/>
        </w:rPr>
        <w:t>Minister of Law &amp; Order</w:t>
      </w:r>
      <w:r>
        <w:rPr>
          <w:rFonts w:ascii="Times New Roman" w:hAnsi="Times New Roman" w:cs="Times New Roman"/>
          <w:sz w:val="24"/>
          <w:szCs w:val="24"/>
        </w:rPr>
        <w:t xml:space="preserve"> 1996 (4) SA 384 E at 385 it was held that it is not good enough to say the grounds of appeal can be gleaned from the notice. The notice must clearly set out the grounds and it is not for the court to have to analyse a lengthy</w:t>
      </w:r>
      <w:r w:rsidR="00C95C70">
        <w:rPr>
          <w:rFonts w:ascii="Times New Roman" w:hAnsi="Times New Roman" w:cs="Times New Roman"/>
          <w:sz w:val="24"/>
          <w:szCs w:val="24"/>
        </w:rPr>
        <w:t xml:space="preserve"> document (</w:t>
      </w:r>
      <w:r w:rsidR="00C95C70">
        <w:rPr>
          <w:rFonts w:ascii="Times New Roman" w:hAnsi="Times New Roman" w:cs="Times New Roman"/>
          <w:i/>
          <w:sz w:val="24"/>
          <w:szCs w:val="24"/>
        </w:rPr>
        <w:t xml:space="preserve">in </w:t>
      </w:r>
      <w:proofErr w:type="spellStart"/>
      <w:r w:rsidR="00C95C70">
        <w:rPr>
          <w:rFonts w:ascii="Times New Roman" w:hAnsi="Times New Roman" w:cs="Times New Roman"/>
          <w:i/>
          <w:sz w:val="24"/>
          <w:szCs w:val="24"/>
        </w:rPr>
        <w:t>casu</w:t>
      </w:r>
      <w:proofErr w:type="spellEnd"/>
      <w:r w:rsidR="00C95C70">
        <w:rPr>
          <w:rFonts w:ascii="Times New Roman" w:hAnsi="Times New Roman" w:cs="Times New Roman"/>
          <w:sz w:val="24"/>
          <w:szCs w:val="24"/>
        </w:rPr>
        <w:t xml:space="preserve"> 36 pages) in an attempt to establish what grounds the appellant intended to rely upon but did not clearly set out. Such a notice of appeal was found to be fatally defective.</w:t>
      </w:r>
    </w:p>
    <w:p w:rsidR="00C95C70" w:rsidRDefault="00C95C70"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equally find the appellant’s grounds of appeal to be fatally defective and the attempts to cull them at the hearing, defeats the purpose of giving notice to the court and the respondent.</w:t>
      </w:r>
    </w:p>
    <w:p w:rsidR="00C95C70" w:rsidRDefault="00C95C70" w:rsidP="00C95C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this appeal is struck off the roll.</w:t>
      </w:r>
    </w:p>
    <w:p w:rsidR="00C95C70" w:rsidRDefault="00C95C70" w:rsidP="00C95C70">
      <w:pPr>
        <w:spacing w:after="0" w:line="360" w:lineRule="auto"/>
        <w:jc w:val="both"/>
        <w:rPr>
          <w:rFonts w:ascii="Times New Roman" w:hAnsi="Times New Roman" w:cs="Times New Roman"/>
          <w:sz w:val="24"/>
          <w:szCs w:val="24"/>
        </w:rPr>
      </w:pPr>
    </w:p>
    <w:p w:rsidR="00C95C70" w:rsidRDefault="00C95C70" w:rsidP="00C95C70">
      <w:pPr>
        <w:spacing w:after="0" w:line="360" w:lineRule="auto"/>
        <w:jc w:val="both"/>
        <w:rPr>
          <w:rFonts w:ascii="Times New Roman" w:hAnsi="Times New Roman" w:cs="Times New Roman"/>
          <w:sz w:val="24"/>
          <w:szCs w:val="24"/>
        </w:rPr>
      </w:pPr>
    </w:p>
    <w:p w:rsidR="00C95C70" w:rsidRDefault="00C95C70" w:rsidP="00C95C70">
      <w:pPr>
        <w:spacing w:after="0" w:line="360" w:lineRule="auto"/>
        <w:jc w:val="both"/>
        <w:rPr>
          <w:rFonts w:ascii="Times New Roman" w:hAnsi="Times New Roman" w:cs="Times New Roman"/>
          <w:sz w:val="24"/>
          <w:szCs w:val="24"/>
        </w:rPr>
      </w:pPr>
    </w:p>
    <w:p w:rsidR="00C95C70" w:rsidRDefault="00C95C70" w:rsidP="00C95C70">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Manyangadze</w:t>
      </w:r>
      <w:proofErr w:type="spellEnd"/>
      <w:r>
        <w:rPr>
          <w:rFonts w:ascii="Times New Roman" w:hAnsi="Times New Roman" w:cs="Times New Roman"/>
          <w:i/>
          <w:sz w:val="24"/>
          <w:szCs w:val="24"/>
        </w:rPr>
        <w:t xml:space="preserve"> Law Practice</w:t>
      </w:r>
      <w:r>
        <w:rPr>
          <w:rFonts w:ascii="Times New Roman" w:hAnsi="Times New Roman" w:cs="Times New Roman"/>
          <w:sz w:val="24"/>
          <w:szCs w:val="24"/>
        </w:rPr>
        <w:t>, appellant’s legal practice</w:t>
      </w:r>
    </w:p>
    <w:p w:rsidR="00C95C70" w:rsidRPr="00C95C70" w:rsidRDefault="00C95C70" w:rsidP="00C95C70">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Jena &amp; Associates</w:t>
      </w:r>
      <w:r>
        <w:rPr>
          <w:rFonts w:ascii="Times New Roman" w:hAnsi="Times New Roman" w:cs="Times New Roman"/>
          <w:sz w:val="24"/>
          <w:szCs w:val="24"/>
        </w:rPr>
        <w:t>, respondent’s legal practitioners</w:t>
      </w:r>
    </w:p>
    <w:p w:rsidR="006C501D" w:rsidRPr="00403B14" w:rsidRDefault="006C501D" w:rsidP="00C95C70">
      <w:pPr>
        <w:spacing w:after="0" w:line="360" w:lineRule="auto"/>
        <w:ind w:left="360"/>
        <w:jc w:val="both"/>
        <w:rPr>
          <w:rFonts w:ascii="Times New Roman" w:hAnsi="Times New Roman" w:cs="Times New Roman"/>
          <w:sz w:val="24"/>
          <w:szCs w:val="24"/>
        </w:rPr>
      </w:pPr>
    </w:p>
    <w:sectPr w:rsidR="006C501D" w:rsidRPr="00403B14" w:rsidSect="00C95C7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39C" w:rsidRDefault="00C7339C" w:rsidP="00C95C70">
      <w:pPr>
        <w:spacing w:after="0" w:line="240" w:lineRule="auto"/>
      </w:pPr>
      <w:r>
        <w:separator/>
      </w:r>
    </w:p>
  </w:endnote>
  <w:endnote w:type="continuationSeparator" w:id="0">
    <w:p w:rsidR="00C7339C" w:rsidRDefault="00C7339C" w:rsidP="00C9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39C" w:rsidRDefault="00C7339C" w:rsidP="00C95C70">
      <w:pPr>
        <w:spacing w:after="0" w:line="240" w:lineRule="auto"/>
      </w:pPr>
      <w:r>
        <w:separator/>
      </w:r>
    </w:p>
  </w:footnote>
  <w:footnote w:type="continuationSeparator" w:id="0">
    <w:p w:rsidR="00C7339C" w:rsidRDefault="00C7339C" w:rsidP="00C95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711979"/>
      <w:docPartObj>
        <w:docPartGallery w:val="Page Numbers (Top of Page)"/>
        <w:docPartUnique/>
      </w:docPartObj>
    </w:sdtPr>
    <w:sdtEndPr>
      <w:rPr>
        <w:noProof/>
      </w:rPr>
    </w:sdtEndPr>
    <w:sdtContent>
      <w:p w:rsidR="00C95C70" w:rsidRDefault="00C95C70">
        <w:pPr>
          <w:pStyle w:val="Header"/>
          <w:jc w:val="right"/>
          <w:rPr>
            <w:noProof/>
          </w:rPr>
        </w:pPr>
        <w:r>
          <w:fldChar w:fldCharType="begin"/>
        </w:r>
        <w:r>
          <w:instrText xml:space="preserve"> PAGE   \* MERGEFORMAT </w:instrText>
        </w:r>
        <w:r>
          <w:fldChar w:fldCharType="separate"/>
        </w:r>
        <w:r w:rsidR="00AA6D10">
          <w:rPr>
            <w:noProof/>
          </w:rPr>
          <w:t>2</w:t>
        </w:r>
        <w:r>
          <w:rPr>
            <w:noProof/>
          </w:rPr>
          <w:fldChar w:fldCharType="end"/>
        </w:r>
      </w:p>
      <w:p w:rsidR="00C95C70" w:rsidRDefault="00C95C70">
        <w:pPr>
          <w:pStyle w:val="Header"/>
          <w:jc w:val="right"/>
          <w:rPr>
            <w:noProof/>
          </w:rPr>
        </w:pPr>
        <w:r>
          <w:rPr>
            <w:noProof/>
          </w:rPr>
          <w:t>JUDGMENT NO LC/H/</w:t>
        </w:r>
        <w:r w:rsidR="00AA6D10">
          <w:rPr>
            <w:noProof/>
          </w:rPr>
          <w:t>471</w:t>
        </w:r>
        <w:r>
          <w:rPr>
            <w:noProof/>
          </w:rPr>
          <w:t>/2016</w:t>
        </w:r>
      </w:p>
      <w:p w:rsidR="00C95C70" w:rsidRDefault="00C95C70">
        <w:pPr>
          <w:pStyle w:val="Header"/>
          <w:jc w:val="right"/>
        </w:pPr>
        <w:r>
          <w:t>CASE NO LC/H/147/2016</w:t>
        </w:r>
      </w:p>
    </w:sdtContent>
  </w:sdt>
  <w:p w:rsidR="00C95C70" w:rsidRDefault="00C95C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E3CDB"/>
    <w:multiLevelType w:val="hybridMultilevel"/>
    <w:tmpl w:val="1182EEC0"/>
    <w:lvl w:ilvl="0" w:tplc="9598706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0602607"/>
    <w:multiLevelType w:val="hybridMultilevel"/>
    <w:tmpl w:val="77AA1DE2"/>
    <w:lvl w:ilvl="0" w:tplc="858A660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0D"/>
    <w:rsid w:val="00382882"/>
    <w:rsid w:val="00403B14"/>
    <w:rsid w:val="0049630D"/>
    <w:rsid w:val="00582922"/>
    <w:rsid w:val="006C501D"/>
    <w:rsid w:val="00AA6D10"/>
    <w:rsid w:val="00C7339C"/>
    <w:rsid w:val="00C95C70"/>
    <w:rsid w:val="00D31F9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0D"/>
    <w:pPr>
      <w:ind w:left="720"/>
      <w:contextualSpacing/>
    </w:pPr>
  </w:style>
  <w:style w:type="paragraph" w:styleId="Header">
    <w:name w:val="header"/>
    <w:basedOn w:val="Normal"/>
    <w:link w:val="HeaderChar"/>
    <w:uiPriority w:val="99"/>
    <w:unhideWhenUsed/>
    <w:rsid w:val="00C95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C70"/>
  </w:style>
  <w:style w:type="paragraph" w:styleId="Footer">
    <w:name w:val="footer"/>
    <w:basedOn w:val="Normal"/>
    <w:link w:val="FooterChar"/>
    <w:uiPriority w:val="99"/>
    <w:unhideWhenUsed/>
    <w:rsid w:val="00C95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C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30D"/>
    <w:pPr>
      <w:ind w:left="720"/>
      <w:contextualSpacing/>
    </w:pPr>
  </w:style>
  <w:style w:type="paragraph" w:styleId="Header">
    <w:name w:val="header"/>
    <w:basedOn w:val="Normal"/>
    <w:link w:val="HeaderChar"/>
    <w:uiPriority w:val="99"/>
    <w:unhideWhenUsed/>
    <w:rsid w:val="00C95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C70"/>
  </w:style>
  <w:style w:type="paragraph" w:styleId="Footer">
    <w:name w:val="footer"/>
    <w:basedOn w:val="Normal"/>
    <w:link w:val="FooterChar"/>
    <w:uiPriority w:val="99"/>
    <w:unhideWhenUsed/>
    <w:rsid w:val="00C95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2016-08-01T06:23:00Z</dcterms:created>
  <dcterms:modified xsi:type="dcterms:W3CDTF">2016-08-02T14:22:00Z</dcterms:modified>
</cp:coreProperties>
</file>