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45C" w:rsidRDefault="00EF2012" w:rsidP="00076100">
      <w:pPr>
        <w:spacing w:after="0" w:line="360" w:lineRule="auto"/>
        <w:jc w:val="both"/>
        <w:rPr>
          <w:b/>
          <w:sz w:val="28"/>
          <w:szCs w:val="28"/>
        </w:rPr>
      </w:pPr>
      <w:r>
        <w:rPr>
          <w:b/>
          <w:sz w:val="28"/>
          <w:szCs w:val="28"/>
        </w:rPr>
        <w:t>I</w:t>
      </w:r>
      <w:r w:rsidR="0020745F">
        <w:rPr>
          <w:b/>
          <w:sz w:val="28"/>
          <w:szCs w:val="28"/>
        </w:rPr>
        <w:t>N THE LABOUR COURT OF ZIMBABWE</w:t>
      </w:r>
      <w:r w:rsidR="0020745F">
        <w:rPr>
          <w:b/>
          <w:sz w:val="28"/>
          <w:szCs w:val="28"/>
        </w:rPr>
        <w:tab/>
        <w:t xml:space="preserve">       </w:t>
      </w:r>
      <w:r>
        <w:rPr>
          <w:b/>
          <w:sz w:val="28"/>
          <w:szCs w:val="28"/>
        </w:rPr>
        <w:t>JUDGMENT NO LC/H/</w:t>
      </w:r>
      <w:r w:rsidR="0020745F">
        <w:rPr>
          <w:b/>
          <w:sz w:val="28"/>
          <w:szCs w:val="28"/>
        </w:rPr>
        <w:t>796</w:t>
      </w:r>
      <w:r>
        <w:rPr>
          <w:b/>
          <w:sz w:val="28"/>
          <w:szCs w:val="28"/>
        </w:rPr>
        <w:t>/14</w:t>
      </w:r>
    </w:p>
    <w:p w:rsidR="00EF2012" w:rsidRDefault="00EF2012" w:rsidP="00076100">
      <w:pPr>
        <w:spacing w:after="0" w:line="360" w:lineRule="auto"/>
        <w:jc w:val="both"/>
        <w:rPr>
          <w:b/>
          <w:sz w:val="28"/>
          <w:szCs w:val="28"/>
        </w:rPr>
      </w:pPr>
      <w:r>
        <w:rPr>
          <w:b/>
          <w:sz w:val="28"/>
          <w:szCs w:val="28"/>
        </w:rPr>
        <w:t>HELD AT HARARE 28</w:t>
      </w:r>
      <w:r w:rsidRPr="00EF2012">
        <w:rPr>
          <w:b/>
          <w:sz w:val="28"/>
          <w:szCs w:val="28"/>
          <w:vertAlign w:val="superscript"/>
        </w:rPr>
        <w:t>TH</w:t>
      </w:r>
      <w:r>
        <w:rPr>
          <w:b/>
          <w:sz w:val="28"/>
          <w:szCs w:val="28"/>
        </w:rPr>
        <w:t xml:space="preserve"> OCTOBER 2014</w:t>
      </w:r>
      <w:r>
        <w:rPr>
          <w:b/>
          <w:sz w:val="28"/>
          <w:szCs w:val="28"/>
        </w:rPr>
        <w:tab/>
      </w:r>
      <w:r>
        <w:rPr>
          <w:b/>
          <w:sz w:val="28"/>
          <w:szCs w:val="28"/>
        </w:rPr>
        <w:tab/>
        <w:t>CASE NO LC LC/H/371/14</w:t>
      </w:r>
    </w:p>
    <w:p w:rsidR="0020745F" w:rsidRDefault="0020745F" w:rsidP="00076100">
      <w:pPr>
        <w:spacing w:after="0" w:line="360" w:lineRule="auto"/>
        <w:jc w:val="both"/>
        <w:rPr>
          <w:b/>
          <w:sz w:val="28"/>
          <w:szCs w:val="28"/>
        </w:rPr>
      </w:pPr>
      <w:r>
        <w:rPr>
          <w:b/>
          <w:sz w:val="28"/>
          <w:szCs w:val="28"/>
        </w:rPr>
        <w:t xml:space="preserve">&amp; </w:t>
      </w:r>
      <w:r w:rsidR="00B26F16">
        <w:rPr>
          <w:b/>
          <w:sz w:val="28"/>
          <w:szCs w:val="28"/>
        </w:rPr>
        <w:t>19</w:t>
      </w:r>
      <w:bookmarkStart w:id="0" w:name="_GoBack"/>
      <w:bookmarkEnd w:id="0"/>
      <w:r w:rsidR="00671FC0" w:rsidRPr="00671FC0">
        <w:rPr>
          <w:b/>
          <w:sz w:val="28"/>
          <w:szCs w:val="28"/>
          <w:vertAlign w:val="superscript"/>
        </w:rPr>
        <w:t>TH</w:t>
      </w:r>
      <w:r w:rsidR="00671FC0">
        <w:rPr>
          <w:b/>
          <w:sz w:val="28"/>
          <w:szCs w:val="28"/>
        </w:rPr>
        <w:t xml:space="preserve"> DECEMBER</w:t>
      </w:r>
      <w:r>
        <w:rPr>
          <w:b/>
          <w:sz w:val="28"/>
          <w:szCs w:val="28"/>
        </w:rPr>
        <w:t xml:space="preserve"> 2014</w:t>
      </w:r>
    </w:p>
    <w:p w:rsidR="00EF2012" w:rsidRDefault="00EF2012" w:rsidP="00EF2012">
      <w:pPr>
        <w:spacing w:line="360" w:lineRule="auto"/>
        <w:jc w:val="both"/>
        <w:rPr>
          <w:sz w:val="28"/>
          <w:szCs w:val="28"/>
        </w:rPr>
      </w:pPr>
      <w:r>
        <w:rPr>
          <w:sz w:val="28"/>
          <w:szCs w:val="28"/>
        </w:rPr>
        <w:t>In the matter between:-</w:t>
      </w:r>
    </w:p>
    <w:p w:rsidR="00EF2012" w:rsidRDefault="0025245A" w:rsidP="00EF2012">
      <w:pPr>
        <w:spacing w:line="360" w:lineRule="auto"/>
        <w:jc w:val="both"/>
        <w:rPr>
          <w:b/>
          <w:sz w:val="28"/>
          <w:szCs w:val="28"/>
        </w:rPr>
      </w:pPr>
      <w:r>
        <w:rPr>
          <w:b/>
          <w:sz w:val="28"/>
          <w:szCs w:val="28"/>
        </w:rPr>
        <w:t>KARURU SAM</w:t>
      </w:r>
      <w:r w:rsidR="00EF2012">
        <w:rPr>
          <w:b/>
          <w:sz w:val="28"/>
          <w:szCs w:val="28"/>
        </w:rPr>
        <w:t xml:space="preserve"> MODOKAYI</w:t>
      </w:r>
      <w:r w:rsidR="00EF2012">
        <w:rPr>
          <w:b/>
          <w:sz w:val="28"/>
          <w:szCs w:val="28"/>
        </w:rPr>
        <w:tab/>
      </w:r>
      <w:r w:rsidR="00EF2012">
        <w:rPr>
          <w:b/>
          <w:sz w:val="28"/>
          <w:szCs w:val="28"/>
        </w:rPr>
        <w:tab/>
      </w:r>
      <w:r w:rsidR="00EF2012">
        <w:rPr>
          <w:b/>
          <w:sz w:val="28"/>
          <w:szCs w:val="28"/>
        </w:rPr>
        <w:tab/>
      </w:r>
      <w:r w:rsidR="00EF2012">
        <w:rPr>
          <w:b/>
          <w:sz w:val="28"/>
          <w:szCs w:val="28"/>
        </w:rPr>
        <w:tab/>
        <w:t>Appellant</w:t>
      </w:r>
    </w:p>
    <w:p w:rsidR="00EF2012" w:rsidRDefault="00EF2012" w:rsidP="00EF2012">
      <w:pPr>
        <w:spacing w:line="360" w:lineRule="auto"/>
        <w:jc w:val="both"/>
        <w:rPr>
          <w:b/>
          <w:sz w:val="28"/>
          <w:szCs w:val="28"/>
        </w:rPr>
      </w:pPr>
      <w:r>
        <w:rPr>
          <w:b/>
          <w:sz w:val="28"/>
          <w:szCs w:val="28"/>
        </w:rPr>
        <w:t>And</w:t>
      </w:r>
    </w:p>
    <w:p w:rsidR="00EF2012" w:rsidRDefault="00EF2012" w:rsidP="00EF2012">
      <w:pPr>
        <w:spacing w:line="360" w:lineRule="auto"/>
        <w:jc w:val="both"/>
        <w:rPr>
          <w:b/>
          <w:sz w:val="28"/>
          <w:szCs w:val="28"/>
        </w:rPr>
      </w:pPr>
      <w:r>
        <w:rPr>
          <w:b/>
          <w:sz w:val="28"/>
          <w:szCs w:val="28"/>
        </w:rPr>
        <w:t>ZIMBABWE PARKS &amp; WILDLIFE</w:t>
      </w:r>
      <w:r>
        <w:rPr>
          <w:b/>
          <w:sz w:val="28"/>
          <w:szCs w:val="28"/>
        </w:rPr>
        <w:tab/>
      </w:r>
      <w:r>
        <w:rPr>
          <w:b/>
          <w:sz w:val="28"/>
          <w:szCs w:val="28"/>
        </w:rPr>
        <w:tab/>
      </w:r>
      <w:r>
        <w:rPr>
          <w:b/>
          <w:sz w:val="28"/>
          <w:szCs w:val="28"/>
        </w:rPr>
        <w:tab/>
      </w:r>
      <w:r>
        <w:rPr>
          <w:b/>
          <w:sz w:val="28"/>
          <w:szCs w:val="28"/>
        </w:rPr>
        <w:tab/>
        <w:t>Respondent</w:t>
      </w:r>
    </w:p>
    <w:p w:rsidR="00EF2012" w:rsidRDefault="00EF2012" w:rsidP="00EF2012">
      <w:pPr>
        <w:spacing w:line="360" w:lineRule="auto"/>
        <w:jc w:val="both"/>
        <w:rPr>
          <w:sz w:val="28"/>
          <w:szCs w:val="28"/>
        </w:rPr>
      </w:pPr>
      <w:r w:rsidRPr="00EF2012">
        <w:rPr>
          <w:sz w:val="28"/>
          <w:szCs w:val="28"/>
        </w:rPr>
        <w:t>Before</w:t>
      </w:r>
      <w:r>
        <w:rPr>
          <w:sz w:val="28"/>
          <w:szCs w:val="28"/>
        </w:rPr>
        <w:t xml:space="preserve"> The Honourable L </w:t>
      </w:r>
      <w:proofErr w:type="spellStart"/>
      <w:r>
        <w:rPr>
          <w:sz w:val="28"/>
          <w:szCs w:val="28"/>
        </w:rPr>
        <w:t>Kudya</w:t>
      </w:r>
      <w:proofErr w:type="spellEnd"/>
      <w:r>
        <w:rPr>
          <w:sz w:val="28"/>
          <w:szCs w:val="28"/>
        </w:rPr>
        <w:t>, Judge</w:t>
      </w:r>
    </w:p>
    <w:p w:rsidR="00076100" w:rsidRDefault="00EF2012" w:rsidP="00EF2012">
      <w:pPr>
        <w:spacing w:line="360" w:lineRule="auto"/>
        <w:jc w:val="both"/>
        <w:rPr>
          <w:b/>
          <w:sz w:val="28"/>
          <w:szCs w:val="28"/>
        </w:rPr>
      </w:pPr>
      <w:r>
        <w:rPr>
          <w:b/>
          <w:sz w:val="28"/>
          <w:szCs w:val="28"/>
        </w:rPr>
        <w:t>Appellant</w:t>
      </w:r>
      <w:r>
        <w:rPr>
          <w:b/>
          <w:sz w:val="28"/>
          <w:szCs w:val="28"/>
        </w:rPr>
        <w:tab/>
      </w:r>
      <w:r>
        <w:rPr>
          <w:b/>
          <w:sz w:val="28"/>
          <w:szCs w:val="28"/>
        </w:rPr>
        <w:tab/>
      </w:r>
      <w:r>
        <w:rPr>
          <w:b/>
          <w:sz w:val="28"/>
          <w:szCs w:val="28"/>
        </w:rPr>
        <w:tab/>
        <w:t>In person</w:t>
      </w:r>
    </w:p>
    <w:p w:rsidR="00EF2012" w:rsidRDefault="00EF2012" w:rsidP="00EF2012">
      <w:pPr>
        <w:spacing w:line="360" w:lineRule="auto"/>
        <w:jc w:val="both"/>
        <w:rPr>
          <w:b/>
          <w:sz w:val="28"/>
          <w:szCs w:val="28"/>
        </w:rPr>
      </w:pPr>
      <w:r>
        <w:rPr>
          <w:b/>
          <w:sz w:val="28"/>
          <w:szCs w:val="28"/>
        </w:rPr>
        <w:t xml:space="preserve">For Respondent </w:t>
      </w:r>
      <w:r>
        <w:rPr>
          <w:b/>
          <w:sz w:val="28"/>
          <w:szCs w:val="28"/>
        </w:rPr>
        <w:tab/>
      </w:r>
      <w:r>
        <w:rPr>
          <w:b/>
          <w:sz w:val="28"/>
          <w:szCs w:val="28"/>
        </w:rPr>
        <w:tab/>
        <w:t xml:space="preserve">R </w:t>
      </w:r>
      <w:proofErr w:type="spellStart"/>
      <w:r>
        <w:rPr>
          <w:b/>
          <w:sz w:val="28"/>
          <w:szCs w:val="28"/>
        </w:rPr>
        <w:t>Mutetwa</w:t>
      </w:r>
      <w:proofErr w:type="spellEnd"/>
      <w:r>
        <w:rPr>
          <w:b/>
          <w:sz w:val="28"/>
          <w:szCs w:val="28"/>
        </w:rPr>
        <w:t xml:space="preserve"> (Legal Officer)</w:t>
      </w:r>
    </w:p>
    <w:p w:rsidR="00EF2012" w:rsidRDefault="00EF2012" w:rsidP="00EF2012">
      <w:pPr>
        <w:spacing w:line="360" w:lineRule="auto"/>
        <w:jc w:val="both"/>
        <w:rPr>
          <w:b/>
          <w:sz w:val="28"/>
          <w:szCs w:val="28"/>
        </w:rPr>
      </w:pPr>
    </w:p>
    <w:p w:rsidR="00EF2012" w:rsidRDefault="00EF2012" w:rsidP="00EF2012">
      <w:pPr>
        <w:spacing w:line="360" w:lineRule="auto"/>
        <w:jc w:val="both"/>
        <w:rPr>
          <w:b/>
          <w:sz w:val="28"/>
          <w:szCs w:val="28"/>
        </w:rPr>
      </w:pPr>
      <w:r>
        <w:rPr>
          <w:b/>
          <w:sz w:val="28"/>
          <w:szCs w:val="28"/>
        </w:rPr>
        <w:t>KUDYA, J:</w:t>
      </w:r>
    </w:p>
    <w:p w:rsidR="00A86D62" w:rsidRDefault="00EF2012" w:rsidP="00076100">
      <w:pPr>
        <w:spacing w:after="0" w:line="360" w:lineRule="auto"/>
        <w:jc w:val="both"/>
        <w:rPr>
          <w:sz w:val="28"/>
          <w:szCs w:val="28"/>
        </w:rPr>
      </w:pPr>
      <w:r>
        <w:rPr>
          <w:b/>
          <w:sz w:val="28"/>
          <w:szCs w:val="28"/>
        </w:rPr>
        <w:tab/>
      </w:r>
      <w:r w:rsidRPr="00EF2012">
        <w:rPr>
          <w:sz w:val="28"/>
          <w:szCs w:val="28"/>
        </w:rPr>
        <w:t>Appellant has appealed to this court against the decision of the respondent</w:t>
      </w:r>
      <w:r w:rsidR="00A86D62">
        <w:rPr>
          <w:sz w:val="28"/>
          <w:szCs w:val="28"/>
        </w:rPr>
        <w:t xml:space="preserve"> employer’s Appeals Committee which upheld his dismissal in a case where he was found guilty of falsifying records, forgery and fraud in contravention of the Zimbabwe Parks Wildlife Management Authority Code of Conduct.</w:t>
      </w:r>
    </w:p>
    <w:p w:rsidR="00A86D62" w:rsidRDefault="00A86D62" w:rsidP="00076100">
      <w:pPr>
        <w:spacing w:after="0" w:line="360" w:lineRule="auto"/>
        <w:jc w:val="both"/>
        <w:rPr>
          <w:sz w:val="28"/>
          <w:szCs w:val="28"/>
        </w:rPr>
      </w:pPr>
      <w:r>
        <w:rPr>
          <w:sz w:val="28"/>
          <w:szCs w:val="28"/>
        </w:rPr>
        <w:tab/>
        <w:t xml:space="preserve">The background of the matter is that appellant was in the employ of the respondent authority.  During his period of employed he enrolled with </w:t>
      </w:r>
      <w:proofErr w:type="spellStart"/>
      <w:r>
        <w:rPr>
          <w:sz w:val="28"/>
          <w:szCs w:val="28"/>
        </w:rPr>
        <w:t>Masasa</w:t>
      </w:r>
      <w:proofErr w:type="spellEnd"/>
      <w:r w:rsidR="00A87DA7">
        <w:rPr>
          <w:sz w:val="28"/>
          <w:szCs w:val="28"/>
        </w:rPr>
        <w:t xml:space="preserve"> Training Centre where he was pursuing motor mechanic studies.  Such studies were sanctioned by the respondent employer</w:t>
      </w:r>
      <w:r w:rsidR="003F745E">
        <w:rPr>
          <w:sz w:val="28"/>
          <w:szCs w:val="28"/>
        </w:rPr>
        <w:t>.   W</w:t>
      </w:r>
      <w:r w:rsidR="00A87DA7">
        <w:rPr>
          <w:sz w:val="28"/>
          <w:szCs w:val="28"/>
        </w:rPr>
        <w:t xml:space="preserve">hilst he </w:t>
      </w:r>
      <w:r w:rsidR="00076100">
        <w:rPr>
          <w:sz w:val="28"/>
          <w:szCs w:val="28"/>
        </w:rPr>
        <w:t>was on</w:t>
      </w:r>
      <w:r w:rsidR="00A87DA7">
        <w:rPr>
          <w:sz w:val="28"/>
          <w:szCs w:val="28"/>
        </w:rPr>
        <w:t xml:space="preserve"> these studies he falsified and forged documents to enable him to claim more money than he was duly entitled </w:t>
      </w:r>
      <w:r w:rsidR="003F745E">
        <w:rPr>
          <w:sz w:val="28"/>
          <w:szCs w:val="28"/>
        </w:rPr>
        <w:t>to</w:t>
      </w:r>
      <w:r w:rsidR="00A87DA7">
        <w:rPr>
          <w:sz w:val="28"/>
          <w:szCs w:val="28"/>
        </w:rPr>
        <w:t xml:space="preserve"> from the employer.  </w:t>
      </w:r>
    </w:p>
    <w:p w:rsidR="00A87DA7" w:rsidRDefault="00410799" w:rsidP="00EF2012">
      <w:pPr>
        <w:spacing w:line="360" w:lineRule="auto"/>
        <w:jc w:val="both"/>
        <w:rPr>
          <w:sz w:val="28"/>
          <w:szCs w:val="28"/>
        </w:rPr>
      </w:pPr>
      <w:r>
        <w:rPr>
          <w:sz w:val="28"/>
          <w:szCs w:val="28"/>
        </w:rPr>
        <w:lastRenderedPageBreak/>
        <w:tab/>
        <w:t xml:space="preserve">He was charged for the offences, appeared before a Disciplinary Committee </w:t>
      </w:r>
      <w:r w:rsidR="003F745E">
        <w:rPr>
          <w:sz w:val="28"/>
          <w:szCs w:val="28"/>
        </w:rPr>
        <w:t xml:space="preserve">where he </w:t>
      </w:r>
      <w:r>
        <w:rPr>
          <w:sz w:val="28"/>
          <w:szCs w:val="28"/>
        </w:rPr>
        <w:t>admitted his guilt.  Following the admission of guilt he was penalised by dismissal from employment.   Aggrieved by the dismissal he took up his matter with the internal Appeals Authority.  The Appeals Authority ruled that dismissal was proper in his case.  Irked by the co</w:t>
      </w:r>
      <w:r w:rsidR="003F745E">
        <w:rPr>
          <w:sz w:val="28"/>
          <w:szCs w:val="28"/>
        </w:rPr>
        <w:t>nfirmation of the dismissal he h</w:t>
      </w:r>
      <w:r>
        <w:rPr>
          <w:sz w:val="28"/>
          <w:szCs w:val="28"/>
        </w:rPr>
        <w:t>as now appealed to this court where his appeal is the subject matter of the instant judgment.</w:t>
      </w:r>
    </w:p>
    <w:p w:rsidR="00410799" w:rsidRDefault="00410799" w:rsidP="00EF2012">
      <w:pPr>
        <w:spacing w:line="360" w:lineRule="auto"/>
        <w:jc w:val="both"/>
        <w:rPr>
          <w:sz w:val="28"/>
          <w:szCs w:val="28"/>
        </w:rPr>
      </w:pPr>
      <w:r>
        <w:rPr>
          <w:sz w:val="28"/>
          <w:szCs w:val="28"/>
        </w:rPr>
        <w:tab/>
        <w:t>His onl</w:t>
      </w:r>
      <w:r w:rsidR="003F745E">
        <w:rPr>
          <w:sz w:val="28"/>
          <w:szCs w:val="28"/>
        </w:rPr>
        <w:t>y ground of appeal was couched i</w:t>
      </w:r>
      <w:r>
        <w:rPr>
          <w:sz w:val="28"/>
          <w:szCs w:val="28"/>
        </w:rPr>
        <w:t>n the following words “The decision is too harsh as they did not take into account the mitigating factors.”  The response to the notice of appeal is not apparent on the face of the notice of response which was served on the respondent authority.  Being that as it may respondent filed with the court a letter dated</w:t>
      </w:r>
      <w:r w:rsidR="00A64F5E">
        <w:rPr>
          <w:sz w:val="28"/>
          <w:szCs w:val="28"/>
        </w:rPr>
        <w:t xml:space="preserve"> 28 November 2011 advising appellant the fact that his internal appeal had been unsuccessful.  A reading of the letter together with the minutes of the Appeals Committee speak to the fact that the Appeals Committee was of the view that</w:t>
      </w:r>
      <w:r w:rsidR="003F745E">
        <w:rPr>
          <w:sz w:val="28"/>
          <w:szCs w:val="28"/>
        </w:rPr>
        <w:t>,</w:t>
      </w:r>
      <w:r w:rsidR="00A64F5E">
        <w:rPr>
          <w:sz w:val="28"/>
          <w:szCs w:val="28"/>
        </w:rPr>
        <w:t xml:space="preserve"> notwithstanding the appellant’s first offender status the penalty of dismissal was appropriate in his case.</w:t>
      </w:r>
    </w:p>
    <w:p w:rsidR="00A64F5E" w:rsidRDefault="00A64F5E" w:rsidP="00EF2012">
      <w:pPr>
        <w:spacing w:line="360" w:lineRule="auto"/>
        <w:jc w:val="both"/>
        <w:rPr>
          <w:sz w:val="28"/>
          <w:szCs w:val="28"/>
        </w:rPr>
      </w:pPr>
      <w:r>
        <w:rPr>
          <w:sz w:val="28"/>
          <w:szCs w:val="28"/>
        </w:rPr>
        <w:tab/>
        <w:t xml:space="preserve">The law relating to such appeals is clear that is the appeal can only be sustained if it is shown that the exercise of discretionally the tribunal below was grossly unreasonable or </w:t>
      </w:r>
      <w:proofErr w:type="spellStart"/>
      <w:r w:rsidR="003F745E" w:rsidRPr="003F745E">
        <w:rPr>
          <w:i/>
          <w:sz w:val="28"/>
          <w:szCs w:val="28"/>
        </w:rPr>
        <w:t>malafi</w:t>
      </w:r>
      <w:r w:rsidR="003F745E">
        <w:rPr>
          <w:i/>
          <w:sz w:val="28"/>
          <w:szCs w:val="28"/>
        </w:rPr>
        <w:t>d</w:t>
      </w:r>
      <w:r w:rsidR="003F745E" w:rsidRPr="003F745E">
        <w:rPr>
          <w:i/>
          <w:sz w:val="28"/>
          <w:szCs w:val="28"/>
        </w:rPr>
        <w:t>es</w:t>
      </w:r>
      <w:proofErr w:type="spellEnd"/>
      <w:r>
        <w:rPr>
          <w:sz w:val="28"/>
          <w:szCs w:val="28"/>
        </w:rPr>
        <w:t xml:space="preserve"> </w:t>
      </w:r>
      <w:r w:rsidR="00076100">
        <w:rPr>
          <w:sz w:val="28"/>
          <w:szCs w:val="28"/>
        </w:rPr>
        <w:t>s</w:t>
      </w:r>
      <w:r>
        <w:rPr>
          <w:sz w:val="28"/>
          <w:szCs w:val="28"/>
        </w:rPr>
        <w:t xml:space="preserve">ee </w:t>
      </w:r>
      <w:proofErr w:type="spellStart"/>
      <w:r>
        <w:rPr>
          <w:i/>
          <w:sz w:val="28"/>
          <w:szCs w:val="28"/>
        </w:rPr>
        <w:t>Nyahondo</w:t>
      </w:r>
      <w:proofErr w:type="spellEnd"/>
      <w:r>
        <w:rPr>
          <w:i/>
          <w:sz w:val="28"/>
          <w:szCs w:val="28"/>
        </w:rPr>
        <w:t xml:space="preserve"> v </w:t>
      </w:r>
      <w:proofErr w:type="spellStart"/>
      <w:r>
        <w:rPr>
          <w:i/>
          <w:sz w:val="28"/>
          <w:szCs w:val="28"/>
        </w:rPr>
        <w:t>Hokonya</w:t>
      </w:r>
      <w:proofErr w:type="spellEnd"/>
      <w:r>
        <w:rPr>
          <w:i/>
          <w:sz w:val="28"/>
          <w:szCs w:val="28"/>
        </w:rPr>
        <w:t xml:space="preserve"> </w:t>
      </w:r>
      <w:r>
        <w:rPr>
          <w:sz w:val="28"/>
          <w:szCs w:val="28"/>
        </w:rPr>
        <w:t xml:space="preserve">1997 (2) ZLR 475 (SC) and </w:t>
      </w:r>
      <w:r>
        <w:rPr>
          <w:i/>
          <w:sz w:val="28"/>
          <w:szCs w:val="28"/>
        </w:rPr>
        <w:t xml:space="preserve">AG v </w:t>
      </w:r>
      <w:proofErr w:type="spellStart"/>
      <w:r>
        <w:rPr>
          <w:i/>
          <w:sz w:val="28"/>
          <w:szCs w:val="28"/>
        </w:rPr>
        <w:t>Howman</w:t>
      </w:r>
      <w:proofErr w:type="spellEnd"/>
      <w:r>
        <w:rPr>
          <w:i/>
          <w:sz w:val="28"/>
          <w:szCs w:val="28"/>
        </w:rPr>
        <w:t xml:space="preserve"> </w:t>
      </w:r>
      <w:r>
        <w:rPr>
          <w:sz w:val="28"/>
          <w:szCs w:val="28"/>
        </w:rPr>
        <w:t>1988 (2) ZLR 402 (SC.  Further to that the employer’s powers in relation to penalty are</w:t>
      </w:r>
      <w:r w:rsidR="00375DAA">
        <w:rPr>
          <w:sz w:val="28"/>
          <w:szCs w:val="28"/>
        </w:rPr>
        <w:t xml:space="preserve"> also settled See </w:t>
      </w:r>
      <w:proofErr w:type="spellStart"/>
      <w:r w:rsidR="00375DAA" w:rsidRPr="00375DAA">
        <w:rPr>
          <w:i/>
          <w:sz w:val="28"/>
          <w:szCs w:val="28"/>
        </w:rPr>
        <w:t>Malimanji</w:t>
      </w:r>
      <w:proofErr w:type="spellEnd"/>
      <w:r w:rsidR="00375DAA">
        <w:rPr>
          <w:i/>
          <w:sz w:val="28"/>
          <w:szCs w:val="28"/>
        </w:rPr>
        <w:t xml:space="preserve"> v CABS </w:t>
      </w:r>
      <w:r w:rsidR="00375DAA">
        <w:rPr>
          <w:sz w:val="28"/>
          <w:szCs w:val="28"/>
        </w:rPr>
        <w:t>2007 (2) ZLR 327 (SC).  To the extent of the case</w:t>
      </w:r>
      <w:r w:rsidR="00076100">
        <w:rPr>
          <w:sz w:val="28"/>
          <w:szCs w:val="28"/>
        </w:rPr>
        <w:t>s</w:t>
      </w:r>
      <w:r w:rsidR="00375DAA">
        <w:rPr>
          <w:sz w:val="28"/>
          <w:szCs w:val="28"/>
        </w:rPr>
        <w:t xml:space="preserve"> quoted above the question to be determined by the court is whether it has been demonstrated that the respondent employer’s Disciplinary Committee and Appeals Committee failed </w:t>
      </w:r>
      <w:r w:rsidR="00375DAA">
        <w:rPr>
          <w:sz w:val="28"/>
          <w:szCs w:val="28"/>
        </w:rPr>
        <w:lastRenderedPageBreak/>
        <w:t>to exercise their discretion when they ruled that dismissal was appropriate in the appellant’s case.</w:t>
      </w:r>
    </w:p>
    <w:p w:rsidR="00375DAA" w:rsidRDefault="00375DAA" w:rsidP="00EF2012">
      <w:pPr>
        <w:spacing w:line="360" w:lineRule="auto"/>
        <w:jc w:val="both"/>
        <w:rPr>
          <w:sz w:val="28"/>
          <w:szCs w:val="28"/>
        </w:rPr>
      </w:pPr>
      <w:r>
        <w:rPr>
          <w:sz w:val="28"/>
          <w:szCs w:val="28"/>
        </w:rPr>
        <w:tab/>
        <w:t>Before dealing with the crux of this appeal it is worth noting that on the date of the hearing, the appellant brought up new issues challenging the procedural correctness of his dismissal.  He did so by raising the following issues;</w:t>
      </w:r>
    </w:p>
    <w:p w:rsidR="00375DAA" w:rsidRDefault="00375DAA" w:rsidP="00375DAA">
      <w:pPr>
        <w:pStyle w:val="ListParagraph"/>
        <w:numPr>
          <w:ilvl w:val="0"/>
          <w:numId w:val="1"/>
        </w:numPr>
        <w:spacing w:line="360" w:lineRule="auto"/>
        <w:jc w:val="both"/>
        <w:rPr>
          <w:sz w:val="28"/>
          <w:szCs w:val="28"/>
        </w:rPr>
      </w:pPr>
      <w:r w:rsidRPr="00375DAA">
        <w:rPr>
          <w:sz w:val="28"/>
          <w:szCs w:val="28"/>
        </w:rPr>
        <w:t>Notice to attend hearing was premature being 2 days to hearing date thus limiting his time</w:t>
      </w:r>
      <w:r>
        <w:rPr>
          <w:sz w:val="28"/>
          <w:szCs w:val="28"/>
        </w:rPr>
        <w:t xml:space="preserve"> to prepare his defence.</w:t>
      </w:r>
    </w:p>
    <w:p w:rsidR="00375DAA" w:rsidRDefault="00375DAA" w:rsidP="00375DAA">
      <w:pPr>
        <w:pStyle w:val="ListParagraph"/>
        <w:numPr>
          <w:ilvl w:val="0"/>
          <w:numId w:val="1"/>
        </w:numPr>
        <w:spacing w:line="360" w:lineRule="auto"/>
        <w:jc w:val="both"/>
        <w:rPr>
          <w:sz w:val="28"/>
          <w:szCs w:val="28"/>
        </w:rPr>
      </w:pPr>
      <w:r>
        <w:rPr>
          <w:sz w:val="28"/>
          <w:szCs w:val="28"/>
        </w:rPr>
        <w:t xml:space="preserve">Board of enquiry sat at his house thus infringing with his privacy and the freedom of his ill </w:t>
      </w:r>
      <w:r w:rsidR="003F745E">
        <w:rPr>
          <w:sz w:val="28"/>
          <w:szCs w:val="28"/>
        </w:rPr>
        <w:t>mother</w:t>
      </w:r>
      <w:r>
        <w:rPr>
          <w:sz w:val="28"/>
          <w:szCs w:val="28"/>
        </w:rPr>
        <w:t xml:space="preserve"> who was </w:t>
      </w:r>
      <w:r w:rsidR="003F745E">
        <w:rPr>
          <w:sz w:val="28"/>
          <w:szCs w:val="28"/>
        </w:rPr>
        <w:t xml:space="preserve">living </w:t>
      </w:r>
      <w:r>
        <w:rPr>
          <w:sz w:val="28"/>
          <w:szCs w:val="28"/>
        </w:rPr>
        <w:t>there at the time</w:t>
      </w:r>
    </w:p>
    <w:p w:rsidR="00375DAA" w:rsidRDefault="00375DAA" w:rsidP="00375DAA">
      <w:pPr>
        <w:pStyle w:val="ListParagraph"/>
        <w:numPr>
          <w:ilvl w:val="0"/>
          <w:numId w:val="1"/>
        </w:numPr>
        <w:spacing w:line="360" w:lineRule="auto"/>
        <w:jc w:val="both"/>
        <w:rPr>
          <w:sz w:val="28"/>
          <w:szCs w:val="28"/>
        </w:rPr>
      </w:pPr>
      <w:r>
        <w:rPr>
          <w:sz w:val="28"/>
          <w:szCs w:val="28"/>
        </w:rPr>
        <w:t>Respondent appeals body misinformed him that he had to appeal against their decision if he was unhappy with it within 7 days as opposed to the 21 day period which he subsequently found out to be the</w:t>
      </w:r>
      <w:r w:rsidR="00A45F9E">
        <w:rPr>
          <w:sz w:val="28"/>
          <w:szCs w:val="28"/>
        </w:rPr>
        <w:t xml:space="preserve"> proper appeal period.  In the result he argued that his dismissal was to the extent of the above cited procedural arguments and the lip service paid to his mitigation it followed that his dismissal could not be sanctioned by the appeal court.</w:t>
      </w:r>
    </w:p>
    <w:p w:rsidR="00E756EC" w:rsidRDefault="00A45F9E" w:rsidP="00E756EC">
      <w:pPr>
        <w:spacing w:line="360" w:lineRule="auto"/>
        <w:ind w:left="360"/>
        <w:jc w:val="both"/>
        <w:rPr>
          <w:sz w:val="28"/>
          <w:szCs w:val="28"/>
        </w:rPr>
      </w:pPr>
      <w:r>
        <w:rPr>
          <w:sz w:val="28"/>
          <w:szCs w:val="28"/>
        </w:rPr>
        <w:t>It is worth noting that the rules of court are clear that review and appeal issues are dis</w:t>
      </w:r>
      <w:r w:rsidR="003F745E">
        <w:rPr>
          <w:sz w:val="28"/>
          <w:szCs w:val="28"/>
        </w:rPr>
        <w:t>tinct procedures</w:t>
      </w:r>
      <w:r>
        <w:rPr>
          <w:sz w:val="28"/>
          <w:szCs w:val="28"/>
        </w:rPr>
        <w:t xml:space="preserve"> and these have to </w:t>
      </w:r>
      <w:proofErr w:type="gramStart"/>
      <w:r>
        <w:rPr>
          <w:sz w:val="28"/>
          <w:szCs w:val="28"/>
        </w:rPr>
        <w:t>brought</w:t>
      </w:r>
      <w:proofErr w:type="gramEnd"/>
      <w:r>
        <w:rPr>
          <w:sz w:val="28"/>
          <w:szCs w:val="28"/>
        </w:rPr>
        <w:t xml:space="preserve"> using the appropriate forms and rules etc.  Further to that it was also clear that these issues were coming up for the </w:t>
      </w:r>
      <w:r w:rsidR="003F745E">
        <w:rPr>
          <w:sz w:val="28"/>
          <w:szCs w:val="28"/>
        </w:rPr>
        <w:t>first</w:t>
      </w:r>
      <w:r>
        <w:rPr>
          <w:sz w:val="28"/>
          <w:szCs w:val="28"/>
        </w:rPr>
        <w:t xml:space="preserve"> time and </w:t>
      </w:r>
      <w:r w:rsidR="003F745E">
        <w:rPr>
          <w:sz w:val="28"/>
          <w:szCs w:val="28"/>
        </w:rPr>
        <w:t>none of them raised a poin</w:t>
      </w:r>
      <w:r>
        <w:rPr>
          <w:sz w:val="28"/>
          <w:szCs w:val="28"/>
        </w:rPr>
        <w:t>t of law which could arguably be raised at any stage of the proceedings.  All this notwithstanding the court observed that appellant was a self</w:t>
      </w:r>
      <w:r w:rsidR="00076100">
        <w:rPr>
          <w:rFonts w:ascii="Sylfaen" w:hAnsi="Sylfaen"/>
          <w:sz w:val="28"/>
          <w:szCs w:val="28"/>
        </w:rPr>
        <w:t>-</w:t>
      </w:r>
      <w:r>
        <w:rPr>
          <w:sz w:val="28"/>
          <w:szCs w:val="28"/>
        </w:rPr>
        <w:t xml:space="preserve"> actor who could not have been expected to follow</w:t>
      </w:r>
      <w:r w:rsidR="003F745E">
        <w:rPr>
          <w:sz w:val="28"/>
          <w:szCs w:val="28"/>
        </w:rPr>
        <w:t xml:space="preserve"> the strict rules of procedure i</w:t>
      </w:r>
      <w:r>
        <w:rPr>
          <w:sz w:val="28"/>
          <w:szCs w:val="28"/>
        </w:rPr>
        <w:t xml:space="preserve">n </w:t>
      </w:r>
      <w:proofErr w:type="spellStart"/>
      <w:r>
        <w:rPr>
          <w:sz w:val="28"/>
          <w:szCs w:val="28"/>
        </w:rPr>
        <w:t>brining</w:t>
      </w:r>
      <w:proofErr w:type="spellEnd"/>
      <w:r>
        <w:rPr>
          <w:sz w:val="28"/>
          <w:szCs w:val="28"/>
        </w:rPr>
        <w:t xml:space="preserve"> up his claim.  To that extent the court allowed respondent to </w:t>
      </w:r>
      <w:r>
        <w:rPr>
          <w:sz w:val="28"/>
          <w:szCs w:val="28"/>
        </w:rPr>
        <w:lastRenderedPageBreak/>
        <w:t>respond to the procedural argument as obiter dicta.  It is to that extent that this judgment will also make reference to those</w:t>
      </w:r>
      <w:r w:rsidR="00E756EC">
        <w:rPr>
          <w:sz w:val="28"/>
          <w:szCs w:val="28"/>
        </w:rPr>
        <w:t xml:space="preserve"> procedural issues raised with a view to deciding whether or not it can be concluded that appellant’s dismissal was fair.  </w:t>
      </w:r>
      <w:r w:rsidR="003F745E">
        <w:rPr>
          <w:sz w:val="28"/>
          <w:szCs w:val="28"/>
        </w:rPr>
        <w:t>T</w:t>
      </w:r>
      <w:r w:rsidR="00E756EC">
        <w:rPr>
          <w:sz w:val="28"/>
          <w:szCs w:val="28"/>
        </w:rPr>
        <w:t xml:space="preserve">he </w:t>
      </w:r>
      <w:r w:rsidR="003F745E">
        <w:rPr>
          <w:sz w:val="28"/>
          <w:szCs w:val="28"/>
        </w:rPr>
        <w:t>peripheral</w:t>
      </w:r>
      <w:r w:rsidR="00E756EC">
        <w:rPr>
          <w:sz w:val="28"/>
          <w:szCs w:val="28"/>
        </w:rPr>
        <w:t xml:space="preserve"> issues will be disposed of and the judgment concluded by dealing with the ma</w:t>
      </w:r>
      <w:r w:rsidR="003F745E">
        <w:rPr>
          <w:sz w:val="28"/>
          <w:szCs w:val="28"/>
        </w:rPr>
        <w:t>i</w:t>
      </w:r>
      <w:r w:rsidR="00E756EC">
        <w:rPr>
          <w:sz w:val="28"/>
          <w:szCs w:val="28"/>
        </w:rPr>
        <w:t>n appeal ground raised by appellant.</w:t>
      </w:r>
    </w:p>
    <w:p w:rsidR="00E756EC" w:rsidRPr="00E756EC" w:rsidRDefault="00E756EC" w:rsidP="00E756EC">
      <w:pPr>
        <w:pStyle w:val="ListParagraph"/>
        <w:numPr>
          <w:ilvl w:val="0"/>
          <w:numId w:val="2"/>
        </w:numPr>
        <w:spacing w:line="360" w:lineRule="auto"/>
        <w:jc w:val="both"/>
        <w:rPr>
          <w:sz w:val="28"/>
          <w:szCs w:val="28"/>
          <w:u w:val="single"/>
        </w:rPr>
      </w:pPr>
      <w:r w:rsidRPr="00E756EC">
        <w:rPr>
          <w:sz w:val="28"/>
          <w:szCs w:val="28"/>
          <w:u w:val="single"/>
        </w:rPr>
        <w:t>Short Notice to attend hearing</w:t>
      </w:r>
    </w:p>
    <w:p w:rsidR="00E756EC" w:rsidRDefault="00E756EC" w:rsidP="00F173B5">
      <w:pPr>
        <w:spacing w:line="360" w:lineRule="auto"/>
        <w:ind w:left="720"/>
        <w:jc w:val="both"/>
        <w:rPr>
          <w:sz w:val="28"/>
          <w:szCs w:val="28"/>
        </w:rPr>
      </w:pPr>
      <w:r>
        <w:rPr>
          <w:sz w:val="28"/>
          <w:szCs w:val="28"/>
        </w:rPr>
        <w:t>It was observed by the court that appellant was notified of the hearin</w:t>
      </w:r>
      <w:r w:rsidR="003F745E">
        <w:rPr>
          <w:sz w:val="28"/>
          <w:szCs w:val="28"/>
        </w:rPr>
        <w:t>g dates of November 1 and 2.  Respondent</w:t>
      </w:r>
      <w:r>
        <w:rPr>
          <w:sz w:val="28"/>
          <w:szCs w:val="28"/>
        </w:rPr>
        <w:t xml:space="preserve"> confessed that </w:t>
      </w:r>
      <w:r w:rsidR="003F745E">
        <w:rPr>
          <w:sz w:val="28"/>
          <w:szCs w:val="28"/>
        </w:rPr>
        <w:t xml:space="preserve">it </w:t>
      </w:r>
      <w:r>
        <w:rPr>
          <w:sz w:val="28"/>
          <w:szCs w:val="28"/>
        </w:rPr>
        <w:t xml:space="preserve">was so but argued that </w:t>
      </w:r>
      <w:r w:rsidR="003F745E">
        <w:rPr>
          <w:sz w:val="28"/>
          <w:szCs w:val="28"/>
        </w:rPr>
        <w:t>appellant</w:t>
      </w:r>
      <w:r>
        <w:rPr>
          <w:sz w:val="28"/>
          <w:szCs w:val="28"/>
        </w:rPr>
        <w:t xml:space="preserve"> refused to sign the notification except the one </w:t>
      </w:r>
      <w:r w:rsidR="003F745E">
        <w:rPr>
          <w:sz w:val="28"/>
          <w:szCs w:val="28"/>
        </w:rPr>
        <w:t>which came</w:t>
      </w:r>
      <w:r>
        <w:rPr>
          <w:sz w:val="28"/>
          <w:szCs w:val="28"/>
        </w:rPr>
        <w:t xml:space="preserve"> 2 days prior to </w:t>
      </w:r>
      <w:r w:rsidR="003F745E">
        <w:rPr>
          <w:sz w:val="28"/>
          <w:szCs w:val="28"/>
        </w:rPr>
        <w:t xml:space="preserve">the </w:t>
      </w:r>
      <w:r>
        <w:rPr>
          <w:sz w:val="28"/>
          <w:szCs w:val="28"/>
        </w:rPr>
        <w:t xml:space="preserve">hearing.   </w:t>
      </w:r>
      <w:r w:rsidR="00076100">
        <w:rPr>
          <w:sz w:val="28"/>
          <w:szCs w:val="28"/>
        </w:rPr>
        <w:t>Appellant</w:t>
      </w:r>
      <w:r>
        <w:rPr>
          <w:sz w:val="28"/>
          <w:szCs w:val="28"/>
        </w:rPr>
        <w:t xml:space="preserve"> however could not provide proof of the document</w:t>
      </w:r>
      <w:r w:rsidR="003F745E">
        <w:rPr>
          <w:sz w:val="28"/>
          <w:szCs w:val="28"/>
        </w:rPr>
        <w:t xml:space="preserve"> which</w:t>
      </w:r>
      <w:r>
        <w:rPr>
          <w:sz w:val="28"/>
          <w:szCs w:val="28"/>
        </w:rPr>
        <w:t xml:space="preserve"> he allegedly signed to that extent.  It was theref</w:t>
      </w:r>
      <w:r w:rsidR="003F745E">
        <w:rPr>
          <w:sz w:val="28"/>
          <w:szCs w:val="28"/>
        </w:rPr>
        <w:t>ore apparent that the argument i</w:t>
      </w:r>
      <w:r>
        <w:rPr>
          <w:sz w:val="28"/>
          <w:szCs w:val="28"/>
        </w:rPr>
        <w:t>n this respect had no merit and it had to be dismissed.</w:t>
      </w:r>
    </w:p>
    <w:p w:rsidR="00E756EC" w:rsidRPr="00E756EC" w:rsidRDefault="00E756EC" w:rsidP="00E756EC">
      <w:pPr>
        <w:pStyle w:val="ListParagraph"/>
        <w:numPr>
          <w:ilvl w:val="0"/>
          <w:numId w:val="2"/>
        </w:numPr>
        <w:spacing w:line="360" w:lineRule="auto"/>
        <w:jc w:val="both"/>
        <w:rPr>
          <w:sz w:val="28"/>
          <w:szCs w:val="28"/>
        </w:rPr>
      </w:pPr>
      <w:r>
        <w:rPr>
          <w:sz w:val="28"/>
          <w:szCs w:val="28"/>
          <w:u w:val="single"/>
        </w:rPr>
        <w:t>Hearing of appellant’s …………</w:t>
      </w:r>
    </w:p>
    <w:p w:rsidR="00E756EC" w:rsidRDefault="00E756EC" w:rsidP="00E756EC">
      <w:pPr>
        <w:pStyle w:val="ListParagraph"/>
        <w:spacing w:line="360" w:lineRule="auto"/>
        <w:jc w:val="both"/>
        <w:rPr>
          <w:sz w:val="28"/>
          <w:szCs w:val="28"/>
        </w:rPr>
      </w:pPr>
      <w:r>
        <w:rPr>
          <w:sz w:val="28"/>
          <w:szCs w:val="28"/>
        </w:rPr>
        <w:t xml:space="preserve">Evidence of the hearing minutes </w:t>
      </w:r>
      <w:r w:rsidR="003F745E">
        <w:rPr>
          <w:sz w:val="28"/>
          <w:szCs w:val="28"/>
        </w:rPr>
        <w:t>showed</w:t>
      </w:r>
      <w:r>
        <w:rPr>
          <w:sz w:val="28"/>
          <w:szCs w:val="28"/>
        </w:rPr>
        <w:t xml:space="preserve"> that </w:t>
      </w:r>
      <w:r w:rsidR="003F745E">
        <w:rPr>
          <w:sz w:val="28"/>
          <w:szCs w:val="28"/>
        </w:rPr>
        <w:t>hearing</w:t>
      </w:r>
      <w:r>
        <w:rPr>
          <w:sz w:val="28"/>
          <w:szCs w:val="28"/>
        </w:rPr>
        <w:t xml:space="preserve"> was done in the respondent’s library</w:t>
      </w:r>
      <w:r w:rsidR="00F173B5">
        <w:rPr>
          <w:sz w:val="28"/>
          <w:szCs w:val="28"/>
        </w:rPr>
        <w:t xml:space="preserve"> not at</w:t>
      </w:r>
      <w:r w:rsidR="003F745E">
        <w:rPr>
          <w:sz w:val="28"/>
          <w:szCs w:val="28"/>
        </w:rPr>
        <w:t xml:space="preserve"> appellant’s house</w:t>
      </w:r>
      <w:r w:rsidR="00F173B5">
        <w:rPr>
          <w:sz w:val="28"/>
          <w:szCs w:val="28"/>
        </w:rPr>
        <w:t xml:space="preserve">   Further to that</w:t>
      </w:r>
      <w:r w:rsidR="003F745E">
        <w:rPr>
          <w:sz w:val="28"/>
          <w:szCs w:val="28"/>
        </w:rPr>
        <w:t>,</w:t>
      </w:r>
      <w:r w:rsidR="00F173B5">
        <w:rPr>
          <w:sz w:val="28"/>
          <w:szCs w:val="28"/>
        </w:rPr>
        <w:t xml:space="preserve"> even if it were to be accepted that the board of enquiry was indeed done at his house there was no demonstrate</w:t>
      </w:r>
      <w:r w:rsidR="003F745E">
        <w:rPr>
          <w:sz w:val="28"/>
          <w:szCs w:val="28"/>
        </w:rPr>
        <w:t>d prejudice vi</w:t>
      </w:r>
      <w:r w:rsidR="00F173B5">
        <w:rPr>
          <w:sz w:val="28"/>
          <w:szCs w:val="28"/>
        </w:rPr>
        <w:t>t</w:t>
      </w:r>
      <w:r w:rsidR="003F745E">
        <w:rPr>
          <w:sz w:val="28"/>
          <w:szCs w:val="28"/>
        </w:rPr>
        <w:t>iating</w:t>
      </w:r>
      <w:r w:rsidR="00F173B5">
        <w:rPr>
          <w:sz w:val="28"/>
          <w:szCs w:val="28"/>
        </w:rPr>
        <w:t xml:space="preserve"> the proceedings.  It is settled law that </w:t>
      </w:r>
      <w:r w:rsidR="003F745E">
        <w:rPr>
          <w:sz w:val="28"/>
          <w:szCs w:val="28"/>
        </w:rPr>
        <w:t>it is only technicalities</w:t>
      </w:r>
      <w:r w:rsidR="00F173B5">
        <w:rPr>
          <w:sz w:val="28"/>
          <w:szCs w:val="28"/>
        </w:rPr>
        <w:t xml:space="preserve"> which go to the root of a matter and prejudice appellant </w:t>
      </w:r>
      <w:r w:rsidR="003F745E">
        <w:rPr>
          <w:sz w:val="28"/>
          <w:szCs w:val="28"/>
        </w:rPr>
        <w:t>which can compel a</w:t>
      </w:r>
      <w:r w:rsidR="00F173B5">
        <w:rPr>
          <w:sz w:val="28"/>
          <w:szCs w:val="28"/>
        </w:rPr>
        <w:t>n appeal court to set aside o</w:t>
      </w:r>
      <w:r w:rsidR="00017128">
        <w:rPr>
          <w:sz w:val="28"/>
          <w:szCs w:val="28"/>
        </w:rPr>
        <w:t xml:space="preserve">r remit the proceedings of the lower tribunal.  See </w:t>
      </w:r>
      <w:proofErr w:type="spellStart"/>
      <w:r w:rsidR="00017128">
        <w:rPr>
          <w:i/>
          <w:sz w:val="28"/>
          <w:szCs w:val="28"/>
        </w:rPr>
        <w:t>Nyahuma</w:t>
      </w:r>
      <w:proofErr w:type="spellEnd"/>
      <w:r w:rsidR="00017128">
        <w:rPr>
          <w:i/>
          <w:sz w:val="28"/>
          <w:szCs w:val="28"/>
        </w:rPr>
        <w:t xml:space="preserve"> v Barclays Bank Zimbabwe Ltd </w:t>
      </w:r>
      <w:r w:rsidR="003F745E">
        <w:rPr>
          <w:i/>
          <w:sz w:val="28"/>
          <w:szCs w:val="28"/>
        </w:rPr>
        <w:t>2000 (2) ZLR 445 (S).</w:t>
      </w:r>
      <w:r w:rsidR="00017128">
        <w:rPr>
          <w:i/>
          <w:sz w:val="28"/>
          <w:szCs w:val="28"/>
        </w:rPr>
        <w:t xml:space="preserve">  </w:t>
      </w:r>
      <w:r w:rsidR="00017128">
        <w:rPr>
          <w:sz w:val="28"/>
          <w:szCs w:val="28"/>
        </w:rPr>
        <w:t xml:space="preserve">As indicated above there was no demonstrable prejudice from the board of </w:t>
      </w:r>
      <w:r w:rsidR="003F745E">
        <w:rPr>
          <w:sz w:val="28"/>
          <w:szCs w:val="28"/>
        </w:rPr>
        <w:t xml:space="preserve">enquiry </w:t>
      </w:r>
      <w:r w:rsidR="00017128">
        <w:rPr>
          <w:sz w:val="28"/>
          <w:szCs w:val="28"/>
        </w:rPr>
        <w:t>allegation hence the argument has to be dismissed.</w:t>
      </w:r>
    </w:p>
    <w:p w:rsidR="00017128" w:rsidRDefault="00017128" w:rsidP="00E756EC">
      <w:pPr>
        <w:pStyle w:val="ListParagraph"/>
        <w:spacing w:line="360" w:lineRule="auto"/>
        <w:jc w:val="both"/>
        <w:rPr>
          <w:sz w:val="28"/>
          <w:szCs w:val="28"/>
        </w:rPr>
      </w:pPr>
    </w:p>
    <w:p w:rsidR="00017128" w:rsidRPr="00017128" w:rsidRDefault="00017128" w:rsidP="00017128">
      <w:pPr>
        <w:pStyle w:val="ListParagraph"/>
        <w:numPr>
          <w:ilvl w:val="0"/>
          <w:numId w:val="2"/>
        </w:numPr>
        <w:spacing w:line="360" w:lineRule="auto"/>
        <w:jc w:val="both"/>
        <w:rPr>
          <w:sz w:val="28"/>
          <w:szCs w:val="28"/>
        </w:rPr>
      </w:pPr>
      <w:r>
        <w:rPr>
          <w:sz w:val="28"/>
          <w:szCs w:val="28"/>
          <w:u w:val="single"/>
        </w:rPr>
        <w:t xml:space="preserve">Ill advice </w:t>
      </w:r>
      <w:r w:rsidR="003F745E">
        <w:rPr>
          <w:sz w:val="28"/>
          <w:szCs w:val="28"/>
          <w:u w:val="single"/>
        </w:rPr>
        <w:t>re-period</w:t>
      </w:r>
      <w:r>
        <w:rPr>
          <w:sz w:val="28"/>
          <w:szCs w:val="28"/>
          <w:u w:val="single"/>
        </w:rPr>
        <w:t xml:space="preserve"> of noting appeal</w:t>
      </w:r>
    </w:p>
    <w:p w:rsidR="00017128" w:rsidRPr="00076100" w:rsidRDefault="00017128" w:rsidP="00076100">
      <w:pPr>
        <w:pStyle w:val="ListParagraph"/>
        <w:spacing w:line="360" w:lineRule="auto"/>
        <w:jc w:val="both"/>
        <w:rPr>
          <w:sz w:val="28"/>
          <w:szCs w:val="28"/>
        </w:rPr>
      </w:pPr>
      <w:r>
        <w:rPr>
          <w:sz w:val="28"/>
          <w:szCs w:val="28"/>
        </w:rPr>
        <w:t>A reading of respondent’s Code of Conduc</w:t>
      </w:r>
      <w:r w:rsidR="003F745E">
        <w:rPr>
          <w:sz w:val="28"/>
          <w:szCs w:val="28"/>
        </w:rPr>
        <w:t>t put the matter to rest by stating that appeals li</w:t>
      </w:r>
      <w:r>
        <w:rPr>
          <w:sz w:val="28"/>
          <w:szCs w:val="28"/>
        </w:rPr>
        <w:t>e to the Labour Co</w:t>
      </w:r>
      <w:r w:rsidR="003F745E">
        <w:rPr>
          <w:sz w:val="28"/>
          <w:szCs w:val="28"/>
        </w:rPr>
        <w:t xml:space="preserve">urt within 7 days.  </w:t>
      </w:r>
      <w:proofErr w:type="gramStart"/>
      <w:r w:rsidR="003F745E">
        <w:rPr>
          <w:sz w:val="28"/>
          <w:szCs w:val="28"/>
        </w:rPr>
        <w:t>This  issue</w:t>
      </w:r>
      <w:proofErr w:type="gramEnd"/>
      <w:r>
        <w:rPr>
          <w:sz w:val="28"/>
          <w:szCs w:val="28"/>
        </w:rPr>
        <w:t xml:space="preserve"> being settled by the code also means that the argument in its respect is not merited and should fall away.</w:t>
      </w:r>
    </w:p>
    <w:p w:rsidR="00017128" w:rsidRPr="00017128" w:rsidRDefault="00017128" w:rsidP="00017128">
      <w:pPr>
        <w:pStyle w:val="ListParagraph"/>
        <w:numPr>
          <w:ilvl w:val="0"/>
          <w:numId w:val="2"/>
        </w:numPr>
        <w:spacing w:line="360" w:lineRule="auto"/>
        <w:jc w:val="both"/>
        <w:rPr>
          <w:sz w:val="28"/>
          <w:szCs w:val="28"/>
        </w:rPr>
      </w:pPr>
      <w:r w:rsidRPr="00017128">
        <w:rPr>
          <w:sz w:val="28"/>
          <w:szCs w:val="28"/>
          <w:u w:val="single"/>
        </w:rPr>
        <w:t>Penalty of dismissal</w:t>
      </w:r>
    </w:p>
    <w:p w:rsidR="00FB5428" w:rsidRDefault="00017128" w:rsidP="00076100">
      <w:pPr>
        <w:pStyle w:val="ListParagraph"/>
        <w:spacing w:line="360" w:lineRule="auto"/>
        <w:jc w:val="both"/>
        <w:rPr>
          <w:sz w:val="28"/>
          <w:szCs w:val="28"/>
        </w:rPr>
      </w:pPr>
      <w:r>
        <w:rPr>
          <w:sz w:val="28"/>
          <w:szCs w:val="28"/>
        </w:rPr>
        <w:t xml:space="preserve">This is the crux of appellant’s appeal.  </w:t>
      </w:r>
      <w:proofErr w:type="gramStart"/>
      <w:r>
        <w:rPr>
          <w:sz w:val="28"/>
          <w:szCs w:val="28"/>
        </w:rPr>
        <w:t>As correctly argued by the respondent</w:t>
      </w:r>
      <w:r w:rsidR="003F745E">
        <w:rPr>
          <w:sz w:val="28"/>
          <w:szCs w:val="28"/>
        </w:rPr>
        <w:t>,</w:t>
      </w:r>
      <w:r>
        <w:rPr>
          <w:sz w:val="28"/>
          <w:szCs w:val="28"/>
        </w:rPr>
        <w:t xml:space="preserve"> offences committed</w:t>
      </w:r>
      <w:r w:rsidR="00FB5428">
        <w:rPr>
          <w:sz w:val="28"/>
          <w:szCs w:val="28"/>
        </w:rPr>
        <w:t xml:space="preserve"> by appellant and which h</w:t>
      </w:r>
      <w:r>
        <w:rPr>
          <w:sz w:val="28"/>
          <w:szCs w:val="28"/>
        </w:rPr>
        <w:t>e pleaded guilty to demonstrated dishonesty.</w:t>
      </w:r>
      <w:proofErr w:type="gramEnd"/>
      <w:r>
        <w:rPr>
          <w:sz w:val="28"/>
          <w:szCs w:val="28"/>
        </w:rPr>
        <w:t xml:space="preserve">  It was therefore not misplaced</w:t>
      </w:r>
      <w:r w:rsidR="00FB5428">
        <w:rPr>
          <w:sz w:val="28"/>
          <w:szCs w:val="28"/>
        </w:rPr>
        <w:t xml:space="preserve"> for the respondent to take a serious view of the misconduct complained of.</w:t>
      </w:r>
    </w:p>
    <w:p w:rsidR="00076100" w:rsidRPr="00076100" w:rsidRDefault="00076100" w:rsidP="00076100">
      <w:pPr>
        <w:pStyle w:val="ListParagraph"/>
        <w:spacing w:line="360" w:lineRule="auto"/>
        <w:jc w:val="both"/>
        <w:rPr>
          <w:sz w:val="28"/>
          <w:szCs w:val="28"/>
        </w:rPr>
      </w:pPr>
    </w:p>
    <w:p w:rsidR="00FB5428" w:rsidRDefault="00FB5428" w:rsidP="00FB5428">
      <w:pPr>
        <w:pStyle w:val="ListParagraph"/>
        <w:spacing w:after="0" w:line="360" w:lineRule="auto"/>
        <w:jc w:val="both"/>
        <w:rPr>
          <w:sz w:val="28"/>
          <w:szCs w:val="28"/>
        </w:rPr>
      </w:pPr>
      <w:r>
        <w:rPr>
          <w:sz w:val="28"/>
          <w:szCs w:val="28"/>
        </w:rPr>
        <w:t xml:space="preserve">Indeed it is correct as appellant stated that the criminal case was not </w:t>
      </w:r>
    </w:p>
    <w:p w:rsidR="002504D0" w:rsidRDefault="00FB5428" w:rsidP="00FB5428">
      <w:pPr>
        <w:spacing w:after="0" w:line="360" w:lineRule="auto"/>
        <w:jc w:val="both"/>
        <w:rPr>
          <w:sz w:val="28"/>
          <w:szCs w:val="28"/>
        </w:rPr>
      </w:pPr>
      <w:proofErr w:type="gramStart"/>
      <w:r>
        <w:rPr>
          <w:sz w:val="28"/>
          <w:szCs w:val="28"/>
        </w:rPr>
        <w:t>decisive</w:t>
      </w:r>
      <w:proofErr w:type="gramEnd"/>
      <w:r>
        <w:rPr>
          <w:sz w:val="28"/>
          <w:szCs w:val="28"/>
        </w:rPr>
        <w:t xml:space="preserve"> in his misconduct case but being that as it was </w:t>
      </w:r>
      <w:r w:rsidR="003F745E">
        <w:rPr>
          <w:sz w:val="28"/>
          <w:szCs w:val="28"/>
        </w:rPr>
        <w:t xml:space="preserve">the </w:t>
      </w:r>
      <w:r>
        <w:rPr>
          <w:sz w:val="28"/>
          <w:szCs w:val="28"/>
        </w:rPr>
        <w:t>question still was whether it could be sai</w:t>
      </w:r>
      <w:r w:rsidR="002504D0">
        <w:rPr>
          <w:sz w:val="28"/>
          <w:szCs w:val="28"/>
        </w:rPr>
        <w:t>d that dismissal was misplaced i</w:t>
      </w:r>
      <w:r>
        <w:rPr>
          <w:sz w:val="28"/>
          <w:szCs w:val="28"/>
        </w:rPr>
        <w:t xml:space="preserve">n respect of the facts of the appellant’s case.  The fact that the appellant had  </w:t>
      </w:r>
      <w:r w:rsidR="002504D0">
        <w:rPr>
          <w:sz w:val="28"/>
          <w:szCs w:val="28"/>
        </w:rPr>
        <w:t>financial d</w:t>
      </w:r>
      <w:r>
        <w:rPr>
          <w:sz w:val="28"/>
          <w:szCs w:val="28"/>
        </w:rPr>
        <w:t xml:space="preserve">ifficulties and that he hoped to get </w:t>
      </w:r>
      <w:r w:rsidR="002504D0">
        <w:rPr>
          <w:sz w:val="28"/>
          <w:szCs w:val="28"/>
        </w:rPr>
        <w:t>financial</w:t>
      </w:r>
      <w:r>
        <w:rPr>
          <w:sz w:val="28"/>
          <w:szCs w:val="28"/>
        </w:rPr>
        <w:t xml:space="preserve"> aid from respondent does not absolve him from the misconduct neither</w:t>
      </w:r>
      <w:r w:rsidR="002504D0">
        <w:rPr>
          <w:sz w:val="28"/>
          <w:szCs w:val="28"/>
        </w:rPr>
        <w:t xml:space="preserve"> does it</w:t>
      </w:r>
      <w:r>
        <w:rPr>
          <w:sz w:val="28"/>
          <w:szCs w:val="28"/>
        </w:rPr>
        <w:t xml:space="preserve"> ameliorate meaningfully the gravity of the infraction complained about to the respondent</w:t>
      </w:r>
      <w:r w:rsidR="00200641">
        <w:rPr>
          <w:sz w:val="28"/>
          <w:szCs w:val="28"/>
        </w:rPr>
        <w:t xml:space="preserve">.  </w:t>
      </w:r>
    </w:p>
    <w:p w:rsidR="00FB5428" w:rsidRDefault="00200641" w:rsidP="002504D0">
      <w:pPr>
        <w:spacing w:after="0" w:line="360" w:lineRule="auto"/>
        <w:ind w:firstLine="720"/>
        <w:jc w:val="both"/>
        <w:rPr>
          <w:sz w:val="28"/>
          <w:szCs w:val="28"/>
        </w:rPr>
      </w:pPr>
      <w:r>
        <w:rPr>
          <w:sz w:val="28"/>
          <w:szCs w:val="28"/>
        </w:rPr>
        <w:t xml:space="preserve">As was stated on the case of </w:t>
      </w:r>
      <w:r>
        <w:rPr>
          <w:i/>
          <w:sz w:val="28"/>
          <w:szCs w:val="28"/>
        </w:rPr>
        <w:t xml:space="preserve">Circle Cement v </w:t>
      </w:r>
      <w:proofErr w:type="spellStart"/>
      <w:r>
        <w:rPr>
          <w:i/>
          <w:sz w:val="28"/>
          <w:szCs w:val="28"/>
        </w:rPr>
        <w:t>Nyawasha</w:t>
      </w:r>
      <w:proofErr w:type="spellEnd"/>
      <w:r>
        <w:rPr>
          <w:i/>
          <w:sz w:val="28"/>
          <w:szCs w:val="28"/>
        </w:rPr>
        <w:t xml:space="preserve"> </w:t>
      </w:r>
      <w:r>
        <w:rPr>
          <w:sz w:val="28"/>
          <w:szCs w:val="28"/>
        </w:rPr>
        <w:t>SC-60-03 where employer takes a serious view of the misconduct and decides to dismiss the</w:t>
      </w:r>
      <w:r w:rsidR="002504D0">
        <w:rPr>
          <w:sz w:val="28"/>
          <w:szCs w:val="28"/>
        </w:rPr>
        <w:t xml:space="preserve"> employee, such</w:t>
      </w:r>
      <w:r>
        <w:rPr>
          <w:sz w:val="28"/>
          <w:szCs w:val="28"/>
        </w:rPr>
        <w:t xml:space="preserve"> dismissal shall not</w:t>
      </w:r>
      <w:r w:rsidR="002504D0">
        <w:rPr>
          <w:sz w:val="28"/>
          <w:szCs w:val="28"/>
        </w:rPr>
        <w:t xml:space="preserve"> be</w:t>
      </w:r>
      <w:r>
        <w:rPr>
          <w:sz w:val="28"/>
          <w:szCs w:val="28"/>
        </w:rPr>
        <w:t xml:space="preserve"> faulted.  The principle</w:t>
      </w:r>
      <w:r w:rsidR="006E16A8">
        <w:rPr>
          <w:sz w:val="28"/>
          <w:szCs w:val="28"/>
        </w:rPr>
        <w:t xml:space="preserve"> applies with equal force to the facts of the case at hand.  </w:t>
      </w:r>
      <w:r w:rsidR="002504D0">
        <w:rPr>
          <w:sz w:val="28"/>
          <w:szCs w:val="28"/>
        </w:rPr>
        <w:t xml:space="preserve">There </w:t>
      </w:r>
      <w:r w:rsidR="006E16A8">
        <w:rPr>
          <w:sz w:val="28"/>
          <w:szCs w:val="28"/>
        </w:rPr>
        <w:t>is no serious misdirection which can be said to have occurred when the lower tribunals exercised their discretion.  The appeal ground being without merit should therefore fail.</w:t>
      </w:r>
    </w:p>
    <w:p w:rsidR="006E16A8" w:rsidRDefault="006E16A8" w:rsidP="00FB5428">
      <w:pPr>
        <w:spacing w:after="0" w:line="360" w:lineRule="auto"/>
        <w:jc w:val="both"/>
        <w:rPr>
          <w:sz w:val="28"/>
          <w:szCs w:val="28"/>
        </w:rPr>
      </w:pPr>
    </w:p>
    <w:p w:rsidR="006E16A8" w:rsidRDefault="006E16A8" w:rsidP="00FB5428">
      <w:pPr>
        <w:spacing w:after="0" w:line="360" w:lineRule="auto"/>
        <w:jc w:val="both"/>
        <w:rPr>
          <w:b/>
          <w:sz w:val="28"/>
          <w:szCs w:val="28"/>
        </w:rPr>
      </w:pPr>
    </w:p>
    <w:p w:rsidR="006E16A8" w:rsidRDefault="006E16A8" w:rsidP="00FB5428">
      <w:pPr>
        <w:spacing w:after="0" w:line="360" w:lineRule="auto"/>
        <w:jc w:val="both"/>
        <w:rPr>
          <w:b/>
          <w:sz w:val="28"/>
          <w:szCs w:val="28"/>
        </w:rPr>
      </w:pPr>
    </w:p>
    <w:p w:rsidR="006E16A8" w:rsidRDefault="006E16A8" w:rsidP="00FB5428">
      <w:pPr>
        <w:spacing w:after="0" w:line="360" w:lineRule="auto"/>
        <w:jc w:val="both"/>
        <w:rPr>
          <w:b/>
          <w:sz w:val="28"/>
          <w:szCs w:val="28"/>
        </w:rPr>
      </w:pPr>
      <w:r>
        <w:rPr>
          <w:b/>
          <w:sz w:val="28"/>
          <w:szCs w:val="28"/>
        </w:rPr>
        <w:t>IT IS ORDERED THAT</w:t>
      </w:r>
    </w:p>
    <w:p w:rsidR="006E16A8" w:rsidRDefault="006E16A8" w:rsidP="00FB5428">
      <w:pPr>
        <w:spacing w:after="0" w:line="360" w:lineRule="auto"/>
        <w:jc w:val="both"/>
        <w:rPr>
          <w:sz w:val="28"/>
          <w:szCs w:val="28"/>
        </w:rPr>
      </w:pPr>
    </w:p>
    <w:p w:rsidR="006E16A8" w:rsidRDefault="006E16A8" w:rsidP="00FB5428">
      <w:pPr>
        <w:spacing w:after="0" w:line="360" w:lineRule="auto"/>
        <w:jc w:val="both"/>
        <w:rPr>
          <w:sz w:val="28"/>
          <w:szCs w:val="28"/>
        </w:rPr>
      </w:pPr>
      <w:r>
        <w:rPr>
          <w:sz w:val="28"/>
          <w:szCs w:val="28"/>
        </w:rPr>
        <w:t>Appeal being without merit in its entirety it be and is hereby dismissed.</w:t>
      </w:r>
    </w:p>
    <w:p w:rsidR="006E16A8" w:rsidRDefault="006E16A8" w:rsidP="00FB5428">
      <w:pPr>
        <w:spacing w:after="0" w:line="360" w:lineRule="auto"/>
        <w:jc w:val="both"/>
        <w:rPr>
          <w:sz w:val="28"/>
          <w:szCs w:val="28"/>
        </w:rPr>
      </w:pPr>
    </w:p>
    <w:p w:rsidR="006E16A8" w:rsidRDefault="006E16A8" w:rsidP="00FB5428">
      <w:pPr>
        <w:spacing w:after="0" w:line="360" w:lineRule="auto"/>
        <w:jc w:val="both"/>
        <w:rPr>
          <w:sz w:val="28"/>
          <w:szCs w:val="28"/>
        </w:rPr>
      </w:pPr>
      <w:r>
        <w:rPr>
          <w:sz w:val="28"/>
          <w:szCs w:val="28"/>
        </w:rPr>
        <w:t>Each party to bear own costs</w:t>
      </w:r>
    </w:p>
    <w:p w:rsidR="006E16A8" w:rsidRDefault="006E16A8" w:rsidP="00FB5428">
      <w:pPr>
        <w:spacing w:after="0" w:line="360" w:lineRule="auto"/>
        <w:jc w:val="both"/>
        <w:rPr>
          <w:sz w:val="28"/>
          <w:szCs w:val="28"/>
        </w:rPr>
      </w:pPr>
    </w:p>
    <w:p w:rsidR="006E16A8" w:rsidRDefault="006E16A8" w:rsidP="00FB5428">
      <w:pPr>
        <w:spacing w:after="0" w:line="360" w:lineRule="auto"/>
        <w:jc w:val="both"/>
        <w:rPr>
          <w:sz w:val="28"/>
          <w:szCs w:val="28"/>
        </w:rPr>
      </w:pPr>
    </w:p>
    <w:p w:rsidR="006E16A8" w:rsidRDefault="006E16A8" w:rsidP="00FB5428">
      <w:pPr>
        <w:spacing w:after="0" w:line="360" w:lineRule="auto"/>
        <w:jc w:val="both"/>
        <w:rPr>
          <w:sz w:val="28"/>
          <w:szCs w:val="28"/>
        </w:rPr>
      </w:pPr>
    </w:p>
    <w:p w:rsidR="00C1106E" w:rsidRDefault="00C1106E" w:rsidP="00FB5428">
      <w:pPr>
        <w:spacing w:after="0" w:line="360" w:lineRule="auto"/>
        <w:jc w:val="both"/>
        <w:rPr>
          <w:sz w:val="28"/>
          <w:szCs w:val="28"/>
        </w:rPr>
      </w:pPr>
    </w:p>
    <w:p w:rsidR="006E16A8" w:rsidRPr="006E16A8" w:rsidRDefault="006E16A8" w:rsidP="00FB5428">
      <w:pPr>
        <w:spacing w:after="0" w:line="360" w:lineRule="auto"/>
        <w:jc w:val="both"/>
        <w:rPr>
          <w:sz w:val="28"/>
          <w:szCs w:val="28"/>
        </w:rPr>
      </w:pPr>
    </w:p>
    <w:p w:rsidR="00017128" w:rsidRPr="00017128" w:rsidRDefault="00017128" w:rsidP="00017128">
      <w:pPr>
        <w:pStyle w:val="ListParagraph"/>
        <w:spacing w:line="360" w:lineRule="auto"/>
        <w:jc w:val="both"/>
        <w:rPr>
          <w:sz w:val="28"/>
          <w:szCs w:val="28"/>
        </w:rPr>
      </w:pPr>
    </w:p>
    <w:p w:rsidR="00E756EC" w:rsidRPr="00A45F9E" w:rsidRDefault="00E756EC" w:rsidP="00A45F9E">
      <w:pPr>
        <w:spacing w:line="360" w:lineRule="auto"/>
        <w:ind w:left="360"/>
        <w:jc w:val="both"/>
        <w:rPr>
          <w:sz w:val="28"/>
          <w:szCs w:val="28"/>
        </w:rPr>
      </w:pPr>
    </w:p>
    <w:p w:rsidR="00375DAA" w:rsidRPr="00375DAA" w:rsidRDefault="00375DAA" w:rsidP="00EF2012">
      <w:pPr>
        <w:spacing w:line="360" w:lineRule="auto"/>
        <w:jc w:val="both"/>
        <w:rPr>
          <w:sz w:val="28"/>
          <w:szCs w:val="28"/>
        </w:rPr>
      </w:pPr>
    </w:p>
    <w:p w:rsidR="00410799" w:rsidRPr="00375DAA" w:rsidRDefault="00410799" w:rsidP="00EF2012">
      <w:pPr>
        <w:spacing w:line="360" w:lineRule="auto"/>
        <w:jc w:val="both"/>
        <w:rPr>
          <w:sz w:val="28"/>
          <w:szCs w:val="28"/>
        </w:rPr>
      </w:pPr>
      <w:r w:rsidRPr="00375DAA">
        <w:rPr>
          <w:sz w:val="28"/>
          <w:szCs w:val="28"/>
        </w:rPr>
        <w:tab/>
      </w:r>
    </w:p>
    <w:p w:rsidR="00EF2012" w:rsidRDefault="00EF2012" w:rsidP="00EF2012">
      <w:pPr>
        <w:spacing w:line="360" w:lineRule="auto"/>
        <w:jc w:val="both"/>
        <w:rPr>
          <w:sz w:val="28"/>
          <w:szCs w:val="28"/>
        </w:rPr>
      </w:pPr>
    </w:p>
    <w:p w:rsidR="00076100" w:rsidRPr="00EF2012" w:rsidRDefault="00076100" w:rsidP="00EF2012">
      <w:pPr>
        <w:spacing w:line="360" w:lineRule="auto"/>
        <w:jc w:val="both"/>
        <w:rPr>
          <w:sz w:val="28"/>
          <w:szCs w:val="28"/>
        </w:rPr>
      </w:pPr>
    </w:p>
    <w:sectPr w:rsidR="00076100" w:rsidRPr="00EF2012" w:rsidSect="00A87DA7">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D36" w:rsidRDefault="00D83D36" w:rsidP="00A87DA7">
      <w:pPr>
        <w:spacing w:after="0" w:line="240" w:lineRule="auto"/>
      </w:pPr>
      <w:r>
        <w:separator/>
      </w:r>
    </w:p>
  </w:endnote>
  <w:endnote w:type="continuationSeparator" w:id="0">
    <w:p w:rsidR="00D83D36" w:rsidRDefault="00D83D36" w:rsidP="00A8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238702"/>
      <w:docPartObj>
        <w:docPartGallery w:val="Page Numbers (Bottom of Page)"/>
        <w:docPartUnique/>
      </w:docPartObj>
    </w:sdtPr>
    <w:sdtEndPr>
      <w:rPr>
        <w:noProof/>
      </w:rPr>
    </w:sdtEndPr>
    <w:sdtContent>
      <w:p w:rsidR="00017128" w:rsidRDefault="00017128">
        <w:pPr>
          <w:pStyle w:val="Footer"/>
          <w:jc w:val="right"/>
        </w:pPr>
        <w:r>
          <w:fldChar w:fldCharType="begin"/>
        </w:r>
        <w:r>
          <w:instrText xml:space="preserve"> PAGE   \* MERGEFORMAT </w:instrText>
        </w:r>
        <w:r>
          <w:fldChar w:fldCharType="separate"/>
        </w:r>
        <w:r w:rsidR="00B26F16">
          <w:rPr>
            <w:noProof/>
          </w:rPr>
          <w:t>6</w:t>
        </w:r>
        <w:r>
          <w:rPr>
            <w:noProof/>
          </w:rPr>
          <w:fldChar w:fldCharType="end"/>
        </w:r>
      </w:p>
    </w:sdtContent>
  </w:sdt>
  <w:p w:rsidR="00017128" w:rsidRDefault="000171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164731"/>
      <w:docPartObj>
        <w:docPartGallery w:val="Page Numbers (Bottom of Page)"/>
        <w:docPartUnique/>
      </w:docPartObj>
    </w:sdtPr>
    <w:sdtEndPr>
      <w:rPr>
        <w:noProof/>
      </w:rPr>
    </w:sdtEndPr>
    <w:sdtContent>
      <w:p w:rsidR="00076100" w:rsidRDefault="00076100">
        <w:pPr>
          <w:pStyle w:val="Footer"/>
          <w:jc w:val="center"/>
        </w:pPr>
        <w:r>
          <w:fldChar w:fldCharType="begin"/>
        </w:r>
        <w:r>
          <w:instrText xml:space="preserve"> PAGE   \* MERGEFORMAT </w:instrText>
        </w:r>
        <w:r>
          <w:fldChar w:fldCharType="separate"/>
        </w:r>
        <w:r w:rsidR="00B26F16">
          <w:rPr>
            <w:noProof/>
          </w:rPr>
          <w:t>1</w:t>
        </w:r>
        <w:r>
          <w:rPr>
            <w:noProof/>
          </w:rPr>
          <w:fldChar w:fldCharType="end"/>
        </w:r>
      </w:p>
    </w:sdtContent>
  </w:sdt>
  <w:p w:rsidR="00076100" w:rsidRDefault="00076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D36" w:rsidRDefault="00D83D36" w:rsidP="00A87DA7">
      <w:pPr>
        <w:spacing w:after="0" w:line="240" w:lineRule="auto"/>
      </w:pPr>
      <w:r>
        <w:separator/>
      </w:r>
    </w:p>
  </w:footnote>
  <w:footnote w:type="continuationSeparator" w:id="0">
    <w:p w:rsidR="00D83D36" w:rsidRDefault="00D83D36" w:rsidP="00A87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128" w:rsidRDefault="00017128" w:rsidP="00C0057F">
    <w:pPr>
      <w:spacing w:line="360" w:lineRule="auto"/>
      <w:ind w:left="5040"/>
      <w:jc w:val="both"/>
      <w:rPr>
        <w:b/>
        <w:sz w:val="28"/>
        <w:szCs w:val="28"/>
      </w:rPr>
    </w:pPr>
    <w:r>
      <w:rPr>
        <w:b/>
        <w:sz w:val="28"/>
        <w:szCs w:val="28"/>
      </w:rPr>
      <w:t>JUDGMENT NO LC/H/</w:t>
    </w:r>
    <w:r w:rsidR="00C0057F">
      <w:rPr>
        <w:b/>
        <w:sz w:val="28"/>
        <w:szCs w:val="28"/>
      </w:rPr>
      <w:t>796</w:t>
    </w:r>
    <w:r>
      <w:rPr>
        <w:b/>
        <w:sz w:val="28"/>
        <w:szCs w:val="28"/>
      </w:rPr>
      <w:t>/14</w:t>
    </w:r>
  </w:p>
  <w:p w:rsidR="00017128" w:rsidRDefault="000171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E78"/>
    <w:multiLevelType w:val="hybridMultilevel"/>
    <w:tmpl w:val="4D88BA8E"/>
    <w:lvl w:ilvl="0" w:tplc="3009000F">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65927F4"/>
    <w:multiLevelType w:val="hybridMultilevel"/>
    <w:tmpl w:val="8092DC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012"/>
    <w:rsid w:val="00017128"/>
    <w:rsid w:val="00076100"/>
    <w:rsid w:val="001C5EA4"/>
    <w:rsid w:val="001F01C7"/>
    <w:rsid w:val="00200641"/>
    <w:rsid w:val="0020745F"/>
    <w:rsid w:val="002504D0"/>
    <w:rsid w:val="0025245A"/>
    <w:rsid w:val="00375DAA"/>
    <w:rsid w:val="003F745E"/>
    <w:rsid w:val="00410799"/>
    <w:rsid w:val="004F3E20"/>
    <w:rsid w:val="00671FC0"/>
    <w:rsid w:val="006E16A8"/>
    <w:rsid w:val="007A0861"/>
    <w:rsid w:val="0093580E"/>
    <w:rsid w:val="00A45F9E"/>
    <w:rsid w:val="00A64F5E"/>
    <w:rsid w:val="00A86D62"/>
    <w:rsid w:val="00A87DA7"/>
    <w:rsid w:val="00B26F16"/>
    <w:rsid w:val="00C0057F"/>
    <w:rsid w:val="00C1106E"/>
    <w:rsid w:val="00CD517C"/>
    <w:rsid w:val="00D83D36"/>
    <w:rsid w:val="00E00F68"/>
    <w:rsid w:val="00E756EC"/>
    <w:rsid w:val="00EF2012"/>
    <w:rsid w:val="00F173B5"/>
    <w:rsid w:val="00F764BF"/>
    <w:rsid w:val="00FB5428"/>
    <w:rsid w:val="00FF045C"/>
    <w:rsid w:val="00FF108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DA7"/>
  </w:style>
  <w:style w:type="paragraph" w:styleId="Footer">
    <w:name w:val="footer"/>
    <w:basedOn w:val="Normal"/>
    <w:link w:val="FooterChar"/>
    <w:uiPriority w:val="99"/>
    <w:unhideWhenUsed/>
    <w:rsid w:val="00A87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DA7"/>
  </w:style>
  <w:style w:type="paragraph" w:styleId="ListParagraph">
    <w:name w:val="List Paragraph"/>
    <w:basedOn w:val="Normal"/>
    <w:uiPriority w:val="34"/>
    <w:qFormat/>
    <w:rsid w:val="00375DAA"/>
    <w:pPr>
      <w:ind w:left="720"/>
      <w:contextualSpacing/>
    </w:pPr>
  </w:style>
  <w:style w:type="paragraph" w:styleId="BalloonText">
    <w:name w:val="Balloon Text"/>
    <w:basedOn w:val="Normal"/>
    <w:link w:val="BalloonTextChar"/>
    <w:uiPriority w:val="99"/>
    <w:semiHidden/>
    <w:unhideWhenUsed/>
    <w:rsid w:val="00C0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5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DA7"/>
  </w:style>
  <w:style w:type="paragraph" w:styleId="Footer">
    <w:name w:val="footer"/>
    <w:basedOn w:val="Normal"/>
    <w:link w:val="FooterChar"/>
    <w:uiPriority w:val="99"/>
    <w:unhideWhenUsed/>
    <w:rsid w:val="00A87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DA7"/>
  </w:style>
  <w:style w:type="paragraph" w:styleId="ListParagraph">
    <w:name w:val="List Paragraph"/>
    <w:basedOn w:val="Normal"/>
    <w:uiPriority w:val="34"/>
    <w:qFormat/>
    <w:rsid w:val="00375DAA"/>
    <w:pPr>
      <w:ind w:left="720"/>
      <w:contextualSpacing/>
    </w:pPr>
  </w:style>
  <w:style w:type="paragraph" w:styleId="BalloonText">
    <w:name w:val="Balloon Text"/>
    <w:basedOn w:val="Normal"/>
    <w:link w:val="BalloonTextChar"/>
    <w:uiPriority w:val="99"/>
    <w:semiHidden/>
    <w:unhideWhenUsed/>
    <w:rsid w:val="00C0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6</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14</cp:revision>
  <cp:lastPrinted>2014-12-12T07:58:00Z</cp:lastPrinted>
  <dcterms:created xsi:type="dcterms:W3CDTF">2014-11-07T05:47:00Z</dcterms:created>
  <dcterms:modified xsi:type="dcterms:W3CDTF">2014-12-12T08:00:00Z</dcterms:modified>
</cp:coreProperties>
</file>