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9C7ECE" w14:textId="77777777" w:rsidR="003F08E9" w:rsidRDefault="003F08E9" w:rsidP="003F08E9">
      <w:pPr>
        <w:spacing w:after="0" w:line="240" w:lineRule="auto"/>
        <w:jc w:val="both"/>
        <w:rPr>
          <w:rFonts w:ascii="Times New Roman" w:hAnsi="Times New Roman" w:cs="Times New Roman"/>
          <w:sz w:val="24"/>
          <w:szCs w:val="24"/>
        </w:rPr>
      </w:pPr>
      <w:bookmarkStart w:id="0" w:name="_GoBack"/>
      <w:bookmarkEnd w:id="0"/>
    </w:p>
    <w:p w14:paraId="2CB97AEE" w14:textId="77777777" w:rsidR="003F08E9" w:rsidRDefault="003F08E9" w:rsidP="003F08E9">
      <w:pPr>
        <w:spacing w:after="0" w:line="240" w:lineRule="auto"/>
        <w:jc w:val="both"/>
        <w:rPr>
          <w:rFonts w:ascii="Times New Roman" w:hAnsi="Times New Roman" w:cs="Times New Roman"/>
          <w:sz w:val="24"/>
          <w:szCs w:val="24"/>
        </w:rPr>
      </w:pPr>
    </w:p>
    <w:p w14:paraId="09669983" w14:textId="02644634" w:rsidR="006E0479" w:rsidRPr="006E0479" w:rsidRDefault="002C138B" w:rsidP="006E04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KAINET MOYO</w:t>
      </w:r>
    </w:p>
    <w:p w14:paraId="401BFA7A" w14:textId="77777777" w:rsidR="006E0479" w:rsidRPr="006E0479" w:rsidRDefault="006E0479" w:rsidP="006E0479">
      <w:pPr>
        <w:spacing w:after="0" w:line="240" w:lineRule="auto"/>
        <w:jc w:val="both"/>
        <w:rPr>
          <w:rFonts w:ascii="Times New Roman" w:hAnsi="Times New Roman" w:cs="Times New Roman"/>
          <w:sz w:val="24"/>
          <w:szCs w:val="24"/>
        </w:rPr>
      </w:pPr>
    </w:p>
    <w:p w14:paraId="0C64E387" w14:textId="77777777" w:rsidR="006E0479" w:rsidRPr="006E0479" w:rsidRDefault="006E0479" w:rsidP="006E0479">
      <w:pPr>
        <w:spacing w:after="0" w:line="240" w:lineRule="auto"/>
        <w:jc w:val="both"/>
        <w:rPr>
          <w:rFonts w:ascii="Times New Roman" w:hAnsi="Times New Roman" w:cs="Times New Roman"/>
          <w:sz w:val="24"/>
          <w:szCs w:val="24"/>
        </w:rPr>
      </w:pPr>
      <w:r w:rsidRPr="006E0479">
        <w:rPr>
          <w:rFonts w:ascii="Times New Roman" w:hAnsi="Times New Roman" w:cs="Times New Roman"/>
          <w:sz w:val="24"/>
          <w:szCs w:val="24"/>
        </w:rPr>
        <w:t>versus</w:t>
      </w:r>
    </w:p>
    <w:p w14:paraId="15797748" w14:textId="77777777" w:rsidR="006E0479" w:rsidRPr="006E0479" w:rsidRDefault="006E0479" w:rsidP="006E0479">
      <w:pPr>
        <w:spacing w:after="0" w:line="240" w:lineRule="auto"/>
        <w:jc w:val="both"/>
        <w:rPr>
          <w:rFonts w:ascii="Times New Roman" w:hAnsi="Times New Roman" w:cs="Times New Roman"/>
          <w:sz w:val="24"/>
          <w:szCs w:val="24"/>
        </w:rPr>
      </w:pPr>
    </w:p>
    <w:p w14:paraId="6FE1B256" w14:textId="0A881F66" w:rsidR="006E0479" w:rsidRPr="006E0479" w:rsidRDefault="002C138B" w:rsidP="006E04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PETROTRADE</w:t>
      </w:r>
    </w:p>
    <w:p w14:paraId="40837B63" w14:textId="77777777" w:rsidR="006E0479" w:rsidRPr="006E0479" w:rsidRDefault="006E0479" w:rsidP="006E0479">
      <w:pPr>
        <w:spacing w:after="0" w:line="240" w:lineRule="auto"/>
        <w:jc w:val="both"/>
        <w:rPr>
          <w:rFonts w:ascii="Times New Roman" w:hAnsi="Times New Roman" w:cs="Times New Roman"/>
          <w:sz w:val="24"/>
          <w:szCs w:val="24"/>
        </w:rPr>
      </w:pPr>
    </w:p>
    <w:p w14:paraId="0F215F68" w14:textId="77777777" w:rsidR="006E0479" w:rsidRPr="006E0479" w:rsidRDefault="006E0479" w:rsidP="006E0479">
      <w:pPr>
        <w:spacing w:after="0" w:line="240" w:lineRule="auto"/>
        <w:jc w:val="both"/>
        <w:rPr>
          <w:rFonts w:ascii="Times New Roman" w:hAnsi="Times New Roman" w:cs="Times New Roman"/>
          <w:sz w:val="24"/>
          <w:szCs w:val="24"/>
        </w:rPr>
      </w:pPr>
    </w:p>
    <w:p w14:paraId="0E55D57A" w14:textId="77777777" w:rsidR="006E0479" w:rsidRPr="006E0479" w:rsidRDefault="006E0479" w:rsidP="006E0479">
      <w:pPr>
        <w:spacing w:after="0" w:line="240" w:lineRule="auto"/>
        <w:jc w:val="both"/>
        <w:rPr>
          <w:rFonts w:ascii="Times New Roman" w:hAnsi="Times New Roman" w:cs="Times New Roman"/>
          <w:sz w:val="24"/>
          <w:szCs w:val="24"/>
        </w:rPr>
      </w:pPr>
    </w:p>
    <w:p w14:paraId="0DEB61BF" w14:textId="77777777" w:rsidR="006E0479" w:rsidRPr="006E0479" w:rsidRDefault="006E0479" w:rsidP="006E0479">
      <w:pPr>
        <w:spacing w:after="0" w:line="240" w:lineRule="auto"/>
        <w:jc w:val="both"/>
        <w:rPr>
          <w:rFonts w:ascii="Times New Roman" w:hAnsi="Times New Roman" w:cs="Times New Roman"/>
          <w:sz w:val="24"/>
          <w:szCs w:val="24"/>
        </w:rPr>
      </w:pPr>
      <w:r w:rsidRPr="006E0479">
        <w:rPr>
          <w:rFonts w:ascii="Times New Roman" w:hAnsi="Times New Roman" w:cs="Times New Roman"/>
          <w:sz w:val="24"/>
          <w:szCs w:val="24"/>
        </w:rPr>
        <w:t>HIGH COURT OF ZIMBABWE</w:t>
      </w:r>
    </w:p>
    <w:p w14:paraId="1A118740" w14:textId="3B7C2171" w:rsidR="006E0479" w:rsidRPr="006E0479" w:rsidRDefault="005C234B" w:rsidP="006E0479">
      <w:pPr>
        <w:spacing w:after="0" w:line="240" w:lineRule="auto"/>
        <w:jc w:val="both"/>
        <w:rPr>
          <w:rFonts w:ascii="Times New Roman" w:hAnsi="Times New Roman" w:cs="Times New Roman"/>
          <w:sz w:val="24"/>
          <w:szCs w:val="24"/>
        </w:rPr>
      </w:pPr>
      <w:r w:rsidRPr="006E0479">
        <w:rPr>
          <w:rFonts w:ascii="Times New Roman" w:hAnsi="Times New Roman" w:cs="Times New Roman"/>
          <w:sz w:val="24"/>
          <w:szCs w:val="24"/>
        </w:rPr>
        <w:t>ZISENGWE J</w:t>
      </w:r>
      <w:r w:rsidR="006E0479" w:rsidRPr="006E0479">
        <w:rPr>
          <w:rFonts w:ascii="Times New Roman" w:hAnsi="Times New Roman" w:cs="Times New Roman"/>
          <w:sz w:val="24"/>
          <w:szCs w:val="24"/>
        </w:rPr>
        <w:t xml:space="preserve"> </w:t>
      </w:r>
    </w:p>
    <w:p w14:paraId="2D7E51D5" w14:textId="3E180476" w:rsidR="006E0479" w:rsidRDefault="006E0479" w:rsidP="006E0479">
      <w:pPr>
        <w:spacing w:after="0" w:line="240" w:lineRule="auto"/>
        <w:jc w:val="both"/>
        <w:rPr>
          <w:rFonts w:ascii="Times New Roman" w:hAnsi="Times New Roman" w:cs="Times New Roman"/>
          <w:sz w:val="24"/>
          <w:szCs w:val="24"/>
        </w:rPr>
      </w:pPr>
      <w:r w:rsidRPr="006E0479">
        <w:rPr>
          <w:rFonts w:ascii="Times New Roman" w:hAnsi="Times New Roman" w:cs="Times New Roman"/>
          <w:sz w:val="24"/>
          <w:szCs w:val="24"/>
        </w:rPr>
        <w:t>MASVINGO</w:t>
      </w:r>
      <w:r w:rsidR="00436E7B">
        <w:rPr>
          <w:rFonts w:ascii="Times New Roman" w:hAnsi="Times New Roman" w:cs="Times New Roman"/>
          <w:sz w:val="24"/>
          <w:szCs w:val="24"/>
        </w:rPr>
        <w:t xml:space="preserve"> </w:t>
      </w:r>
      <w:r w:rsidR="002C138B">
        <w:rPr>
          <w:rFonts w:ascii="Times New Roman" w:hAnsi="Times New Roman" w:cs="Times New Roman"/>
          <w:sz w:val="24"/>
          <w:szCs w:val="24"/>
        </w:rPr>
        <w:t xml:space="preserve">6, 11,24 February,25 &amp; 25 </w:t>
      </w:r>
      <w:r w:rsidR="00207ED6">
        <w:rPr>
          <w:rFonts w:ascii="Times New Roman" w:hAnsi="Times New Roman" w:cs="Times New Roman"/>
          <w:sz w:val="24"/>
          <w:szCs w:val="24"/>
        </w:rPr>
        <w:t>May 2025</w:t>
      </w:r>
      <w:r w:rsidR="002C138B">
        <w:rPr>
          <w:rFonts w:ascii="Times New Roman" w:hAnsi="Times New Roman" w:cs="Times New Roman"/>
          <w:sz w:val="24"/>
          <w:szCs w:val="24"/>
        </w:rPr>
        <w:t xml:space="preserve"> </w:t>
      </w:r>
    </w:p>
    <w:p w14:paraId="2C531183" w14:textId="69290376" w:rsidR="002C138B" w:rsidRDefault="002C138B" w:rsidP="006E04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Judgement delivered on </w:t>
      </w:r>
      <w:r w:rsidR="00D8502B">
        <w:rPr>
          <w:rFonts w:ascii="Times New Roman" w:hAnsi="Times New Roman" w:cs="Times New Roman"/>
          <w:sz w:val="24"/>
          <w:szCs w:val="24"/>
        </w:rPr>
        <w:t>27</w:t>
      </w:r>
      <w:r>
        <w:rPr>
          <w:rFonts w:ascii="Times New Roman" w:hAnsi="Times New Roman" w:cs="Times New Roman"/>
          <w:sz w:val="24"/>
          <w:szCs w:val="24"/>
        </w:rPr>
        <w:t xml:space="preserve"> </w:t>
      </w:r>
      <w:r w:rsidR="00D8502B">
        <w:rPr>
          <w:rFonts w:ascii="Times New Roman" w:hAnsi="Times New Roman" w:cs="Times New Roman"/>
          <w:sz w:val="24"/>
          <w:szCs w:val="24"/>
        </w:rPr>
        <w:t>October</w:t>
      </w:r>
      <w:r>
        <w:rPr>
          <w:rFonts w:ascii="Times New Roman" w:hAnsi="Times New Roman" w:cs="Times New Roman"/>
          <w:sz w:val="24"/>
          <w:szCs w:val="24"/>
        </w:rPr>
        <w:t xml:space="preserve"> 2025</w:t>
      </w:r>
    </w:p>
    <w:p w14:paraId="3C80379D" w14:textId="77777777" w:rsidR="00002A2A" w:rsidRDefault="00002A2A" w:rsidP="006E0479">
      <w:pPr>
        <w:spacing w:after="0" w:line="240" w:lineRule="auto"/>
        <w:jc w:val="both"/>
        <w:rPr>
          <w:rFonts w:ascii="Times New Roman" w:hAnsi="Times New Roman" w:cs="Times New Roman"/>
          <w:sz w:val="24"/>
          <w:szCs w:val="24"/>
        </w:rPr>
      </w:pPr>
    </w:p>
    <w:p w14:paraId="2ED6A2D2" w14:textId="265BF155" w:rsidR="002C138B" w:rsidRDefault="002C138B" w:rsidP="006E0479">
      <w:pPr>
        <w:spacing w:after="0" w:line="240" w:lineRule="auto"/>
        <w:jc w:val="both"/>
        <w:rPr>
          <w:rFonts w:ascii="Times New Roman" w:hAnsi="Times New Roman" w:cs="Times New Roman"/>
          <w:sz w:val="24"/>
          <w:szCs w:val="24"/>
        </w:rPr>
      </w:pPr>
    </w:p>
    <w:p w14:paraId="304606DF" w14:textId="19DBFBF2" w:rsidR="002C138B" w:rsidRPr="00DA20F0" w:rsidRDefault="002C138B" w:rsidP="006E0479">
      <w:pPr>
        <w:spacing w:after="0" w:line="240" w:lineRule="auto"/>
        <w:jc w:val="both"/>
        <w:rPr>
          <w:rFonts w:ascii="Times New Roman" w:hAnsi="Times New Roman" w:cs="Times New Roman"/>
          <w:b/>
          <w:sz w:val="24"/>
          <w:szCs w:val="24"/>
        </w:rPr>
      </w:pPr>
      <w:r w:rsidRPr="00DA20F0">
        <w:rPr>
          <w:rFonts w:ascii="Times New Roman" w:hAnsi="Times New Roman" w:cs="Times New Roman"/>
          <w:b/>
          <w:sz w:val="24"/>
          <w:szCs w:val="24"/>
        </w:rPr>
        <w:t>Civil Trial</w:t>
      </w:r>
    </w:p>
    <w:p w14:paraId="621618F7" w14:textId="52E9637D" w:rsidR="006E0479" w:rsidRDefault="006E0479" w:rsidP="006E0479">
      <w:pPr>
        <w:spacing w:after="0" w:line="240" w:lineRule="auto"/>
        <w:jc w:val="both"/>
        <w:rPr>
          <w:rFonts w:ascii="Times New Roman" w:hAnsi="Times New Roman" w:cs="Times New Roman"/>
          <w:bCs/>
          <w:sz w:val="24"/>
          <w:szCs w:val="24"/>
        </w:rPr>
      </w:pPr>
    </w:p>
    <w:p w14:paraId="5E9A9F6E" w14:textId="77777777" w:rsidR="00002A2A" w:rsidRPr="006E0479" w:rsidRDefault="00002A2A" w:rsidP="006E0479">
      <w:pPr>
        <w:spacing w:after="0" w:line="240" w:lineRule="auto"/>
        <w:jc w:val="both"/>
        <w:rPr>
          <w:rFonts w:ascii="Times New Roman" w:hAnsi="Times New Roman" w:cs="Times New Roman"/>
          <w:bCs/>
          <w:sz w:val="24"/>
          <w:szCs w:val="24"/>
        </w:rPr>
      </w:pPr>
    </w:p>
    <w:p w14:paraId="45756F66" w14:textId="671829B0" w:rsidR="006E0479" w:rsidRDefault="002C138B" w:rsidP="006E04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 Muguti</w:t>
      </w:r>
      <w:r w:rsidR="00AF43A1">
        <w:rPr>
          <w:rFonts w:ascii="Times New Roman" w:hAnsi="Times New Roman" w:cs="Times New Roman"/>
          <w:sz w:val="24"/>
          <w:szCs w:val="24"/>
        </w:rPr>
        <w:t xml:space="preserve">, </w:t>
      </w:r>
      <w:r w:rsidR="00D212C9">
        <w:rPr>
          <w:rFonts w:ascii="Times New Roman" w:hAnsi="Times New Roman" w:cs="Times New Roman"/>
          <w:sz w:val="24"/>
          <w:szCs w:val="24"/>
        </w:rPr>
        <w:t xml:space="preserve">for </w:t>
      </w:r>
      <w:r>
        <w:rPr>
          <w:rFonts w:ascii="Times New Roman" w:hAnsi="Times New Roman" w:cs="Times New Roman"/>
          <w:sz w:val="24"/>
          <w:szCs w:val="24"/>
        </w:rPr>
        <w:t xml:space="preserve">the </w:t>
      </w:r>
      <w:r w:rsidR="00D212C9">
        <w:rPr>
          <w:rFonts w:ascii="Times New Roman" w:hAnsi="Times New Roman" w:cs="Times New Roman"/>
          <w:sz w:val="24"/>
          <w:szCs w:val="24"/>
        </w:rPr>
        <w:t xml:space="preserve">Plaintiff </w:t>
      </w:r>
    </w:p>
    <w:p w14:paraId="3FAD133F" w14:textId="65EBDFEA" w:rsidR="00D212C9" w:rsidRDefault="002C138B" w:rsidP="006E04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 Mutonono</w:t>
      </w:r>
      <w:r w:rsidR="00AF43A1">
        <w:rPr>
          <w:rFonts w:ascii="Times New Roman" w:hAnsi="Times New Roman" w:cs="Times New Roman"/>
          <w:sz w:val="24"/>
          <w:szCs w:val="24"/>
        </w:rPr>
        <w:t>,</w:t>
      </w:r>
      <w:r w:rsidR="00D212C9">
        <w:rPr>
          <w:rFonts w:ascii="Times New Roman" w:hAnsi="Times New Roman" w:cs="Times New Roman"/>
          <w:sz w:val="24"/>
          <w:szCs w:val="24"/>
        </w:rPr>
        <w:t xml:space="preserve"> </w:t>
      </w:r>
      <w:r w:rsidR="00AF43A1">
        <w:rPr>
          <w:rFonts w:ascii="Times New Roman" w:hAnsi="Times New Roman" w:cs="Times New Roman"/>
          <w:sz w:val="24"/>
          <w:szCs w:val="24"/>
        </w:rPr>
        <w:t>f</w:t>
      </w:r>
      <w:r w:rsidR="00D212C9">
        <w:rPr>
          <w:rFonts w:ascii="Times New Roman" w:hAnsi="Times New Roman" w:cs="Times New Roman"/>
          <w:sz w:val="24"/>
          <w:szCs w:val="24"/>
        </w:rPr>
        <w:t xml:space="preserve">or </w:t>
      </w:r>
      <w:r>
        <w:rPr>
          <w:rFonts w:ascii="Times New Roman" w:hAnsi="Times New Roman" w:cs="Times New Roman"/>
          <w:sz w:val="24"/>
          <w:szCs w:val="24"/>
        </w:rPr>
        <w:t xml:space="preserve">the </w:t>
      </w:r>
      <w:r w:rsidR="00D212C9">
        <w:rPr>
          <w:rFonts w:ascii="Times New Roman" w:hAnsi="Times New Roman" w:cs="Times New Roman"/>
          <w:sz w:val="24"/>
          <w:szCs w:val="24"/>
        </w:rPr>
        <w:t>Defendant</w:t>
      </w:r>
    </w:p>
    <w:p w14:paraId="24F9F4E4" w14:textId="77777777" w:rsidR="00002A2A" w:rsidRDefault="00002A2A" w:rsidP="006E0479">
      <w:pPr>
        <w:spacing w:after="0" w:line="240" w:lineRule="auto"/>
        <w:jc w:val="both"/>
        <w:rPr>
          <w:rFonts w:ascii="Times New Roman" w:hAnsi="Times New Roman" w:cs="Times New Roman"/>
          <w:sz w:val="24"/>
          <w:szCs w:val="24"/>
        </w:rPr>
      </w:pPr>
    </w:p>
    <w:p w14:paraId="1AFB81C9" w14:textId="77777777" w:rsidR="003F08E9" w:rsidRPr="007C546C" w:rsidRDefault="003F08E9" w:rsidP="003F08E9">
      <w:pPr>
        <w:spacing w:after="0" w:line="240" w:lineRule="auto"/>
        <w:jc w:val="both"/>
        <w:rPr>
          <w:rFonts w:ascii="Times New Roman" w:hAnsi="Times New Roman" w:cs="Times New Roman"/>
          <w:bCs/>
          <w:sz w:val="24"/>
          <w:szCs w:val="24"/>
        </w:rPr>
      </w:pPr>
    </w:p>
    <w:p w14:paraId="6DE07DFB" w14:textId="16D90663" w:rsidR="001F6CB2" w:rsidRDefault="003F08E9" w:rsidP="00602C07">
      <w:pPr>
        <w:spacing w:after="0" w:line="360" w:lineRule="auto"/>
        <w:jc w:val="both"/>
        <w:rPr>
          <w:rFonts w:ascii="Times New Roman" w:hAnsi="Times New Roman" w:cs="Times New Roman"/>
          <w:sz w:val="24"/>
          <w:szCs w:val="24"/>
        </w:rPr>
      </w:pPr>
      <w:r>
        <w:tab/>
      </w:r>
      <w:r w:rsidR="005C234B">
        <w:rPr>
          <w:rFonts w:ascii="Times New Roman" w:hAnsi="Times New Roman" w:cs="Times New Roman"/>
          <w:sz w:val="24"/>
          <w:szCs w:val="24"/>
        </w:rPr>
        <w:t xml:space="preserve">ZISENGWE </w:t>
      </w:r>
      <w:r w:rsidR="005C234B" w:rsidRPr="004E4095">
        <w:rPr>
          <w:rFonts w:ascii="Times New Roman" w:hAnsi="Times New Roman" w:cs="Times New Roman"/>
          <w:sz w:val="24"/>
          <w:szCs w:val="24"/>
        </w:rPr>
        <w:t>J</w:t>
      </w:r>
      <w:r w:rsidRPr="004E4095">
        <w:rPr>
          <w:rFonts w:ascii="Times New Roman" w:hAnsi="Times New Roman" w:cs="Times New Roman"/>
          <w:sz w:val="24"/>
          <w:szCs w:val="24"/>
        </w:rPr>
        <w:t xml:space="preserve">. </w:t>
      </w:r>
      <w:r w:rsidR="006E0479">
        <w:rPr>
          <w:rFonts w:ascii="Times New Roman" w:hAnsi="Times New Roman" w:cs="Times New Roman"/>
          <w:sz w:val="24"/>
          <w:szCs w:val="24"/>
        </w:rPr>
        <w:tab/>
        <w:t xml:space="preserve">This </w:t>
      </w:r>
      <w:r w:rsidR="00602C07">
        <w:rPr>
          <w:rFonts w:ascii="Times New Roman" w:hAnsi="Times New Roman" w:cs="Times New Roman"/>
          <w:sz w:val="24"/>
          <w:szCs w:val="24"/>
        </w:rPr>
        <w:t xml:space="preserve">claim for </w:t>
      </w:r>
      <w:r w:rsidR="00BA6A36">
        <w:rPr>
          <w:rFonts w:ascii="Times New Roman" w:hAnsi="Times New Roman" w:cs="Times New Roman"/>
          <w:sz w:val="24"/>
          <w:szCs w:val="24"/>
        </w:rPr>
        <w:t>delictual</w:t>
      </w:r>
      <w:r w:rsidR="00602C07">
        <w:rPr>
          <w:rFonts w:ascii="Times New Roman" w:hAnsi="Times New Roman" w:cs="Times New Roman"/>
          <w:sz w:val="24"/>
          <w:szCs w:val="24"/>
        </w:rPr>
        <w:t xml:space="preserve"> damages arises from a rath</w:t>
      </w:r>
      <w:r w:rsidR="00BA6A36">
        <w:rPr>
          <w:rFonts w:ascii="Times New Roman" w:hAnsi="Times New Roman" w:cs="Times New Roman"/>
          <w:sz w:val="24"/>
          <w:szCs w:val="24"/>
        </w:rPr>
        <w:t>er</w:t>
      </w:r>
      <w:r w:rsidR="00602C07">
        <w:rPr>
          <w:rFonts w:ascii="Times New Roman" w:hAnsi="Times New Roman" w:cs="Times New Roman"/>
          <w:sz w:val="24"/>
          <w:szCs w:val="24"/>
        </w:rPr>
        <w:t xml:space="preserve"> unusual set of circumstances.  The plaintiff seeks to recover from the defendant damages </w:t>
      </w:r>
      <w:r w:rsidR="00BA6A36">
        <w:rPr>
          <w:rFonts w:ascii="Times New Roman" w:hAnsi="Times New Roman" w:cs="Times New Roman"/>
          <w:sz w:val="24"/>
          <w:szCs w:val="24"/>
        </w:rPr>
        <w:t>i</w:t>
      </w:r>
      <w:r w:rsidR="00602C07">
        <w:rPr>
          <w:rFonts w:ascii="Times New Roman" w:hAnsi="Times New Roman" w:cs="Times New Roman"/>
          <w:sz w:val="24"/>
          <w:szCs w:val="24"/>
        </w:rPr>
        <w:t>n the sum of US$ 10 000 (</w:t>
      </w:r>
      <w:r w:rsidR="009330B7">
        <w:rPr>
          <w:rFonts w:ascii="Times New Roman" w:hAnsi="Times New Roman" w:cs="Times New Roman"/>
          <w:sz w:val="24"/>
          <w:szCs w:val="24"/>
        </w:rPr>
        <w:t xml:space="preserve">or its equivalent in local currency calculated at the official interbank rate) stemming from the </w:t>
      </w:r>
      <w:r w:rsidR="004762A6">
        <w:rPr>
          <w:rFonts w:ascii="Times New Roman" w:hAnsi="Times New Roman" w:cs="Times New Roman"/>
          <w:sz w:val="24"/>
          <w:szCs w:val="24"/>
        </w:rPr>
        <w:t>defendant company’s failure to timeously remove its structures and paraphernalia from his vacant commercial stand.  The plaintiff avers that as a consequence of such failure he could not fully or meaningfully utilise his stand and</w:t>
      </w:r>
      <w:r w:rsidR="00BA6A36">
        <w:rPr>
          <w:rFonts w:ascii="Times New Roman" w:hAnsi="Times New Roman" w:cs="Times New Roman"/>
          <w:sz w:val="24"/>
          <w:szCs w:val="24"/>
        </w:rPr>
        <w:t xml:space="preserve"> as a </w:t>
      </w:r>
      <w:r w:rsidR="004762A6">
        <w:rPr>
          <w:rFonts w:ascii="Times New Roman" w:hAnsi="Times New Roman" w:cs="Times New Roman"/>
          <w:sz w:val="24"/>
          <w:szCs w:val="24"/>
        </w:rPr>
        <w:t xml:space="preserve">result he suffered </w:t>
      </w:r>
      <w:r w:rsidR="00BA6A36">
        <w:rPr>
          <w:rFonts w:ascii="Times New Roman" w:hAnsi="Times New Roman" w:cs="Times New Roman"/>
          <w:sz w:val="24"/>
          <w:szCs w:val="24"/>
        </w:rPr>
        <w:t>economic loss</w:t>
      </w:r>
      <w:r w:rsidR="004762A6">
        <w:rPr>
          <w:rFonts w:ascii="Times New Roman" w:hAnsi="Times New Roman" w:cs="Times New Roman"/>
          <w:sz w:val="24"/>
          <w:szCs w:val="24"/>
        </w:rPr>
        <w:t>.</w:t>
      </w:r>
    </w:p>
    <w:p w14:paraId="2E1BBE8E" w14:textId="77777777" w:rsidR="0037736B" w:rsidRDefault="00335B3E" w:rsidP="00335B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and the defendant company purchased adjacent co</w:t>
      </w:r>
      <w:r w:rsidR="00C0568C">
        <w:rPr>
          <w:rFonts w:ascii="Times New Roman" w:hAnsi="Times New Roman" w:cs="Times New Roman"/>
          <w:sz w:val="24"/>
          <w:szCs w:val="24"/>
        </w:rPr>
        <w:t>mmercial stands in the ci</w:t>
      </w:r>
      <w:r>
        <w:rPr>
          <w:rFonts w:ascii="Times New Roman" w:hAnsi="Times New Roman" w:cs="Times New Roman"/>
          <w:sz w:val="24"/>
          <w:szCs w:val="24"/>
        </w:rPr>
        <w:t>ty of Masvingo</w:t>
      </w:r>
      <w:r w:rsidR="00BA6A36">
        <w:rPr>
          <w:rFonts w:ascii="Times New Roman" w:hAnsi="Times New Roman" w:cs="Times New Roman"/>
          <w:sz w:val="24"/>
          <w:szCs w:val="24"/>
        </w:rPr>
        <w:t xml:space="preserve"> along the Masvingo- </w:t>
      </w:r>
      <w:r>
        <w:rPr>
          <w:rFonts w:ascii="Times New Roman" w:hAnsi="Times New Roman" w:cs="Times New Roman"/>
          <w:sz w:val="24"/>
          <w:szCs w:val="24"/>
        </w:rPr>
        <w:t xml:space="preserve">Harare Highway.  Whereas the plaintiff purchased, from the city of Masvingo stand No. 28710, the defendant purchased stand No. 27809.  The defendant is a government parastatal involved in the petroleum business.  It intended to erect a service station on its stand.  </w:t>
      </w:r>
    </w:p>
    <w:p w14:paraId="229B14D3" w14:textId="377028A9" w:rsidR="00335B3E" w:rsidRDefault="0037736B" w:rsidP="00335B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Initially t</w:t>
      </w:r>
      <w:r w:rsidR="00335B3E">
        <w:rPr>
          <w:rFonts w:ascii="Times New Roman" w:hAnsi="Times New Roman" w:cs="Times New Roman"/>
          <w:sz w:val="24"/>
          <w:szCs w:val="24"/>
        </w:rPr>
        <w:t xml:space="preserve">he plaintiff </w:t>
      </w:r>
      <w:r>
        <w:rPr>
          <w:rFonts w:ascii="Times New Roman" w:hAnsi="Times New Roman" w:cs="Times New Roman"/>
          <w:sz w:val="24"/>
          <w:szCs w:val="24"/>
        </w:rPr>
        <w:t xml:space="preserve">averred in his declaration that </w:t>
      </w:r>
      <w:r w:rsidR="00335B3E">
        <w:rPr>
          <w:rFonts w:ascii="Times New Roman" w:hAnsi="Times New Roman" w:cs="Times New Roman"/>
          <w:sz w:val="24"/>
          <w:szCs w:val="24"/>
        </w:rPr>
        <w:t xml:space="preserve">due to an error on </w:t>
      </w:r>
      <w:r>
        <w:rPr>
          <w:rFonts w:ascii="Times New Roman" w:hAnsi="Times New Roman" w:cs="Times New Roman"/>
          <w:sz w:val="24"/>
          <w:szCs w:val="24"/>
        </w:rPr>
        <w:t>its part the d</w:t>
      </w:r>
      <w:r w:rsidR="00335B3E">
        <w:rPr>
          <w:rFonts w:ascii="Times New Roman" w:hAnsi="Times New Roman" w:cs="Times New Roman"/>
          <w:sz w:val="24"/>
          <w:szCs w:val="24"/>
        </w:rPr>
        <w:t>efendant</w:t>
      </w:r>
      <w:r>
        <w:rPr>
          <w:rFonts w:ascii="Times New Roman" w:hAnsi="Times New Roman" w:cs="Times New Roman"/>
          <w:sz w:val="24"/>
          <w:szCs w:val="24"/>
        </w:rPr>
        <w:t xml:space="preserve"> </w:t>
      </w:r>
      <w:r w:rsidR="00335B3E">
        <w:rPr>
          <w:rFonts w:ascii="Times New Roman" w:hAnsi="Times New Roman" w:cs="Times New Roman"/>
          <w:sz w:val="24"/>
          <w:szCs w:val="24"/>
        </w:rPr>
        <w:t xml:space="preserve">proceeded to excavate pits for the installation of subterranean fuel storage tanks on his </w:t>
      </w:r>
      <w:r>
        <w:rPr>
          <w:rFonts w:ascii="Times New Roman" w:hAnsi="Times New Roman" w:cs="Times New Roman"/>
          <w:sz w:val="24"/>
          <w:szCs w:val="24"/>
        </w:rPr>
        <w:t xml:space="preserve">(i.e., plaintiff’s) </w:t>
      </w:r>
      <w:r w:rsidR="00335B3E">
        <w:rPr>
          <w:rFonts w:ascii="Times New Roman" w:hAnsi="Times New Roman" w:cs="Times New Roman"/>
          <w:sz w:val="24"/>
          <w:szCs w:val="24"/>
        </w:rPr>
        <w:t>stand.  It also proceeded erect other petrol portal comp</w:t>
      </w:r>
      <w:r w:rsidR="00C0568C">
        <w:rPr>
          <w:rFonts w:ascii="Times New Roman" w:hAnsi="Times New Roman" w:cs="Times New Roman"/>
          <w:sz w:val="24"/>
          <w:szCs w:val="24"/>
        </w:rPr>
        <w:t>le</w:t>
      </w:r>
      <w:r w:rsidR="00335B3E">
        <w:rPr>
          <w:rFonts w:ascii="Times New Roman" w:hAnsi="Times New Roman" w:cs="Times New Roman"/>
          <w:sz w:val="24"/>
          <w:szCs w:val="24"/>
        </w:rPr>
        <w:t>t</w:t>
      </w:r>
      <w:r w:rsidR="00C0568C">
        <w:rPr>
          <w:rFonts w:ascii="Times New Roman" w:hAnsi="Times New Roman" w:cs="Times New Roman"/>
          <w:sz w:val="24"/>
          <w:szCs w:val="24"/>
        </w:rPr>
        <w:t>e</w:t>
      </w:r>
      <w:r w:rsidR="00335B3E">
        <w:rPr>
          <w:rFonts w:ascii="Times New Roman" w:hAnsi="Times New Roman" w:cs="Times New Roman"/>
          <w:sz w:val="24"/>
          <w:szCs w:val="24"/>
        </w:rPr>
        <w:t xml:space="preserve"> with a roof as well as two huge complet</w:t>
      </w:r>
      <w:r w:rsidR="00285213">
        <w:rPr>
          <w:rFonts w:ascii="Times New Roman" w:hAnsi="Times New Roman" w:cs="Times New Roman"/>
          <w:sz w:val="24"/>
          <w:szCs w:val="24"/>
        </w:rPr>
        <w:t>e pillars.</w:t>
      </w:r>
    </w:p>
    <w:p w14:paraId="327A966E" w14:textId="12A95268" w:rsidR="00335B3E" w:rsidRDefault="00335B3E" w:rsidP="00335B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Further</w:t>
      </w:r>
      <w:r w:rsidR="0037736B">
        <w:rPr>
          <w:rFonts w:ascii="Times New Roman" w:hAnsi="Times New Roman" w:cs="Times New Roman"/>
          <w:sz w:val="24"/>
          <w:szCs w:val="24"/>
        </w:rPr>
        <w:t>,</w:t>
      </w:r>
      <w:r>
        <w:rPr>
          <w:rFonts w:ascii="Times New Roman" w:hAnsi="Times New Roman" w:cs="Times New Roman"/>
          <w:sz w:val="24"/>
          <w:szCs w:val="24"/>
        </w:rPr>
        <w:t xml:space="preserve"> according to the plaintiff when he discovered the error, he engaged the defendant with a view to an </w:t>
      </w:r>
      <w:r w:rsidR="007E6847">
        <w:rPr>
          <w:rFonts w:ascii="Times New Roman" w:hAnsi="Times New Roman" w:cs="Times New Roman"/>
          <w:sz w:val="24"/>
          <w:szCs w:val="24"/>
        </w:rPr>
        <w:t>amicable</w:t>
      </w:r>
      <w:r>
        <w:rPr>
          <w:rFonts w:ascii="Times New Roman" w:hAnsi="Times New Roman" w:cs="Times New Roman"/>
          <w:sz w:val="24"/>
          <w:szCs w:val="24"/>
        </w:rPr>
        <w:t xml:space="preserve"> resolution of the matter which culminated in a swop agreement, </w:t>
      </w:r>
      <w:r w:rsidR="007E6847">
        <w:rPr>
          <w:rFonts w:ascii="Times New Roman" w:hAnsi="Times New Roman" w:cs="Times New Roman"/>
          <w:sz w:val="24"/>
          <w:szCs w:val="24"/>
        </w:rPr>
        <w:t>i.e.</w:t>
      </w:r>
      <w:r>
        <w:rPr>
          <w:rFonts w:ascii="Times New Roman" w:hAnsi="Times New Roman" w:cs="Times New Roman"/>
          <w:sz w:val="24"/>
          <w:szCs w:val="24"/>
        </w:rPr>
        <w:t xml:space="preserve"> an exchange of the stands between the parties</w:t>
      </w:r>
      <w:r w:rsidR="0037736B">
        <w:rPr>
          <w:rFonts w:ascii="Times New Roman" w:hAnsi="Times New Roman" w:cs="Times New Roman"/>
          <w:sz w:val="24"/>
          <w:szCs w:val="24"/>
        </w:rPr>
        <w:t>.</w:t>
      </w:r>
      <w:r>
        <w:rPr>
          <w:rFonts w:ascii="Times New Roman" w:hAnsi="Times New Roman" w:cs="Times New Roman"/>
          <w:sz w:val="24"/>
          <w:szCs w:val="24"/>
        </w:rPr>
        <w:t xml:space="preserve"> </w:t>
      </w:r>
      <w:r w:rsidR="0037736B">
        <w:rPr>
          <w:rFonts w:ascii="Times New Roman" w:hAnsi="Times New Roman" w:cs="Times New Roman"/>
          <w:sz w:val="24"/>
          <w:szCs w:val="24"/>
        </w:rPr>
        <w:t>O</w:t>
      </w:r>
      <w:r>
        <w:rPr>
          <w:rFonts w:ascii="Times New Roman" w:hAnsi="Times New Roman" w:cs="Times New Roman"/>
          <w:sz w:val="24"/>
          <w:szCs w:val="24"/>
        </w:rPr>
        <w:t>ne of the key features of the agreement, according to the plaintiff</w:t>
      </w:r>
      <w:r w:rsidR="00285213">
        <w:rPr>
          <w:rFonts w:ascii="Times New Roman" w:hAnsi="Times New Roman" w:cs="Times New Roman"/>
          <w:sz w:val="24"/>
          <w:szCs w:val="24"/>
        </w:rPr>
        <w:t>,</w:t>
      </w:r>
      <w:r>
        <w:rPr>
          <w:rFonts w:ascii="Times New Roman" w:hAnsi="Times New Roman" w:cs="Times New Roman"/>
          <w:sz w:val="24"/>
          <w:szCs w:val="24"/>
        </w:rPr>
        <w:t xml:space="preserve"> was that the defendant would take over and pay </w:t>
      </w:r>
      <w:r w:rsidR="0037736B">
        <w:rPr>
          <w:rFonts w:ascii="Times New Roman" w:hAnsi="Times New Roman" w:cs="Times New Roman"/>
          <w:sz w:val="24"/>
          <w:szCs w:val="24"/>
        </w:rPr>
        <w:t>the</w:t>
      </w:r>
      <w:r>
        <w:rPr>
          <w:rFonts w:ascii="Times New Roman" w:hAnsi="Times New Roman" w:cs="Times New Roman"/>
          <w:sz w:val="24"/>
          <w:szCs w:val="24"/>
        </w:rPr>
        <w:t xml:space="preserve"> sum of money which the plaintiff s</w:t>
      </w:r>
      <w:r w:rsidR="00285213">
        <w:rPr>
          <w:rFonts w:ascii="Times New Roman" w:hAnsi="Times New Roman" w:cs="Times New Roman"/>
          <w:sz w:val="24"/>
          <w:szCs w:val="24"/>
        </w:rPr>
        <w:t>till</w:t>
      </w:r>
      <w:r>
        <w:rPr>
          <w:rFonts w:ascii="Times New Roman" w:hAnsi="Times New Roman" w:cs="Times New Roman"/>
          <w:sz w:val="24"/>
          <w:szCs w:val="24"/>
        </w:rPr>
        <w:t xml:space="preserve"> owed the city of Masvingo.  This was in the sum of US$ 14 000.</w:t>
      </w:r>
    </w:p>
    <w:p w14:paraId="0AEE5583" w14:textId="20F2B02C" w:rsidR="00335B3E" w:rsidRDefault="00335B3E" w:rsidP="00A406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w:t>
      </w:r>
      <w:r w:rsidR="00C0568C">
        <w:rPr>
          <w:rFonts w:ascii="Times New Roman" w:hAnsi="Times New Roman" w:cs="Times New Roman"/>
          <w:sz w:val="24"/>
          <w:szCs w:val="24"/>
        </w:rPr>
        <w:t xml:space="preserve"> to plaintiff the intended swop received the nod of the City of Masvingo subject to the payment of the US$14 000 which was the outstanding amount on the plaintiff’s account</w:t>
      </w:r>
      <w:r w:rsidR="00505384">
        <w:rPr>
          <w:rFonts w:ascii="Times New Roman" w:hAnsi="Times New Roman" w:cs="Times New Roman"/>
          <w:sz w:val="24"/>
          <w:szCs w:val="24"/>
        </w:rPr>
        <w:t xml:space="preserve"> in relation to his stand.  What was left was the consummation of the agreement.  It is </w:t>
      </w:r>
      <w:r w:rsidR="007E6847">
        <w:rPr>
          <w:rFonts w:ascii="Times New Roman" w:hAnsi="Times New Roman" w:cs="Times New Roman"/>
          <w:sz w:val="24"/>
          <w:szCs w:val="24"/>
        </w:rPr>
        <w:t>the plaintiff’s</w:t>
      </w:r>
      <w:r w:rsidR="00505384">
        <w:rPr>
          <w:rFonts w:ascii="Times New Roman" w:hAnsi="Times New Roman" w:cs="Times New Roman"/>
          <w:sz w:val="24"/>
          <w:szCs w:val="24"/>
        </w:rPr>
        <w:t xml:space="preserve"> case that the defendant inexplicably and without any just cause reneged from the swop agreement citing</w:t>
      </w:r>
      <w:r>
        <w:rPr>
          <w:rFonts w:ascii="Times New Roman" w:hAnsi="Times New Roman" w:cs="Times New Roman"/>
          <w:sz w:val="24"/>
          <w:szCs w:val="24"/>
        </w:rPr>
        <w:t xml:space="preserve"> </w:t>
      </w:r>
      <w:r w:rsidR="00285213">
        <w:rPr>
          <w:rFonts w:ascii="Times New Roman" w:hAnsi="Times New Roman" w:cs="Times New Roman"/>
          <w:sz w:val="24"/>
          <w:szCs w:val="24"/>
        </w:rPr>
        <w:t xml:space="preserve">the </w:t>
      </w:r>
      <w:r w:rsidR="00A40637">
        <w:rPr>
          <w:rFonts w:ascii="Times New Roman" w:hAnsi="Times New Roman" w:cs="Times New Roman"/>
          <w:sz w:val="24"/>
          <w:szCs w:val="24"/>
        </w:rPr>
        <w:t>withholding of the requisite approval by the local authority.  He asse</w:t>
      </w:r>
      <w:r w:rsidR="00D8502B">
        <w:rPr>
          <w:rFonts w:ascii="Times New Roman" w:hAnsi="Times New Roman" w:cs="Times New Roman"/>
          <w:sz w:val="24"/>
          <w:szCs w:val="24"/>
        </w:rPr>
        <w:t>r</w:t>
      </w:r>
      <w:r w:rsidR="00A40637">
        <w:rPr>
          <w:rFonts w:ascii="Times New Roman" w:hAnsi="Times New Roman" w:cs="Times New Roman"/>
          <w:sz w:val="24"/>
          <w:szCs w:val="24"/>
        </w:rPr>
        <w:t>ts that as a matter of fact the city council had no qual</w:t>
      </w:r>
      <w:r w:rsidR="00285213">
        <w:rPr>
          <w:rFonts w:ascii="Times New Roman" w:hAnsi="Times New Roman" w:cs="Times New Roman"/>
          <w:sz w:val="24"/>
          <w:szCs w:val="24"/>
        </w:rPr>
        <w:t>ms</w:t>
      </w:r>
      <w:r w:rsidR="00A40637">
        <w:rPr>
          <w:rFonts w:ascii="Times New Roman" w:hAnsi="Times New Roman" w:cs="Times New Roman"/>
          <w:sz w:val="24"/>
          <w:szCs w:val="24"/>
        </w:rPr>
        <w:t xml:space="preserve"> with the con</w:t>
      </w:r>
      <w:r w:rsidR="00D8502B">
        <w:rPr>
          <w:rFonts w:ascii="Times New Roman" w:hAnsi="Times New Roman" w:cs="Times New Roman"/>
          <w:sz w:val="24"/>
          <w:szCs w:val="24"/>
        </w:rPr>
        <w:t>ceiv</w:t>
      </w:r>
      <w:r w:rsidR="00A40637">
        <w:rPr>
          <w:rFonts w:ascii="Times New Roman" w:hAnsi="Times New Roman" w:cs="Times New Roman"/>
          <w:sz w:val="24"/>
          <w:szCs w:val="24"/>
        </w:rPr>
        <w:t>ed swop agreement</w:t>
      </w:r>
      <w:r w:rsidR="00285213">
        <w:rPr>
          <w:rFonts w:ascii="Times New Roman" w:hAnsi="Times New Roman" w:cs="Times New Roman"/>
          <w:sz w:val="24"/>
          <w:szCs w:val="24"/>
        </w:rPr>
        <w:t xml:space="preserve"> and that the defendant </w:t>
      </w:r>
      <w:r w:rsidR="00A40637">
        <w:rPr>
          <w:rFonts w:ascii="Times New Roman" w:hAnsi="Times New Roman" w:cs="Times New Roman"/>
          <w:sz w:val="24"/>
          <w:szCs w:val="24"/>
        </w:rPr>
        <w:t xml:space="preserve">only </w:t>
      </w:r>
      <w:r w:rsidR="00285213">
        <w:rPr>
          <w:rFonts w:ascii="Times New Roman" w:hAnsi="Times New Roman" w:cs="Times New Roman"/>
          <w:sz w:val="24"/>
          <w:szCs w:val="24"/>
        </w:rPr>
        <w:t>used</w:t>
      </w:r>
      <w:r w:rsidR="00A40637">
        <w:rPr>
          <w:rFonts w:ascii="Times New Roman" w:hAnsi="Times New Roman" w:cs="Times New Roman"/>
          <w:sz w:val="24"/>
          <w:szCs w:val="24"/>
        </w:rPr>
        <w:t xml:space="preserve"> the purported withholding of approval </w:t>
      </w:r>
      <w:r w:rsidR="00285213">
        <w:rPr>
          <w:rFonts w:ascii="Times New Roman" w:hAnsi="Times New Roman" w:cs="Times New Roman"/>
          <w:sz w:val="24"/>
          <w:szCs w:val="24"/>
        </w:rPr>
        <w:t>as</w:t>
      </w:r>
      <w:r w:rsidR="00A40637">
        <w:rPr>
          <w:rFonts w:ascii="Times New Roman" w:hAnsi="Times New Roman" w:cs="Times New Roman"/>
          <w:sz w:val="24"/>
          <w:szCs w:val="24"/>
        </w:rPr>
        <w:t xml:space="preserve"> a </w:t>
      </w:r>
      <w:r w:rsidR="007E6847">
        <w:rPr>
          <w:rFonts w:ascii="Times New Roman" w:hAnsi="Times New Roman" w:cs="Times New Roman"/>
          <w:sz w:val="24"/>
          <w:szCs w:val="24"/>
        </w:rPr>
        <w:t>subterfuge</w:t>
      </w:r>
      <w:r w:rsidR="00A40637">
        <w:rPr>
          <w:rFonts w:ascii="Times New Roman" w:hAnsi="Times New Roman" w:cs="Times New Roman"/>
          <w:sz w:val="24"/>
          <w:szCs w:val="24"/>
        </w:rPr>
        <w:t xml:space="preserve"> to renege from the agreement.</w:t>
      </w:r>
    </w:p>
    <w:p w14:paraId="3F1317CA" w14:textId="4CF481A0" w:rsidR="00957DAB" w:rsidRDefault="00957DAB" w:rsidP="00A406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plaintiff to add insult to injury, in the wake of it reneging on the swop agreement</w:t>
      </w:r>
      <w:r w:rsidR="00285213">
        <w:rPr>
          <w:rFonts w:ascii="Times New Roman" w:hAnsi="Times New Roman" w:cs="Times New Roman"/>
          <w:sz w:val="24"/>
          <w:szCs w:val="24"/>
        </w:rPr>
        <w:t>,</w:t>
      </w:r>
      <w:r>
        <w:rPr>
          <w:rFonts w:ascii="Times New Roman" w:hAnsi="Times New Roman" w:cs="Times New Roman"/>
          <w:sz w:val="24"/>
          <w:szCs w:val="24"/>
        </w:rPr>
        <w:t xml:space="preserve"> the defendant neglected to demolish its structures on his </w:t>
      </w:r>
      <w:r w:rsidR="00DA20F0">
        <w:rPr>
          <w:rFonts w:ascii="Times New Roman" w:hAnsi="Times New Roman" w:cs="Times New Roman"/>
          <w:sz w:val="24"/>
          <w:szCs w:val="24"/>
        </w:rPr>
        <w:t xml:space="preserve">stand but instead commenced in </w:t>
      </w:r>
      <w:r w:rsidR="00702059">
        <w:rPr>
          <w:rFonts w:ascii="Times New Roman" w:hAnsi="Times New Roman" w:cs="Times New Roman"/>
          <w:sz w:val="24"/>
          <w:szCs w:val="24"/>
        </w:rPr>
        <w:t>earnest</w:t>
      </w:r>
      <w:r w:rsidR="00DA20F0">
        <w:rPr>
          <w:rFonts w:ascii="Times New Roman" w:hAnsi="Times New Roman" w:cs="Times New Roman"/>
          <w:sz w:val="24"/>
          <w:szCs w:val="24"/>
        </w:rPr>
        <w:t xml:space="preserve"> to construct its </w:t>
      </w:r>
      <w:r w:rsidR="00695A9B">
        <w:rPr>
          <w:rFonts w:ascii="Times New Roman" w:hAnsi="Times New Roman" w:cs="Times New Roman"/>
          <w:sz w:val="24"/>
          <w:szCs w:val="24"/>
        </w:rPr>
        <w:t>fuel station on its stand.  Further</w:t>
      </w:r>
      <w:r w:rsidR="00285213">
        <w:rPr>
          <w:rFonts w:ascii="Times New Roman" w:hAnsi="Times New Roman" w:cs="Times New Roman"/>
          <w:sz w:val="24"/>
          <w:szCs w:val="24"/>
        </w:rPr>
        <w:t>,</w:t>
      </w:r>
      <w:r w:rsidR="00695A9B">
        <w:rPr>
          <w:rFonts w:ascii="Times New Roman" w:hAnsi="Times New Roman" w:cs="Times New Roman"/>
          <w:sz w:val="24"/>
          <w:szCs w:val="24"/>
        </w:rPr>
        <w:t xml:space="preserve"> he avers that the defendant in the interim continued to use his stand by leaving its paraphernalia thereon much to his det</w:t>
      </w:r>
      <w:r w:rsidR="00285213">
        <w:rPr>
          <w:rFonts w:ascii="Times New Roman" w:hAnsi="Times New Roman" w:cs="Times New Roman"/>
          <w:sz w:val="24"/>
          <w:szCs w:val="24"/>
        </w:rPr>
        <w:t>ri</w:t>
      </w:r>
      <w:r w:rsidR="00695A9B">
        <w:rPr>
          <w:rFonts w:ascii="Times New Roman" w:hAnsi="Times New Roman" w:cs="Times New Roman"/>
          <w:sz w:val="24"/>
          <w:szCs w:val="24"/>
        </w:rPr>
        <w:t>ment.</w:t>
      </w:r>
    </w:p>
    <w:p w14:paraId="5B1ED4D6" w14:textId="78E17BD0" w:rsidR="00695A9B" w:rsidRDefault="00695A9B" w:rsidP="00A406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essence of the plaintiff’s claim is therefore captured in paragraphs 11 and 13 of his declaration which is to the effect that during a period spanning over 10 years the defendant failed to remove its illegal structures from his stand, causing him to fail to utilise his stand with the consequence that he lost out on potential business opportunities</w:t>
      </w:r>
      <w:r w:rsidR="00285213">
        <w:rPr>
          <w:rFonts w:ascii="Times New Roman" w:hAnsi="Times New Roman" w:cs="Times New Roman"/>
          <w:sz w:val="24"/>
          <w:szCs w:val="24"/>
        </w:rPr>
        <w:t>.</w:t>
      </w:r>
      <w:r>
        <w:rPr>
          <w:rFonts w:ascii="Times New Roman" w:hAnsi="Times New Roman" w:cs="Times New Roman"/>
          <w:sz w:val="24"/>
          <w:szCs w:val="24"/>
        </w:rPr>
        <w:t xml:space="preserve"> </w:t>
      </w:r>
      <w:r w:rsidR="00285213">
        <w:rPr>
          <w:rFonts w:ascii="Times New Roman" w:hAnsi="Times New Roman" w:cs="Times New Roman"/>
          <w:sz w:val="24"/>
          <w:szCs w:val="24"/>
        </w:rPr>
        <w:t>H</w:t>
      </w:r>
      <w:r>
        <w:rPr>
          <w:rFonts w:ascii="Times New Roman" w:hAnsi="Times New Roman" w:cs="Times New Roman"/>
          <w:sz w:val="24"/>
          <w:szCs w:val="24"/>
        </w:rPr>
        <w:t xml:space="preserve">e therefore claims damages arising from </w:t>
      </w:r>
      <w:r w:rsidR="00422CA2">
        <w:rPr>
          <w:rFonts w:ascii="Times New Roman" w:hAnsi="Times New Roman" w:cs="Times New Roman"/>
          <w:sz w:val="24"/>
          <w:szCs w:val="24"/>
        </w:rPr>
        <w:t>d</w:t>
      </w:r>
      <w:r w:rsidR="00285213">
        <w:rPr>
          <w:rFonts w:ascii="Times New Roman" w:hAnsi="Times New Roman" w:cs="Times New Roman"/>
          <w:sz w:val="24"/>
          <w:szCs w:val="24"/>
        </w:rPr>
        <w:t>eni</w:t>
      </w:r>
      <w:r w:rsidR="00422CA2">
        <w:rPr>
          <w:rFonts w:ascii="Times New Roman" w:hAnsi="Times New Roman" w:cs="Times New Roman"/>
          <w:sz w:val="24"/>
          <w:szCs w:val="24"/>
        </w:rPr>
        <w:t>al</w:t>
      </w:r>
      <w:r>
        <w:rPr>
          <w:rFonts w:ascii="Times New Roman" w:hAnsi="Times New Roman" w:cs="Times New Roman"/>
          <w:sz w:val="24"/>
          <w:szCs w:val="24"/>
        </w:rPr>
        <w:t xml:space="preserve"> of the full enjoyment of his stand and </w:t>
      </w:r>
      <w:r w:rsidR="00285213">
        <w:rPr>
          <w:rFonts w:ascii="Times New Roman" w:hAnsi="Times New Roman" w:cs="Times New Roman"/>
          <w:sz w:val="24"/>
          <w:szCs w:val="24"/>
        </w:rPr>
        <w:t xml:space="preserve">the </w:t>
      </w:r>
      <w:r>
        <w:rPr>
          <w:rFonts w:ascii="Times New Roman" w:hAnsi="Times New Roman" w:cs="Times New Roman"/>
          <w:sz w:val="24"/>
          <w:szCs w:val="24"/>
        </w:rPr>
        <w:t>lost business opportunities that would have naturally accrued to him but for the defendant’s</w:t>
      </w:r>
      <w:r w:rsidR="00285213">
        <w:rPr>
          <w:rFonts w:ascii="Times New Roman" w:hAnsi="Times New Roman" w:cs="Times New Roman"/>
          <w:sz w:val="24"/>
          <w:szCs w:val="24"/>
        </w:rPr>
        <w:t xml:space="preserve"> </w:t>
      </w:r>
      <w:r w:rsidR="00702059">
        <w:rPr>
          <w:rFonts w:ascii="Times New Roman" w:hAnsi="Times New Roman" w:cs="Times New Roman"/>
          <w:sz w:val="24"/>
          <w:szCs w:val="24"/>
        </w:rPr>
        <w:t>intransigent</w:t>
      </w:r>
      <w:r>
        <w:rPr>
          <w:rFonts w:ascii="Times New Roman" w:hAnsi="Times New Roman" w:cs="Times New Roman"/>
          <w:sz w:val="24"/>
          <w:szCs w:val="24"/>
        </w:rPr>
        <w:t xml:space="preserve"> conduct.</w:t>
      </w:r>
    </w:p>
    <w:p w14:paraId="0E0D5EC7" w14:textId="049A74D2" w:rsidR="007B506C" w:rsidRDefault="00C54AD0" w:rsidP="00A406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further particulars supplied at the behest of the defendant, the plaintiff explained, </w:t>
      </w:r>
      <w:r w:rsidRPr="00285213">
        <w:rPr>
          <w:rFonts w:ascii="Times New Roman" w:hAnsi="Times New Roman" w:cs="Times New Roman"/>
          <w:i/>
          <w:iCs/>
          <w:sz w:val="24"/>
          <w:szCs w:val="24"/>
        </w:rPr>
        <w:t>inter alia</w:t>
      </w:r>
      <w:r>
        <w:rPr>
          <w:rFonts w:ascii="Times New Roman" w:hAnsi="Times New Roman" w:cs="Times New Roman"/>
          <w:sz w:val="24"/>
          <w:szCs w:val="24"/>
        </w:rPr>
        <w:t xml:space="preserve"> how the defendant’s structures ended up in his stand.  The sum total of which was that this was a consequence of the red</w:t>
      </w:r>
      <w:r w:rsidR="00285213">
        <w:rPr>
          <w:rFonts w:ascii="Times New Roman" w:hAnsi="Times New Roman" w:cs="Times New Roman"/>
          <w:sz w:val="24"/>
          <w:szCs w:val="24"/>
        </w:rPr>
        <w:t>esig</w:t>
      </w:r>
      <w:r>
        <w:rPr>
          <w:rFonts w:ascii="Times New Roman" w:hAnsi="Times New Roman" w:cs="Times New Roman"/>
          <w:sz w:val="24"/>
          <w:szCs w:val="24"/>
        </w:rPr>
        <w:t>ning of the boundaries by the city council</w:t>
      </w:r>
      <w:r w:rsidR="0025308B">
        <w:rPr>
          <w:rFonts w:ascii="Times New Roman" w:hAnsi="Times New Roman" w:cs="Times New Roman"/>
          <w:sz w:val="24"/>
          <w:szCs w:val="24"/>
        </w:rPr>
        <w:t xml:space="preserve">. He clarified that </w:t>
      </w:r>
      <w:r w:rsidR="004E4D14">
        <w:rPr>
          <w:rFonts w:ascii="Times New Roman" w:hAnsi="Times New Roman" w:cs="Times New Roman"/>
          <w:sz w:val="24"/>
          <w:szCs w:val="24"/>
        </w:rPr>
        <w:t xml:space="preserve">that </w:t>
      </w:r>
      <w:r w:rsidR="007B506C">
        <w:rPr>
          <w:rFonts w:ascii="Times New Roman" w:hAnsi="Times New Roman" w:cs="Times New Roman"/>
          <w:sz w:val="24"/>
          <w:szCs w:val="24"/>
        </w:rPr>
        <w:t>the Defendant</w:t>
      </w:r>
      <w:r w:rsidR="004E4D14">
        <w:rPr>
          <w:rFonts w:ascii="Times New Roman" w:hAnsi="Times New Roman" w:cs="Times New Roman"/>
          <w:sz w:val="24"/>
          <w:szCs w:val="24"/>
        </w:rPr>
        <w:t xml:space="preserve"> had previously due to an error on its part and in violation of the Ministry of Transport</w:t>
      </w:r>
      <w:r w:rsidR="007B506C">
        <w:rPr>
          <w:rFonts w:ascii="Times New Roman" w:hAnsi="Times New Roman" w:cs="Times New Roman"/>
          <w:sz w:val="24"/>
          <w:szCs w:val="24"/>
        </w:rPr>
        <w:t xml:space="preserve"> Regulations which required that one </w:t>
      </w:r>
      <w:r w:rsidR="00CB5F4D">
        <w:rPr>
          <w:rFonts w:ascii="Times New Roman" w:hAnsi="Times New Roman" w:cs="Times New Roman"/>
          <w:sz w:val="24"/>
          <w:szCs w:val="24"/>
        </w:rPr>
        <w:t>should observe</w:t>
      </w:r>
      <w:r w:rsidR="007B506C">
        <w:rPr>
          <w:rFonts w:ascii="Times New Roman" w:hAnsi="Times New Roman" w:cs="Times New Roman"/>
          <w:sz w:val="24"/>
          <w:szCs w:val="24"/>
        </w:rPr>
        <w:t xml:space="preserve"> a distance of 70 metres from the centre of </w:t>
      </w:r>
      <w:r w:rsidR="00CB5F4D">
        <w:rPr>
          <w:rFonts w:ascii="Times New Roman" w:hAnsi="Times New Roman" w:cs="Times New Roman"/>
          <w:sz w:val="24"/>
          <w:szCs w:val="24"/>
        </w:rPr>
        <w:t>any high</w:t>
      </w:r>
      <w:r w:rsidR="007B506C">
        <w:rPr>
          <w:rFonts w:ascii="Times New Roman" w:hAnsi="Times New Roman" w:cs="Times New Roman"/>
          <w:sz w:val="24"/>
          <w:szCs w:val="24"/>
        </w:rPr>
        <w:t xml:space="preserve"> way road when constructing any structures, which the </w:t>
      </w:r>
      <w:r w:rsidR="00CB5F4D">
        <w:rPr>
          <w:rFonts w:ascii="Times New Roman" w:hAnsi="Times New Roman" w:cs="Times New Roman"/>
          <w:sz w:val="24"/>
          <w:szCs w:val="24"/>
        </w:rPr>
        <w:t>d</w:t>
      </w:r>
      <w:r w:rsidR="007B506C">
        <w:rPr>
          <w:rFonts w:ascii="Times New Roman" w:hAnsi="Times New Roman" w:cs="Times New Roman"/>
          <w:sz w:val="24"/>
          <w:szCs w:val="24"/>
        </w:rPr>
        <w:t>efendant had failed to do</w:t>
      </w:r>
      <w:r w:rsidR="00CB5F4D">
        <w:rPr>
          <w:rFonts w:ascii="Times New Roman" w:hAnsi="Times New Roman" w:cs="Times New Roman"/>
          <w:sz w:val="24"/>
          <w:szCs w:val="24"/>
        </w:rPr>
        <w:t>.</w:t>
      </w:r>
      <w:r w:rsidR="007B506C">
        <w:rPr>
          <w:rFonts w:ascii="Times New Roman" w:hAnsi="Times New Roman" w:cs="Times New Roman"/>
          <w:sz w:val="24"/>
          <w:szCs w:val="24"/>
        </w:rPr>
        <w:t xml:space="preserve">  </w:t>
      </w:r>
      <w:r w:rsidR="00CB5F4D">
        <w:rPr>
          <w:rFonts w:ascii="Times New Roman" w:hAnsi="Times New Roman" w:cs="Times New Roman"/>
          <w:sz w:val="24"/>
          <w:szCs w:val="24"/>
        </w:rPr>
        <w:t>The defendant</w:t>
      </w:r>
      <w:r w:rsidR="007B506C">
        <w:rPr>
          <w:rFonts w:ascii="Times New Roman" w:hAnsi="Times New Roman" w:cs="Times New Roman"/>
          <w:sz w:val="24"/>
          <w:szCs w:val="24"/>
        </w:rPr>
        <w:t xml:space="preserve"> </w:t>
      </w:r>
      <w:r w:rsidR="00E6727D">
        <w:rPr>
          <w:rFonts w:ascii="Times New Roman" w:hAnsi="Times New Roman" w:cs="Times New Roman"/>
          <w:sz w:val="24"/>
          <w:szCs w:val="24"/>
        </w:rPr>
        <w:t>erected a</w:t>
      </w:r>
      <w:r w:rsidR="007B506C">
        <w:rPr>
          <w:rFonts w:ascii="Times New Roman" w:hAnsi="Times New Roman" w:cs="Times New Roman"/>
          <w:sz w:val="24"/>
          <w:szCs w:val="24"/>
        </w:rPr>
        <w:t xml:space="preserve"> </w:t>
      </w:r>
      <w:r w:rsidR="00E6727D">
        <w:rPr>
          <w:rFonts w:ascii="Times New Roman" w:hAnsi="Times New Roman" w:cs="Times New Roman"/>
          <w:sz w:val="24"/>
          <w:szCs w:val="24"/>
        </w:rPr>
        <w:t>petrol port</w:t>
      </w:r>
      <w:r w:rsidR="007B506C">
        <w:rPr>
          <w:rFonts w:ascii="Times New Roman" w:hAnsi="Times New Roman" w:cs="Times New Roman"/>
          <w:sz w:val="24"/>
          <w:szCs w:val="24"/>
        </w:rPr>
        <w:t xml:space="preserve"> complete with a building for a convenience shop and </w:t>
      </w:r>
      <w:r w:rsidR="00CB5F4D">
        <w:rPr>
          <w:rFonts w:ascii="Times New Roman" w:hAnsi="Times New Roman" w:cs="Times New Roman"/>
          <w:sz w:val="24"/>
          <w:szCs w:val="24"/>
        </w:rPr>
        <w:t>two</w:t>
      </w:r>
      <w:r w:rsidR="007B506C">
        <w:rPr>
          <w:rFonts w:ascii="Times New Roman" w:hAnsi="Times New Roman" w:cs="Times New Roman"/>
          <w:sz w:val="24"/>
          <w:szCs w:val="24"/>
        </w:rPr>
        <w:t xml:space="preserve"> pits for purposes of housing fuel tanks.</w:t>
      </w:r>
    </w:p>
    <w:p w14:paraId="4301A557" w14:textId="724DA402" w:rsidR="00C54AD0" w:rsidRDefault="007B506C" w:rsidP="00A406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To compel compliance, the City of Masvingo being</w:t>
      </w:r>
      <w:r w:rsidR="00A20BD5">
        <w:rPr>
          <w:rFonts w:ascii="Times New Roman" w:hAnsi="Times New Roman" w:cs="Times New Roman"/>
          <w:sz w:val="24"/>
          <w:szCs w:val="24"/>
        </w:rPr>
        <w:t xml:space="preserve"> the governing authority for Masvingo had to redraw the stand distribution map to regularize these anomalies and consequently the </w:t>
      </w:r>
      <w:r w:rsidR="00D37128">
        <w:rPr>
          <w:rFonts w:ascii="Times New Roman" w:hAnsi="Times New Roman" w:cs="Times New Roman"/>
          <w:sz w:val="24"/>
          <w:szCs w:val="24"/>
        </w:rPr>
        <w:t>Plaintiff ended</w:t>
      </w:r>
      <w:r w:rsidR="00FF188F">
        <w:rPr>
          <w:rFonts w:ascii="Times New Roman" w:hAnsi="Times New Roman" w:cs="Times New Roman"/>
          <w:sz w:val="24"/>
          <w:szCs w:val="24"/>
        </w:rPr>
        <w:t xml:space="preserve"> up being allocated Stand No. 27810 which </w:t>
      </w:r>
      <w:r w:rsidR="00D37128">
        <w:rPr>
          <w:rFonts w:ascii="Times New Roman" w:hAnsi="Times New Roman" w:cs="Times New Roman"/>
          <w:sz w:val="24"/>
          <w:szCs w:val="24"/>
        </w:rPr>
        <w:t xml:space="preserve">incorporated </w:t>
      </w:r>
      <w:r w:rsidR="00F10AFE">
        <w:rPr>
          <w:rFonts w:ascii="Times New Roman" w:hAnsi="Times New Roman" w:cs="Times New Roman"/>
          <w:sz w:val="24"/>
          <w:szCs w:val="24"/>
        </w:rPr>
        <w:t xml:space="preserve">part of the area where </w:t>
      </w:r>
      <w:r w:rsidR="00CB5F4D">
        <w:rPr>
          <w:rFonts w:ascii="Times New Roman" w:hAnsi="Times New Roman" w:cs="Times New Roman"/>
          <w:sz w:val="24"/>
          <w:szCs w:val="24"/>
        </w:rPr>
        <w:t>the defendant</w:t>
      </w:r>
      <w:r w:rsidR="00F10AFE">
        <w:rPr>
          <w:rFonts w:ascii="Times New Roman" w:hAnsi="Times New Roman" w:cs="Times New Roman"/>
          <w:sz w:val="24"/>
          <w:szCs w:val="24"/>
        </w:rPr>
        <w:t xml:space="preserve"> had built its petrol port and dug fuel pits.   Resultantly and in an endeavour </w:t>
      </w:r>
      <w:r w:rsidR="007228DB">
        <w:rPr>
          <w:rFonts w:ascii="Times New Roman" w:hAnsi="Times New Roman" w:cs="Times New Roman"/>
          <w:sz w:val="24"/>
          <w:szCs w:val="24"/>
        </w:rPr>
        <w:t>to correct</w:t>
      </w:r>
      <w:r w:rsidR="00F10AFE">
        <w:rPr>
          <w:rFonts w:ascii="Times New Roman" w:hAnsi="Times New Roman" w:cs="Times New Roman"/>
          <w:sz w:val="24"/>
          <w:szCs w:val="24"/>
        </w:rPr>
        <w:t xml:space="preserve"> </w:t>
      </w:r>
      <w:r w:rsidR="007228DB">
        <w:rPr>
          <w:rFonts w:ascii="Times New Roman" w:hAnsi="Times New Roman" w:cs="Times New Roman"/>
          <w:sz w:val="24"/>
          <w:szCs w:val="24"/>
        </w:rPr>
        <w:t>matters, the</w:t>
      </w:r>
      <w:r w:rsidR="00F10AFE">
        <w:rPr>
          <w:rFonts w:ascii="Times New Roman" w:hAnsi="Times New Roman" w:cs="Times New Roman"/>
          <w:sz w:val="24"/>
          <w:szCs w:val="24"/>
        </w:rPr>
        <w:t xml:space="preserve"> parties </w:t>
      </w:r>
      <w:r w:rsidR="0054330B">
        <w:rPr>
          <w:rFonts w:ascii="Times New Roman" w:hAnsi="Times New Roman" w:cs="Times New Roman"/>
          <w:sz w:val="24"/>
          <w:szCs w:val="24"/>
        </w:rPr>
        <w:t>whose commercial</w:t>
      </w:r>
      <w:r w:rsidR="00F10AFE">
        <w:rPr>
          <w:rFonts w:ascii="Times New Roman" w:hAnsi="Times New Roman" w:cs="Times New Roman"/>
          <w:sz w:val="24"/>
          <w:szCs w:val="24"/>
        </w:rPr>
        <w:t xml:space="preserve"> stands </w:t>
      </w:r>
      <w:r w:rsidR="00CB5F4D">
        <w:rPr>
          <w:rFonts w:ascii="Times New Roman" w:hAnsi="Times New Roman" w:cs="Times New Roman"/>
          <w:sz w:val="24"/>
          <w:szCs w:val="24"/>
        </w:rPr>
        <w:t>were</w:t>
      </w:r>
      <w:r w:rsidR="00F10AFE">
        <w:rPr>
          <w:rFonts w:ascii="Times New Roman" w:hAnsi="Times New Roman" w:cs="Times New Roman"/>
          <w:sz w:val="24"/>
          <w:szCs w:val="24"/>
        </w:rPr>
        <w:t xml:space="preserve"> </w:t>
      </w:r>
      <w:r w:rsidR="0054330B">
        <w:rPr>
          <w:rFonts w:ascii="Times New Roman" w:hAnsi="Times New Roman" w:cs="Times New Roman"/>
          <w:sz w:val="24"/>
          <w:szCs w:val="24"/>
        </w:rPr>
        <w:t>adjacent</w:t>
      </w:r>
      <w:r w:rsidR="009204DC">
        <w:rPr>
          <w:rFonts w:ascii="Times New Roman" w:hAnsi="Times New Roman" w:cs="Times New Roman"/>
          <w:sz w:val="24"/>
          <w:szCs w:val="24"/>
        </w:rPr>
        <w:t xml:space="preserve"> and </w:t>
      </w:r>
      <w:r w:rsidR="00CB5F4D">
        <w:rPr>
          <w:rFonts w:ascii="Times New Roman" w:hAnsi="Times New Roman" w:cs="Times New Roman"/>
          <w:sz w:val="24"/>
          <w:szCs w:val="24"/>
        </w:rPr>
        <w:t>we</w:t>
      </w:r>
      <w:r w:rsidR="009204DC">
        <w:rPr>
          <w:rFonts w:ascii="Times New Roman" w:hAnsi="Times New Roman" w:cs="Times New Roman"/>
          <w:sz w:val="24"/>
          <w:szCs w:val="24"/>
        </w:rPr>
        <w:t>re of similar size</w:t>
      </w:r>
      <w:r w:rsidR="00CB5F4D">
        <w:rPr>
          <w:rFonts w:ascii="Times New Roman" w:hAnsi="Times New Roman" w:cs="Times New Roman"/>
          <w:sz w:val="24"/>
          <w:szCs w:val="24"/>
        </w:rPr>
        <w:t xml:space="preserve"> </w:t>
      </w:r>
      <w:r w:rsidR="009204DC">
        <w:rPr>
          <w:rFonts w:ascii="Times New Roman" w:hAnsi="Times New Roman" w:cs="Times New Roman"/>
          <w:sz w:val="24"/>
          <w:szCs w:val="24"/>
        </w:rPr>
        <w:t xml:space="preserve">agreed to </w:t>
      </w:r>
      <w:r w:rsidR="00CB5F4D">
        <w:rPr>
          <w:rFonts w:ascii="Times New Roman" w:hAnsi="Times New Roman" w:cs="Times New Roman"/>
          <w:sz w:val="24"/>
          <w:szCs w:val="24"/>
        </w:rPr>
        <w:t>swap</w:t>
      </w:r>
      <w:r w:rsidR="009204DC">
        <w:rPr>
          <w:rFonts w:ascii="Times New Roman" w:hAnsi="Times New Roman" w:cs="Times New Roman"/>
          <w:sz w:val="24"/>
          <w:szCs w:val="24"/>
        </w:rPr>
        <w:t xml:space="preserve"> their respective </w:t>
      </w:r>
      <w:r w:rsidR="007228DB">
        <w:rPr>
          <w:rFonts w:ascii="Times New Roman" w:hAnsi="Times New Roman" w:cs="Times New Roman"/>
          <w:sz w:val="24"/>
          <w:szCs w:val="24"/>
        </w:rPr>
        <w:t>stands rather</w:t>
      </w:r>
      <w:r w:rsidR="009204DC">
        <w:rPr>
          <w:rFonts w:ascii="Times New Roman" w:hAnsi="Times New Roman" w:cs="Times New Roman"/>
          <w:sz w:val="24"/>
          <w:szCs w:val="24"/>
        </w:rPr>
        <w:t xml:space="preserve"> than to demolish the costly buildings that </w:t>
      </w:r>
      <w:r w:rsidR="00CB5F4D">
        <w:rPr>
          <w:rFonts w:ascii="Times New Roman" w:hAnsi="Times New Roman" w:cs="Times New Roman"/>
          <w:sz w:val="24"/>
          <w:szCs w:val="24"/>
        </w:rPr>
        <w:t>d</w:t>
      </w:r>
      <w:r w:rsidR="009204DC">
        <w:rPr>
          <w:rFonts w:ascii="Times New Roman" w:hAnsi="Times New Roman" w:cs="Times New Roman"/>
          <w:sz w:val="24"/>
          <w:szCs w:val="24"/>
        </w:rPr>
        <w:t>efendant had erected giving rise to the swop</w:t>
      </w:r>
      <w:r w:rsidR="00507250">
        <w:rPr>
          <w:rFonts w:ascii="Times New Roman" w:hAnsi="Times New Roman" w:cs="Times New Roman"/>
          <w:sz w:val="24"/>
          <w:szCs w:val="24"/>
        </w:rPr>
        <w:t xml:space="preserve"> </w:t>
      </w:r>
      <w:r w:rsidR="007228DB">
        <w:rPr>
          <w:rFonts w:ascii="Times New Roman" w:hAnsi="Times New Roman" w:cs="Times New Roman"/>
          <w:sz w:val="24"/>
          <w:szCs w:val="24"/>
        </w:rPr>
        <w:t>Agreement that</w:t>
      </w:r>
      <w:r w:rsidR="009204DC">
        <w:rPr>
          <w:rFonts w:ascii="Times New Roman" w:hAnsi="Times New Roman" w:cs="Times New Roman"/>
          <w:sz w:val="24"/>
          <w:szCs w:val="24"/>
        </w:rPr>
        <w:t xml:space="preserve"> the parties the</w:t>
      </w:r>
      <w:r w:rsidR="00507250">
        <w:rPr>
          <w:rFonts w:ascii="Times New Roman" w:hAnsi="Times New Roman" w:cs="Times New Roman"/>
          <w:sz w:val="24"/>
          <w:szCs w:val="24"/>
        </w:rPr>
        <w:t xml:space="preserve"> entered </w:t>
      </w:r>
      <w:r w:rsidR="007228DB">
        <w:rPr>
          <w:rFonts w:ascii="Times New Roman" w:hAnsi="Times New Roman" w:cs="Times New Roman"/>
          <w:sz w:val="24"/>
          <w:szCs w:val="24"/>
        </w:rPr>
        <w:t xml:space="preserve">into. </w:t>
      </w:r>
    </w:p>
    <w:p w14:paraId="65F6824A" w14:textId="48E532C5" w:rsidR="00096A17" w:rsidRDefault="00096A17" w:rsidP="00A406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the plaintiff </w:t>
      </w:r>
      <w:r w:rsidR="00207ED6">
        <w:rPr>
          <w:rFonts w:ascii="Times New Roman" w:hAnsi="Times New Roman" w:cs="Times New Roman"/>
          <w:sz w:val="24"/>
          <w:szCs w:val="24"/>
        </w:rPr>
        <w:t>averred</w:t>
      </w:r>
      <w:r>
        <w:rPr>
          <w:rFonts w:ascii="Times New Roman" w:hAnsi="Times New Roman" w:cs="Times New Roman"/>
          <w:sz w:val="24"/>
          <w:szCs w:val="24"/>
        </w:rPr>
        <w:t xml:space="preserve"> in his further particulars that the defendant only demolished its structures on his stand well after the institution of summons</w:t>
      </w:r>
      <w:r w:rsidR="00CB5F4D">
        <w:rPr>
          <w:rFonts w:ascii="Times New Roman" w:hAnsi="Times New Roman" w:cs="Times New Roman"/>
          <w:sz w:val="24"/>
          <w:szCs w:val="24"/>
        </w:rPr>
        <w:t xml:space="preserve"> in the present matter</w:t>
      </w:r>
      <w:r>
        <w:rPr>
          <w:rFonts w:ascii="Times New Roman" w:hAnsi="Times New Roman" w:cs="Times New Roman"/>
          <w:sz w:val="24"/>
          <w:szCs w:val="24"/>
        </w:rPr>
        <w:t>.</w:t>
      </w:r>
    </w:p>
    <w:p w14:paraId="08CBEA42" w14:textId="77777777" w:rsidR="00002A2A" w:rsidRDefault="00002A2A" w:rsidP="00A40637">
      <w:pPr>
        <w:spacing w:after="0" w:line="360" w:lineRule="auto"/>
        <w:ind w:firstLine="720"/>
        <w:jc w:val="both"/>
        <w:rPr>
          <w:rFonts w:ascii="Times New Roman" w:hAnsi="Times New Roman" w:cs="Times New Roman"/>
          <w:sz w:val="24"/>
          <w:szCs w:val="24"/>
          <w:u w:val="single"/>
        </w:rPr>
      </w:pPr>
    </w:p>
    <w:p w14:paraId="31376B37" w14:textId="0E2F5003" w:rsidR="00096A17" w:rsidRPr="00CB5F4D" w:rsidRDefault="00096A17" w:rsidP="00A40637">
      <w:pPr>
        <w:spacing w:after="0" w:line="360" w:lineRule="auto"/>
        <w:ind w:firstLine="720"/>
        <w:jc w:val="both"/>
        <w:rPr>
          <w:rFonts w:ascii="Times New Roman" w:hAnsi="Times New Roman" w:cs="Times New Roman"/>
          <w:b/>
          <w:bCs/>
          <w:sz w:val="24"/>
          <w:szCs w:val="24"/>
        </w:rPr>
      </w:pPr>
      <w:r w:rsidRPr="00CB5F4D">
        <w:rPr>
          <w:rFonts w:ascii="Times New Roman" w:hAnsi="Times New Roman" w:cs="Times New Roman"/>
          <w:b/>
          <w:bCs/>
          <w:sz w:val="24"/>
          <w:szCs w:val="24"/>
        </w:rPr>
        <w:t>Defendant</w:t>
      </w:r>
      <w:r w:rsidR="00CB5F4D" w:rsidRPr="00CB5F4D">
        <w:rPr>
          <w:rFonts w:ascii="Times New Roman" w:hAnsi="Times New Roman" w:cs="Times New Roman"/>
          <w:b/>
          <w:bCs/>
          <w:sz w:val="24"/>
          <w:szCs w:val="24"/>
        </w:rPr>
        <w:t>’</w:t>
      </w:r>
      <w:r w:rsidRPr="00CB5F4D">
        <w:rPr>
          <w:rFonts w:ascii="Times New Roman" w:hAnsi="Times New Roman" w:cs="Times New Roman"/>
          <w:b/>
          <w:bCs/>
          <w:sz w:val="24"/>
          <w:szCs w:val="24"/>
        </w:rPr>
        <w:t>s plea</w:t>
      </w:r>
    </w:p>
    <w:p w14:paraId="634AB705" w14:textId="49FF38D8" w:rsidR="00096A17" w:rsidRDefault="00096A17" w:rsidP="00A406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 completely denied any liability whatsoever.  It </w:t>
      </w:r>
      <w:r w:rsidR="00207ED6">
        <w:rPr>
          <w:rFonts w:ascii="Times New Roman" w:hAnsi="Times New Roman" w:cs="Times New Roman"/>
          <w:sz w:val="24"/>
          <w:szCs w:val="24"/>
        </w:rPr>
        <w:t>averred</w:t>
      </w:r>
      <w:r>
        <w:rPr>
          <w:rFonts w:ascii="Times New Roman" w:hAnsi="Times New Roman" w:cs="Times New Roman"/>
          <w:sz w:val="24"/>
          <w:szCs w:val="24"/>
        </w:rPr>
        <w:t xml:space="preserve"> that when the plaintiff purchased the stand in </w:t>
      </w:r>
      <w:r w:rsidR="00CB5F4D">
        <w:rPr>
          <w:rFonts w:ascii="Times New Roman" w:hAnsi="Times New Roman" w:cs="Times New Roman"/>
          <w:sz w:val="24"/>
          <w:szCs w:val="24"/>
        </w:rPr>
        <w:t>question,</w:t>
      </w:r>
      <w:r>
        <w:rPr>
          <w:rFonts w:ascii="Times New Roman" w:hAnsi="Times New Roman" w:cs="Times New Roman"/>
          <w:sz w:val="24"/>
          <w:szCs w:val="24"/>
        </w:rPr>
        <w:t xml:space="preserve"> he was aware that there were structures on it</w:t>
      </w:r>
      <w:r w:rsidR="00CB5F4D">
        <w:rPr>
          <w:rFonts w:ascii="Times New Roman" w:hAnsi="Times New Roman" w:cs="Times New Roman"/>
          <w:sz w:val="24"/>
          <w:szCs w:val="24"/>
        </w:rPr>
        <w:t xml:space="preserve"> which it (i.e., defendant had</w:t>
      </w:r>
      <w:r>
        <w:rPr>
          <w:rFonts w:ascii="Times New Roman" w:hAnsi="Times New Roman" w:cs="Times New Roman"/>
          <w:sz w:val="24"/>
          <w:szCs w:val="24"/>
        </w:rPr>
        <w:t xml:space="preserve"> erecte</w:t>
      </w:r>
      <w:r w:rsidR="00CB5F4D">
        <w:rPr>
          <w:rFonts w:ascii="Times New Roman" w:hAnsi="Times New Roman" w:cs="Times New Roman"/>
          <w:sz w:val="24"/>
          <w:szCs w:val="24"/>
        </w:rPr>
        <w:t>d</w:t>
      </w:r>
      <w:r>
        <w:rPr>
          <w:rFonts w:ascii="Times New Roman" w:hAnsi="Times New Roman" w:cs="Times New Roman"/>
          <w:sz w:val="24"/>
          <w:szCs w:val="24"/>
        </w:rPr>
        <w:t>.  It was ave</w:t>
      </w:r>
      <w:r w:rsidR="00E55300">
        <w:rPr>
          <w:rFonts w:ascii="Times New Roman" w:hAnsi="Times New Roman" w:cs="Times New Roman"/>
          <w:sz w:val="24"/>
          <w:szCs w:val="24"/>
        </w:rPr>
        <w:t>r</w:t>
      </w:r>
      <w:r>
        <w:rPr>
          <w:rFonts w:ascii="Times New Roman" w:hAnsi="Times New Roman" w:cs="Times New Roman"/>
          <w:sz w:val="24"/>
          <w:szCs w:val="24"/>
        </w:rPr>
        <w:t>red on its behalf that the defendant initially purchased stand N</w:t>
      </w:r>
      <w:r w:rsidR="00E55300">
        <w:rPr>
          <w:rFonts w:ascii="Times New Roman" w:hAnsi="Times New Roman" w:cs="Times New Roman"/>
          <w:sz w:val="24"/>
          <w:szCs w:val="24"/>
        </w:rPr>
        <w:t>o. 27431 from</w:t>
      </w:r>
      <w:r>
        <w:rPr>
          <w:rFonts w:ascii="Times New Roman" w:hAnsi="Times New Roman" w:cs="Times New Roman"/>
          <w:sz w:val="24"/>
          <w:szCs w:val="24"/>
        </w:rPr>
        <w:t xml:space="preserve"> Masvingo City Council and proceeded to construct the structures complained of.</w:t>
      </w:r>
    </w:p>
    <w:p w14:paraId="30918E62" w14:textId="115A5255" w:rsidR="00096A17" w:rsidRDefault="00096A17" w:rsidP="00A406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the defendant that initial agreement of sale was cancelled on account of the stand being too close to the main road.  It was</w:t>
      </w:r>
      <w:r w:rsidR="00CB5F4D">
        <w:rPr>
          <w:rFonts w:ascii="Times New Roman" w:hAnsi="Times New Roman" w:cs="Times New Roman"/>
          <w:sz w:val="24"/>
          <w:szCs w:val="24"/>
        </w:rPr>
        <w:t xml:space="preserve"> then </w:t>
      </w:r>
      <w:r>
        <w:rPr>
          <w:rFonts w:ascii="Times New Roman" w:hAnsi="Times New Roman" w:cs="Times New Roman"/>
          <w:sz w:val="24"/>
          <w:szCs w:val="24"/>
        </w:rPr>
        <w:t>that the area was resurveyed and the council came up with new stands including stands 27809 and 27810.</w:t>
      </w:r>
    </w:p>
    <w:p w14:paraId="4984FE20" w14:textId="648D7CBC" w:rsidR="00096A17" w:rsidRDefault="00096A17" w:rsidP="00A406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further averred in this regard that when the plaintiff purchased Stand No 27810 he was aware that part</w:t>
      </w:r>
      <w:r w:rsidR="00D75DAC">
        <w:rPr>
          <w:rFonts w:ascii="Times New Roman" w:hAnsi="Times New Roman" w:cs="Times New Roman"/>
          <w:sz w:val="24"/>
          <w:szCs w:val="24"/>
        </w:rPr>
        <w:t xml:space="preserve"> of initially fell under stand purchased by defendant before the re-surveying.</w:t>
      </w:r>
    </w:p>
    <w:p w14:paraId="22F7186F" w14:textId="6B58D155" w:rsidR="00D75DAC" w:rsidRDefault="00D75DAC" w:rsidP="00A406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More importantly, the defendant aver</w:t>
      </w:r>
      <w:r w:rsidR="00E55300">
        <w:rPr>
          <w:rFonts w:ascii="Times New Roman" w:hAnsi="Times New Roman" w:cs="Times New Roman"/>
          <w:sz w:val="24"/>
          <w:szCs w:val="24"/>
        </w:rPr>
        <w:t>r</w:t>
      </w:r>
      <w:r>
        <w:rPr>
          <w:rFonts w:ascii="Times New Roman" w:hAnsi="Times New Roman" w:cs="Times New Roman"/>
          <w:sz w:val="24"/>
          <w:szCs w:val="24"/>
        </w:rPr>
        <w:t>ed that it reneged on the swop agreement but that it did so when it was advised by council that it could not proceed to complete the construction of its earlier structures.</w:t>
      </w:r>
    </w:p>
    <w:p w14:paraId="43EB0258" w14:textId="76224BD4" w:rsidR="00D75DAC" w:rsidRDefault="00D75DAC" w:rsidP="00A406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further aver</w:t>
      </w:r>
      <w:r w:rsidR="00E55300">
        <w:rPr>
          <w:rFonts w:ascii="Times New Roman" w:hAnsi="Times New Roman" w:cs="Times New Roman"/>
          <w:sz w:val="24"/>
          <w:szCs w:val="24"/>
        </w:rPr>
        <w:t>r</w:t>
      </w:r>
      <w:r>
        <w:rPr>
          <w:rFonts w:ascii="Times New Roman" w:hAnsi="Times New Roman" w:cs="Times New Roman"/>
          <w:sz w:val="24"/>
          <w:szCs w:val="24"/>
        </w:rPr>
        <w:t xml:space="preserve">ed that it had no obligation to demolish the structures but nonetheless proceeded to do so.  It further challenged the plaintiff to prove that he suffered </w:t>
      </w:r>
      <w:r w:rsidR="00E55300">
        <w:rPr>
          <w:rFonts w:ascii="Times New Roman" w:hAnsi="Times New Roman" w:cs="Times New Roman"/>
          <w:sz w:val="24"/>
          <w:szCs w:val="24"/>
        </w:rPr>
        <w:t xml:space="preserve">damages, which according to it </w:t>
      </w:r>
      <w:r>
        <w:rPr>
          <w:rFonts w:ascii="Times New Roman" w:hAnsi="Times New Roman" w:cs="Times New Roman"/>
          <w:sz w:val="24"/>
          <w:szCs w:val="24"/>
        </w:rPr>
        <w:t>he did not.</w:t>
      </w:r>
    </w:p>
    <w:p w14:paraId="5647510A" w14:textId="37BCD79A" w:rsidR="00D75DAC" w:rsidRDefault="00D75DAC" w:rsidP="00A406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issues</w:t>
      </w:r>
      <w:r w:rsidR="004F598C">
        <w:rPr>
          <w:rFonts w:ascii="Times New Roman" w:hAnsi="Times New Roman" w:cs="Times New Roman"/>
          <w:sz w:val="24"/>
          <w:szCs w:val="24"/>
        </w:rPr>
        <w:t xml:space="preserve"> that were referred to trial were captured in the </w:t>
      </w:r>
      <w:r w:rsidR="00207ED6">
        <w:rPr>
          <w:rFonts w:ascii="Times New Roman" w:hAnsi="Times New Roman" w:cs="Times New Roman"/>
          <w:sz w:val="24"/>
          <w:szCs w:val="24"/>
        </w:rPr>
        <w:t>Pre-trial</w:t>
      </w:r>
      <w:r w:rsidR="004F598C">
        <w:rPr>
          <w:rFonts w:ascii="Times New Roman" w:hAnsi="Times New Roman" w:cs="Times New Roman"/>
          <w:sz w:val="24"/>
          <w:szCs w:val="24"/>
        </w:rPr>
        <w:t xml:space="preserve"> conference memorandum as foll</w:t>
      </w:r>
      <w:r w:rsidR="00FF6D0E">
        <w:rPr>
          <w:rFonts w:ascii="Times New Roman" w:hAnsi="Times New Roman" w:cs="Times New Roman"/>
          <w:sz w:val="24"/>
          <w:szCs w:val="24"/>
        </w:rPr>
        <w:t>o</w:t>
      </w:r>
      <w:r w:rsidR="004F598C">
        <w:rPr>
          <w:rFonts w:ascii="Times New Roman" w:hAnsi="Times New Roman" w:cs="Times New Roman"/>
          <w:sz w:val="24"/>
          <w:szCs w:val="24"/>
        </w:rPr>
        <w:t>ws</w:t>
      </w:r>
      <w:r w:rsidR="00CB5F4D">
        <w:rPr>
          <w:rFonts w:ascii="Times New Roman" w:hAnsi="Times New Roman" w:cs="Times New Roman"/>
          <w:sz w:val="24"/>
          <w:szCs w:val="24"/>
        </w:rPr>
        <w:t>:</w:t>
      </w:r>
    </w:p>
    <w:p w14:paraId="57512F1D" w14:textId="4F9529E3" w:rsidR="004F598C" w:rsidRPr="00CB5F4D" w:rsidRDefault="004F598C" w:rsidP="00CB5F4D">
      <w:pPr>
        <w:pStyle w:val="ListParagraph"/>
        <w:numPr>
          <w:ilvl w:val="0"/>
          <w:numId w:val="4"/>
        </w:numPr>
        <w:spacing w:after="0"/>
        <w:jc w:val="both"/>
        <w:rPr>
          <w:rFonts w:ascii="Times New Roman" w:hAnsi="Times New Roman" w:cs="Times New Roman"/>
        </w:rPr>
      </w:pPr>
      <w:r w:rsidRPr="00CB5F4D">
        <w:rPr>
          <w:rFonts w:ascii="Times New Roman" w:hAnsi="Times New Roman" w:cs="Times New Roman"/>
        </w:rPr>
        <w:t>Whether or not the defendant is liable for damages as claimed by the plaintiff and the quantum thereof.</w:t>
      </w:r>
    </w:p>
    <w:p w14:paraId="2874C4CE" w14:textId="5BEA3783" w:rsidR="004F598C" w:rsidRPr="00CB5F4D" w:rsidRDefault="004F598C" w:rsidP="00CB5F4D">
      <w:pPr>
        <w:pStyle w:val="ListParagraph"/>
        <w:numPr>
          <w:ilvl w:val="0"/>
          <w:numId w:val="4"/>
        </w:numPr>
        <w:spacing w:after="0"/>
        <w:jc w:val="both"/>
        <w:rPr>
          <w:rFonts w:ascii="Times New Roman" w:hAnsi="Times New Roman" w:cs="Times New Roman"/>
        </w:rPr>
      </w:pPr>
      <w:r w:rsidRPr="00CB5F4D">
        <w:rPr>
          <w:rFonts w:ascii="Times New Roman" w:hAnsi="Times New Roman" w:cs="Times New Roman"/>
        </w:rPr>
        <w:lastRenderedPageBreak/>
        <w:t>Whether or not the plaintiff is entitled to rentals in the sum of US$500 or the equivalent thereof from 01/09/20 to date of defendant’s removal of its illegal structure from Stand No. 27810 Masvingo.</w:t>
      </w:r>
    </w:p>
    <w:p w14:paraId="43608A49" w14:textId="034E4D4B" w:rsidR="004F598C" w:rsidRPr="00CB5F4D" w:rsidRDefault="004F598C" w:rsidP="00CB5F4D">
      <w:pPr>
        <w:pStyle w:val="ListParagraph"/>
        <w:numPr>
          <w:ilvl w:val="0"/>
          <w:numId w:val="4"/>
        </w:numPr>
        <w:spacing w:after="0"/>
        <w:jc w:val="both"/>
        <w:rPr>
          <w:rFonts w:ascii="Times New Roman" w:hAnsi="Times New Roman" w:cs="Times New Roman"/>
        </w:rPr>
      </w:pPr>
      <w:r w:rsidRPr="00CB5F4D">
        <w:rPr>
          <w:rFonts w:ascii="Times New Roman" w:hAnsi="Times New Roman" w:cs="Times New Roman"/>
        </w:rPr>
        <w:t>Whether or not the defendant’s failure to remove its permanent structures and construction</w:t>
      </w:r>
      <w:r w:rsidR="0068546C" w:rsidRPr="00CB5F4D">
        <w:rPr>
          <w:rFonts w:ascii="Times New Roman" w:hAnsi="Times New Roman" w:cs="Times New Roman"/>
        </w:rPr>
        <w:t xml:space="preserve"> equipment on Stand No. 27810 for more than 13 years prejudiced the plaintiff.</w:t>
      </w:r>
    </w:p>
    <w:p w14:paraId="2C277E7C" w14:textId="7DAD0C62" w:rsidR="00335B3E" w:rsidRDefault="00335B3E" w:rsidP="00FF6D0E">
      <w:pPr>
        <w:spacing w:after="0" w:line="360" w:lineRule="auto"/>
        <w:jc w:val="both"/>
        <w:rPr>
          <w:rFonts w:ascii="Times New Roman" w:hAnsi="Times New Roman" w:cs="Times New Roman"/>
          <w:sz w:val="24"/>
          <w:szCs w:val="24"/>
        </w:rPr>
      </w:pPr>
    </w:p>
    <w:p w14:paraId="72C103C9" w14:textId="71BB1D58" w:rsidR="00520FC7" w:rsidRDefault="00520FC7" w:rsidP="00FF6D0E">
      <w:pPr>
        <w:spacing w:after="0" w:line="360" w:lineRule="auto"/>
        <w:jc w:val="both"/>
        <w:rPr>
          <w:rFonts w:ascii="Times New Roman" w:hAnsi="Times New Roman" w:cs="Times New Roman"/>
          <w:sz w:val="24"/>
          <w:szCs w:val="24"/>
        </w:rPr>
      </w:pPr>
    </w:p>
    <w:p w14:paraId="3261A564" w14:textId="7B2063DC" w:rsidR="00520FC7" w:rsidRDefault="00520FC7" w:rsidP="00520F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claim for US$500/Month as rentals was withdrawn at the commencement of the trial after it was pointed out to the plaintiff that this claim was not legally tenable.</w:t>
      </w:r>
    </w:p>
    <w:p w14:paraId="104050B2" w14:textId="77777777" w:rsidR="00FF6D0E" w:rsidRPr="00CB5F4D" w:rsidRDefault="00FF6D0E" w:rsidP="00FF6D0E">
      <w:pPr>
        <w:spacing w:after="0" w:line="360" w:lineRule="auto"/>
        <w:ind w:firstLine="720"/>
        <w:jc w:val="both"/>
        <w:rPr>
          <w:rFonts w:ascii="Times New Roman" w:hAnsi="Times New Roman" w:cs="Times New Roman"/>
          <w:b/>
          <w:sz w:val="24"/>
          <w:szCs w:val="24"/>
        </w:rPr>
      </w:pPr>
      <w:r w:rsidRPr="00CB5F4D">
        <w:rPr>
          <w:rFonts w:ascii="Times New Roman" w:hAnsi="Times New Roman" w:cs="Times New Roman"/>
          <w:b/>
          <w:sz w:val="24"/>
          <w:szCs w:val="24"/>
        </w:rPr>
        <w:t>The evidence</w:t>
      </w:r>
    </w:p>
    <w:p w14:paraId="0E6483A0" w14:textId="5FA046F5" w:rsidR="00FF6D0E" w:rsidRDefault="00FF6D0E" w:rsidP="00FF6D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Two witnesses testified for the plaintiff’s case, namely the plaintiff himself and his former manager Simon Nsombi.  The defendant on the other hand led evidence from its current Administration Manager responsible for </w:t>
      </w:r>
      <w:r w:rsidR="00207ED6">
        <w:rPr>
          <w:rFonts w:ascii="Times New Roman" w:hAnsi="Times New Roman" w:cs="Times New Roman"/>
          <w:sz w:val="24"/>
          <w:szCs w:val="24"/>
        </w:rPr>
        <w:t>properties, Kudzanai</w:t>
      </w:r>
      <w:r>
        <w:rPr>
          <w:rFonts w:ascii="Times New Roman" w:hAnsi="Times New Roman" w:cs="Times New Roman"/>
          <w:sz w:val="24"/>
          <w:szCs w:val="24"/>
        </w:rPr>
        <w:t xml:space="preserve"> Purazeni.  What follows is a </w:t>
      </w:r>
      <w:r w:rsidR="00207ED6">
        <w:rPr>
          <w:rFonts w:ascii="Times New Roman" w:hAnsi="Times New Roman" w:cs="Times New Roman"/>
          <w:sz w:val="24"/>
          <w:szCs w:val="24"/>
        </w:rPr>
        <w:t>synopsis</w:t>
      </w:r>
      <w:r>
        <w:rPr>
          <w:rFonts w:ascii="Times New Roman" w:hAnsi="Times New Roman" w:cs="Times New Roman"/>
          <w:sz w:val="24"/>
          <w:szCs w:val="24"/>
        </w:rPr>
        <w:t xml:space="preserve"> of the evidence of each of the witnesses.</w:t>
      </w:r>
    </w:p>
    <w:p w14:paraId="519FE9E4" w14:textId="69F9D08B" w:rsidR="00DA3C15" w:rsidRDefault="00DA3C15" w:rsidP="00FF6D0E">
      <w:pPr>
        <w:spacing w:after="0" w:line="360" w:lineRule="auto"/>
        <w:ind w:firstLine="720"/>
        <w:jc w:val="both"/>
        <w:rPr>
          <w:rFonts w:ascii="Times New Roman" w:hAnsi="Times New Roman" w:cs="Times New Roman"/>
          <w:sz w:val="24"/>
          <w:szCs w:val="24"/>
        </w:rPr>
      </w:pPr>
    </w:p>
    <w:p w14:paraId="2FC25710" w14:textId="740708AD" w:rsidR="00DA3C15" w:rsidRPr="00CB5F4D" w:rsidRDefault="00DA3C15" w:rsidP="00FF6D0E">
      <w:pPr>
        <w:spacing w:after="0" w:line="360" w:lineRule="auto"/>
        <w:ind w:firstLine="720"/>
        <w:jc w:val="both"/>
        <w:rPr>
          <w:rFonts w:ascii="Times New Roman" w:hAnsi="Times New Roman" w:cs="Times New Roman"/>
          <w:b/>
          <w:sz w:val="24"/>
          <w:szCs w:val="24"/>
        </w:rPr>
      </w:pPr>
      <w:r w:rsidRPr="00CB5F4D">
        <w:rPr>
          <w:rFonts w:ascii="Times New Roman" w:hAnsi="Times New Roman" w:cs="Times New Roman"/>
          <w:b/>
          <w:sz w:val="24"/>
          <w:szCs w:val="24"/>
        </w:rPr>
        <w:t>The plaintiff’s Kainet Moyo</w:t>
      </w:r>
    </w:p>
    <w:p w14:paraId="4CE4D5F3" w14:textId="23AB0B28" w:rsidR="00DA3C15" w:rsidRDefault="00DA3C15" w:rsidP="00FF6D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thrust of </w:t>
      </w:r>
      <w:r w:rsidR="00DE0791">
        <w:rPr>
          <w:rFonts w:ascii="Times New Roman" w:hAnsi="Times New Roman" w:cs="Times New Roman"/>
          <w:sz w:val="24"/>
          <w:szCs w:val="24"/>
        </w:rPr>
        <w:t>his evidence</w:t>
      </w:r>
      <w:r>
        <w:rPr>
          <w:rFonts w:ascii="Times New Roman" w:hAnsi="Times New Roman" w:cs="Times New Roman"/>
          <w:sz w:val="24"/>
          <w:szCs w:val="24"/>
        </w:rPr>
        <w:t xml:space="preserve"> was that he was seeking to recover delictual damages from the defendant for its failure to demolish its structures from his stand.  It was his evidence that sometime in 2015 he received a phone call from the defendant suggesting that they enter into a swop agreement in respect of the two stands while simultaneously conceding having inconvenienced him by its (</w:t>
      </w:r>
      <w:r w:rsidR="00DE0791">
        <w:rPr>
          <w:rFonts w:ascii="Times New Roman" w:hAnsi="Times New Roman" w:cs="Times New Roman"/>
          <w:sz w:val="24"/>
          <w:szCs w:val="24"/>
        </w:rPr>
        <w:t>i.e.</w:t>
      </w:r>
      <w:r>
        <w:rPr>
          <w:rFonts w:ascii="Times New Roman" w:hAnsi="Times New Roman" w:cs="Times New Roman"/>
          <w:sz w:val="24"/>
          <w:szCs w:val="24"/>
        </w:rPr>
        <w:t>, defendant</w:t>
      </w:r>
      <w:r w:rsidR="00CB5F4D">
        <w:rPr>
          <w:rFonts w:ascii="Times New Roman" w:hAnsi="Times New Roman" w:cs="Times New Roman"/>
          <w:sz w:val="24"/>
          <w:szCs w:val="24"/>
        </w:rPr>
        <w:t>’</w:t>
      </w:r>
      <w:r>
        <w:rPr>
          <w:rFonts w:ascii="Times New Roman" w:hAnsi="Times New Roman" w:cs="Times New Roman"/>
          <w:sz w:val="24"/>
          <w:szCs w:val="24"/>
        </w:rPr>
        <w:t>s) failure to demolish</w:t>
      </w:r>
      <w:r w:rsidR="00814D4E">
        <w:rPr>
          <w:rFonts w:ascii="Times New Roman" w:hAnsi="Times New Roman" w:cs="Times New Roman"/>
          <w:sz w:val="24"/>
          <w:szCs w:val="24"/>
        </w:rPr>
        <w:t xml:space="preserve"> its structures on the plaintiffs stand.  According to him the person with whom he spoke intimated that the defendant was prepared to compensate </w:t>
      </w:r>
      <w:r w:rsidR="000832F8">
        <w:rPr>
          <w:rFonts w:ascii="Times New Roman" w:hAnsi="Times New Roman" w:cs="Times New Roman"/>
          <w:sz w:val="24"/>
          <w:szCs w:val="24"/>
        </w:rPr>
        <w:t xml:space="preserve">him </w:t>
      </w:r>
      <w:r w:rsidR="00814D4E">
        <w:rPr>
          <w:rFonts w:ascii="Times New Roman" w:hAnsi="Times New Roman" w:cs="Times New Roman"/>
          <w:sz w:val="24"/>
          <w:szCs w:val="24"/>
        </w:rPr>
        <w:t xml:space="preserve">for the delay </w:t>
      </w:r>
      <w:r w:rsidR="00DE0791">
        <w:rPr>
          <w:rFonts w:ascii="Times New Roman" w:hAnsi="Times New Roman" w:cs="Times New Roman"/>
          <w:sz w:val="24"/>
          <w:szCs w:val="24"/>
        </w:rPr>
        <w:t>in demolishing</w:t>
      </w:r>
      <w:r w:rsidR="00814D4E">
        <w:rPr>
          <w:rFonts w:ascii="Times New Roman" w:hAnsi="Times New Roman" w:cs="Times New Roman"/>
          <w:sz w:val="24"/>
          <w:szCs w:val="24"/>
        </w:rPr>
        <w:t xml:space="preserve"> its structures.</w:t>
      </w:r>
    </w:p>
    <w:p w14:paraId="43FBA65D" w14:textId="1D8B4D90" w:rsidR="00814D4E" w:rsidRDefault="00814D4E" w:rsidP="00FF6D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meeting was soon organised which was held in Mvuma in September 2015.  It was at that meeting that the mooted swoop agreement</w:t>
      </w:r>
      <w:r w:rsidR="00B637F2">
        <w:rPr>
          <w:rFonts w:ascii="Times New Roman" w:hAnsi="Times New Roman" w:cs="Times New Roman"/>
          <w:sz w:val="24"/>
          <w:szCs w:val="24"/>
        </w:rPr>
        <w:t xml:space="preserve"> was fashioned out.  According to him</w:t>
      </w:r>
      <w:r w:rsidR="000832F8">
        <w:rPr>
          <w:rFonts w:ascii="Times New Roman" w:hAnsi="Times New Roman" w:cs="Times New Roman"/>
          <w:sz w:val="24"/>
          <w:szCs w:val="24"/>
        </w:rPr>
        <w:t>,</w:t>
      </w:r>
      <w:r w:rsidR="00B637F2">
        <w:rPr>
          <w:rFonts w:ascii="Times New Roman" w:hAnsi="Times New Roman" w:cs="Times New Roman"/>
          <w:sz w:val="24"/>
          <w:szCs w:val="24"/>
        </w:rPr>
        <w:t xml:space="preserve"> the question of compensation was central to those discussions and after that deliberations it was agreed th</w:t>
      </w:r>
      <w:r w:rsidR="005A20E2">
        <w:rPr>
          <w:rFonts w:ascii="Times New Roman" w:hAnsi="Times New Roman" w:cs="Times New Roman"/>
          <w:sz w:val="24"/>
          <w:szCs w:val="24"/>
        </w:rPr>
        <w:t>at he be compensated in the sum US$14 000.  The agreement was then reduced to writing subject to the wording relating to compensation be</w:t>
      </w:r>
      <w:r w:rsidR="000832F8">
        <w:rPr>
          <w:rFonts w:ascii="Times New Roman" w:hAnsi="Times New Roman" w:cs="Times New Roman"/>
          <w:sz w:val="24"/>
          <w:szCs w:val="24"/>
        </w:rPr>
        <w:t>ing</w:t>
      </w:r>
      <w:r w:rsidR="005A20E2">
        <w:rPr>
          <w:rFonts w:ascii="Times New Roman" w:hAnsi="Times New Roman" w:cs="Times New Roman"/>
          <w:sz w:val="24"/>
          <w:szCs w:val="24"/>
        </w:rPr>
        <w:t xml:space="preserve"> </w:t>
      </w:r>
      <w:r w:rsidR="00DE0791">
        <w:rPr>
          <w:rFonts w:ascii="Times New Roman" w:hAnsi="Times New Roman" w:cs="Times New Roman"/>
          <w:sz w:val="24"/>
          <w:szCs w:val="24"/>
        </w:rPr>
        <w:t>w</w:t>
      </w:r>
      <w:r w:rsidR="000832F8">
        <w:rPr>
          <w:rFonts w:ascii="Times New Roman" w:hAnsi="Times New Roman" w:cs="Times New Roman"/>
          <w:sz w:val="24"/>
          <w:szCs w:val="24"/>
        </w:rPr>
        <w:t>o</w:t>
      </w:r>
      <w:r w:rsidR="00DE0791">
        <w:rPr>
          <w:rFonts w:ascii="Times New Roman" w:hAnsi="Times New Roman" w:cs="Times New Roman"/>
          <w:sz w:val="24"/>
          <w:szCs w:val="24"/>
        </w:rPr>
        <w:t>rded</w:t>
      </w:r>
      <w:r w:rsidR="005A20E2">
        <w:rPr>
          <w:rFonts w:ascii="Times New Roman" w:hAnsi="Times New Roman" w:cs="Times New Roman"/>
          <w:sz w:val="24"/>
          <w:szCs w:val="24"/>
        </w:rPr>
        <w:t xml:space="preserve"> differently to conceal the fact that it was in fact compensation.  The agreement was soon reduced to writing.</w:t>
      </w:r>
    </w:p>
    <w:p w14:paraId="6625CE47" w14:textId="495A0C53" w:rsidR="00B5266C" w:rsidRDefault="00B5266C" w:rsidP="00FF6D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it turned out, however, that was the last meaningful engagement he had with the defendant.  Some two years later, in 2017 a certain Mr Ncube, Acting CEO of the defendant acting on behalf of the defendant informed him that the swop agreement had fallen through because </w:t>
      </w:r>
      <w:r>
        <w:rPr>
          <w:rFonts w:ascii="Times New Roman" w:hAnsi="Times New Roman" w:cs="Times New Roman"/>
          <w:sz w:val="24"/>
          <w:szCs w:val="24"/>
        </w:rPr>
        <w:lastRenderedPageBreak/>
        <w:t>Masvingo City Council had refused to approve the swop agreement</w:t>
      </w:r>
      <w:r w:rsidR="000832F8">
        <w:rPr>
          <w:rFonts w:ascii="Times New Roman" w:hAnsi="Times New Roman" w:cs="Times New Roman"/>
          <w:sz w:val="24"/>
          <w:szCs w:val="24"/>
        </w:rPr>
        <w:t>.</w:t>
      </w:r>
      <w:r>
        <w:rPr>
          <w:rFonts w:ascii="Times New Roman" w:hAnsi="Times New Roman" w:cs="Times New Roman"/>
          <w:sz w:val="24"/>
          <w:szCs w:val="24"/>
        </w:rPr>
        <w:t xml:space="preserve"> </w:t>
      </w:r>
      <w:r w:rsidR="000832F8">
        <w:rPr>
          <w:rFonts w:ascii="Times New Roman" w:hAnsi="Times New Roman" w:cs="Times New Roman"/>
          <w:sz w:val="24"/>
          <w:szCs w:val="24"/>
        </w:rPr>
        <w:t>When</w:t>
      </w:r>
      <w:r>
        <w:rPr>
          <w:rFonts w:ascii="Times New Roman" w:hAnsi="Times New Roman" w:cs="Times New Roman"/>
          <w:sz w:val="24"/>
          <w:szCs w:val="24"/>
        </w:rPr>
        <w:t xml:space="preserve"> he </w:t>
      </w:r>
      <w:r w:rsidR="00DD6994">
        <w:rPr>
          <w:rFonts w:ascii="Times New Roman" w:hAnsi="Times New Roman" w:cs="Times New Roman"/>
          <w:sz w:val="24"/>
          <w:szCs w:val="24"/>
        </w:rPr>
        <w:t xml:space="preserve">inquired if this had been placed in writing, the answer was </w:t>
      </w:r>
      <w:r w:rsidR="000832F8">
        <w:rPr>
          <w:rFonts w:ascii="Times New Roman" w:hAnsi="Times New Roman" w:cs="Times New Roman"/>
          <w:sz w:val="24"/>
          <w:szCs w:val="24"/>
        </w:rPr>
        <w:t xml:space="preserve">in the </w:t>
      </w:r>
      <w:r w:rsidR="00DD6994">
        <w:rPr>
          <w:rFonts w:ascii="Times New Roman" w:hAnsi="Times New Roman" w:cs="Times New Roman"/>
          <w:sz w:val="24"/>
          <w:szCs w:val="24"/>
        </w:rPr>
        <w:t>negative.</w:t>
      </w:r>
    </w:p>
    <w:p w14:paraId="2C61A499" w14:textId="17BA4B81" w:rsidR="003460D0" w:rsidRDefault="003460D0" w:rsidP="00FF6D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His enquiries with Masvingo City Council however revealed the very opposite.  According to him</w:t>
      </w:r>
      <w:r w:rsidR="000832F8">
        <w:rPr>
          <w:rFonts w:ascii="Times New Roman" w:hAnsi="Times New Roman" w:cs="Times New Roman"/>
          <w:sz w:val="24"/>
          <w:szCs w:val="24"/>
        </w:rPr>
        <w:t>,</w:t>
      </w:r>
      <w:r>
        <w:rPr>
          <w:rFonts w:ascii="Times New Roman" w:hAnsi="Times New Roman" w:cs="Times New Roman"/>
          <w:sz w:val="24"/>
          <w:szCs w:val="24"/>
        </w:rPr>
        <w:t xml:space="preserve"> when he proceeded to the Council offices to make </w:t>
      </w:r>
      <w:r w:rsidR="000832F8">
        <w:rPr>
          <w:rFonts w:ascii="Times New Roman" w:hAnsi="Times New Roman" w:cs="Times New Roman"/>
          <w:sz w:val="24"/>
          <w:szCs w:val="24"/>
        </w:rPr>
        <w:t>inquiries,</w:t>
      </w:r>
      <w:r>
        <w:rPr>
          <w:rFonts w:ascii="Times New Roman" w:hAnsi="Times New Roman" w:cs="Times New Roman"/>
          <w:sz w:val="24"/>
          <w:szCs w:val="24"/>
        </w:rPr>
        <w:t xml:space="preserve"> he was informed council had no </w:t>
      </w:r>
      <w:r w:rsidR="000832F8">
        <w:rPr>
          <w:rFonts w:ascii="Times New Roman" w:hAnsi="Times New Roman" w:cs="Times New Roman"/>
          <w:sz w:val="24"/>
          <w:szCs w:val="24"/>
        </w:rPr>
        <w:t>quarrel</w:t>
      </w:r>
      <w:r>
        <w:rPr>
          <w:rFonts w:ascii="Times New Roman" w:hAnsi="Times New Roman" w:cs="Times New Roman"/>
          <w:sz w:val="24"/>
          <w:szCs w:val="24"/>
        </w:rPr>
        <w:t xml:space="preserve"> with the intended swop.  He then obtained written confirmation of that position.  Further he was alerted by an employee of the Council that the defendant had in fact submitted building plans and w</w:t>
      </w:r>
      <w:r w:rsidR="000832F8">
        <w:rPr>
          <w:rFonts w:ascii="Times New Roman" w:hAnsi="Times New Roman" w:cs="Times New Roman"/>
          <w:sz w:val="24"/>
          <w:szCs w:val="24"/>
        </w:rPr>
        <w:t>as</w:t>
      </w:r>
      <w:r>
        <w:rPr>
          <w:rFonts w:ascii="Times New Roman" w:hAnsi="Times New Roman" w:cs="Times New Roman"/>
          <w:sz w:val="24"/>
          <w:szCs w:val="24"/>
        </w:rPr>
        <w:t xml:space="preserve"> already constructing a Service Station on its stand.  When he </w:t>
      </w:r>
      <w:r w:rsidR="00207ED6">
        <w:rPr>
          <w:rFonts w:ascii="Times New Roman" w:hAnsi="Times New Roman" w:cs="Times New Roman"/>
          <w:sz w:val="24"/>
          <w:szCs w:val="24"/>
        </w:rPr>
        <w:t>proceeded</w:t>
      </w:r>
      <w:r>
        <w:rPr>
          <w:rFonts w:ascii="Times New Roman" w:hAnsi="Times New Roman" w:cs="Times New Roman"/>
          <w:sz w:val="24"/>
          <w:szCs w:val="24"/>
        </w:rPr>
        <w:t xml:space="preserve"> to the stand he confirmed this to be the case.</w:t>
      </w:r>
    </w:p>
    <w:p w14:paraId="707F3F9F" w14:textId="341128AE" w:rsidR="003C56D1" w:rsidRDefault="003460D0" w:rsidP="00FF6D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he proceeded to his own </w:t>
      </w:r>
      <w:r w:rsidR="000832F8">
        <w:rPr>
          <w:rFonts w:ascii="Times New Roman" w:hAnsi="Times New Roman" w:cs="Times New Roman"/>
          <w:sz w:val="24"/>
          <w:szCs w:val="24"/>
        </w:rPr>
        <w:t>stand,</w:t>
      </w:r>
      <w:r>
        <w:rPr>
          <w:rFonts w:ascii="Times New Roman" w:hAnsi="Times New Roman" w:cs="Times New Roman"/>
          <w:sz w:val="24"/>
          <w:szCs w:val="24"/>
        </w:rPr>
        <w:t xml:space="preserve"> he was disappointed to find the defendant’s equipment and paraphernalia stre</w:t>
      </w:r>
      <w:r w:rsidR="000832F8">
        <w:rPr>
          <w:rFonts w:ascii="Times New Roman" w:hAnsi="Times New Roman" w:cs="Times New Roman"/>
          <w:sz w:val="24"/>
          <w:szCs w:val="24"/>
        </w:rPr>
        <w:t>wn</w:t>
      </w:r>
      <w:r>
        <w:rPr>
          <w:rFonts w:ascii="Times New Roman" w:hAnsi="Times New Roman" w:cs="Times New Roman"/>
          <w:sz w:val="24"/>
          <w:szCs w:val="24"/>
        </w:rPr>
        <w:t xml:space="preserve"> across his stand.  It was a</w:t>
      </w:r>
      <w:r w:rsidR="000832F8">
        <w:rPr>
          <w:rFonts w:ascii="Times New Roman" w:hAnsi="Times New Roman" w:cs="Times New Roman"/>
          <w:sz w:val="24"/>
          <w:szCs w:val="24"/>
        </w:rPr>
        <w:t>t</w:t>
      </w:r>
      <w:r>
        <w:rPr>
          <w:rFonts w:ascii="Times New Roman" w:hAnsi="Times New Roman" w:cs="Times New Roman"/>
          <w:sz w:val="24"/>
          <w:szCs w:val="24"/>
        </w:rPr>
        <w:t xml:space="preserve"> that stage that he realised that the defendant had reneged on </w:t>
      </w:r>
      <w:r w:rsidR="000832F8">
        <w:rPr>
          <w:rFonts w:ascii="Times New Roman" w:hAnsi="Times New Roman" w:cs="Times New Roman"/>
          <w:sz w:val="24"/>
          <w:szCs w:val="24"/>
        </w:rPr>
        <w:t xml:space="preserve">the </w:t>
      </w:r>
      <w:r>
        <w:rPr>
          <w:rFonts w:ascii="Times New Roman" w:hAnsi="Times New Roman" w:cs="Times New Roman"/>
          <w:sz w:val="24"/>
          <w:szCs w:val="24"/>
        </w:rPr>
        <w:t>swop agreement.</w:t>
      </w:r>
      <w:r w:rsidR="00723096">
        <w:rPr>
          <w:rFonts w:ascii="Times New Roman" w:hAnsi="Times New Roman" w:cs="Times New Roman"/>
          <w:sz w:val="24"/>
          <w:szCs w:val="24"/>
        </w:rPr>
        <w:t xml:space="preserve"> </w:t>
      </w:r>
      <w:r w:rsidR="000832F8">
        <w:rPr>
          <w:rFonts w:ascii="Times New Roman" w:hAnsi="Times New Roman" w:cs="Times New Roman"/>
          <w:sz w:val="24"/>
          <w:szCs w:val="24"/>
        </w:rPr>
        <w:t>T</w:t>
      </w:r>
      <w:r w:rsidR="00207ED6">
        <w:rPr>
          <w:rFonts w:ascii="Times New Roman" w:hAnsi="Times New Roman" w:cs="Times New Roman"/>
          <w:sz w:val="24"/>
          <w:szCs w:val="24"/>
        </w:rPr>
        <w:t>hrough</w:t>
      </w:r>
      <w:r w:rsidR="003C56D1">
        <w:rPr>
          <w:rFonts w:ascii="Times New Roman" w:hAnsi="Times New Roman" w:cs="Times New Roman"/>
          <w:sz w:val="24"/>
          <w:szCs w:val="24"/>
        </w:rPr>
        <w:t xml:space="preserve"> his legal practitioners Chigariro and Partners </w:t>
      </w:r>
      <w:r w:rsidR="000832F8">
        <w:rPr>
          <w:rFonts w:ascii="Times New Roman" w:hAnsi="Times New Roman" w:cs="Times New Roman"/>
          <w:sz w:val="24"/>
          <w:szCs w:val="24"/>
        </w:rPr>
        <w:t xml:space="preserve">he then </w:t>
      </w:r>
      <w:r w:rsidR="003C56D1">
        <w:rPr>
          <w:rFonts w:ascii="Times New Roman" w:hAnsi="Times New Roman" w:cs="Times New Roman"/>
          <w:sz w:val="24"/>
          <w:szCs w:val="24"/>
        </w:rPr>
        <w:t xml:space="preserve">wrote </w:t>
      </w:r>
      <w:r w:rsidR="000832F8">
        <w:rPr>
          <w:rFonts w:ascii="Times New Roman" w:hAnsi="Times New Roman" w:cs="Times New Roman"/>
          <w:sz w:val="24"/>
          <w:szCs w:val="24"/>
        </w:rPr>
        <w:t xml:space="preserve">a </w:t>
      </w:r>
      <w:r w:rsidR="003C56D1">
        <w:rPr>
          <w:rFonts w:ascii="Times New Roman" w:hAnsi="Times New Roman" w:cs="Times New Roman"/>
          <w:sz w:val="24"/>
          <w:szCs w:val="24"/>
        </w:rPr>
        <w:t>letter of demand to the defendant.  The letter is dated 17 September 2018.  It</w:t>
      </w:r>
      <w:r w:rsidR="001202BA">
        <w:rPr>
          <w:rFonts w:ascii="Times New Roman" w:hAnsi="Times New Roman" w:cs="Times New Roman"/>
          <w:sz w:val="24"/>
          <w:szCs w:val="24"/>
        </w:rPr>
        <w:t xml:space="preserve"> not only pointed out that the excuse for repudiating the contract was a mere façade as the council never turned it down but also</w:t>
      </w:r>
      <w:r w:rsidR="003C56D1">
        <w:rPr>
          <w:rFonts w:ascii="Times New Roman" w:hAnsi="Times New Roman" w:cs="Times New Roman"/>
          <w:sz w:val="24"/>
          <w:szCs w:val="24"/>
        </w:rPr>
        <w:t xml:space="preserve"> called upon the defendant</w:t>
      </w:r>
      <w:r w:rsidR="001202BA">
        <w:rPr>
          <w:rFonts w:ascii="Times New Roman" w:hAnsi="Times New Roman" w:cs="Times New Roman"/>
          <w:sz w:val="24"/>
          <w:szCs w:val="24"/>
        </w:rPr>
        <w:t xml:space="preserve"> to honour its side of the bargain in implementing the terms of the swap agreement or brace itself for litigation and its attendant consequences. </w:t>
      </w:r>
    </w:p>
    <w:p w14:paraId="11525821" w14:textId="4D9CA56A" w:rsidR="00010957" w:rsidRDefault="00010957" w:rsidP="00FF6D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Similar overtures by the plaintiff through his legal practitioners for a pacific resolution of the impasse one of which was for a round-table discussion in Zvishavane bore no fruit. </w:t>
      </w:r>
    </w:p>
    <w:p w14:paraId="2F33199A" w14:textId="3B663EC0" w:rsidR="003C56D1" w:rsidRDefault="00010957" w:rsidP="00FF6D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Frustrated by the stalemate</w:t>
      </w:r>
      <w:r w:rsidR="003C56D1">
        <w:rPr>
          <w:rFonts w:ascii="Times New Roman" w:hAnsi="Times New Roman" w:cs="Times New Roman"/>
          <w:sz w:val="24"/>
          <w:szCs w:val="24"/>
        </w:rPr>
        <w:t xml:space="preserve"> he wrote a letter of demand on 20 February 2020 asking defendant to remove its fixtures from his stand</w:t>
      </w:r>
      <w:r>
        <w:rPr>
          <w:rFonts w:ascii="Times New Roman" w:hAnsi="Times New Roman" w:cs="Times New Roman"/>
          <w:sz w:val="24"/>
          <w:szCs w:val="24"/>
        </w:rPr>
        <w:t>. According to him that</w:t>
      </w:r>
      <w:r w:rsidR="003C56D1">
        <w:rPr>
          <w:rFonts w:ascii="Times New Roman" w:hAnsi="Times New Roman" w:cs="Times New Roman"/>
          <w:sz w:val="24"/>
          <w:szCs w:val="24"/>
        </w:rPr>
        <w:t xml:space="preserve"> letter was ignored leaving him with no option but to institute proceedings against it by issuing summons.  According to the plaintiff upon receipt of summons the defendant surreptineously removed its structures which according to him was a case of too little, too late.</w:t>
      </w:r>
    </w:p>
    <w:p w14:paraId="585CCD21" w14:textId="75CE7800" w:rsidR="0034465F" w:rsidRDefault="003C56D1" w:rsidP="00FF6D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far as the question of the justification for the award of damages is </w:t>
      </w:r>
      <w:r w:rsidR="00010957">
        <w:rPr>
          <w:rFonts w:ascii="Times New Roman" w:hAnsi="Times New Roman" w:cs="Times New Roman"/>
          <w:sz w:val="24"/>
          <w:szCs w:val="24"/>
        </w:rPr>
        <w:t>concerned</w:t>
      </w:r>
      <w:r>
        <w:rPr>
          <w:rFonts w:ascii="Times New Roman" w:hAnsi="Times New Roman" w:cs="Times New Roman"/>
          <w:sz w:val="24"/>
          <w:szCs w:val="24"/>
        </w:rPr>
        <w:t xml:space="preserve">, it was his evidence that although he suffered </w:t>
      </w:r>
      <w:r w:rsidR="00207ED6">
        <w:rPr>
          <w:rFonts w:ascii="Times New Roman" w:hAnsi="Times New Roman" w:cs="Times New Roman"/>
          <w:sz w:val="24"/>
          <w:szCs w:val="24"/>
        </w:rPr>
        <w:t>enormously</w:t>
      </w:r>
      <w:r>
        <w:rPr>
          <w:rFonts w:ascii="Times New Roman" w:hAnsi="Times New Roman" w:cs="Times New Roman"/>
          <w:sz w:val="24"/>
          <w:szCs w:val="24"/>
        </w:rPr>
        <w:t xml:space="preserve"> on account of the failure by the defendant to timeously remove its structures from his stand, he was restricting himself to a claim of only US$10 000</w:t>
      </w:r>
      <w:r w:rsidR="0034465F">
        <w:rPr>
          <w:rFonts w:ascii="Times New Roman" w:hAnsi="Times New Roman" w:cs="Times New Roman"/>
          <w:sz w:val="24"/>
          <w:szCs w:val="24"/>
        </w:rPr>
        <w:t>.</w:t>
      </w:r>
    </w:p>
    <w:p w14:paraId="75CAB2DA" w14:textId="7787D4CC" w:rsidR="005F5862" w:rsidRDefault="005F5862" w:rsidP="00FF6D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testified that the said amount covered legal costs </w:t>
      </w:r>
      <w:r w:rsidR="00010957">
        <w:rPr>
          <w:rFonts w:ascii="Times New Roman" w:hAnsi="Times New Roman" w:cs="Times New Roman"/>
          <w:sz w:val="24"/>
          <w:szCs w:val="24"/>
        </w:rPr>
        <w:t>incurred,</w:t>
      </w:r>
      <w:r>
        <w:rPr>
          <w:rFonts w:ascii="Times New Roman" w:hAnsi="Times New Roman" w:cs="Times New Roman"/>
          <w:sz w:val="24"/>
          <w:szCs w:val="24"/>
        </w:rPr>
        <w:t xml:space="preserve"> his travel expenses to and from South Africa and what he termed </w:t>
      </w:r>
      <w:r w:rsidRPr="00010957">
        <w:rPr>
          <w:rFonts w:ascii="Times New Roman" w:hAnsi="Times New Roman" w:cs="Times New Roman"/>
          <w:i/>
          <w:iCs/>
          <w:sz w:val="24"/>
          <w:szCs w:val="24"/>
        </w:rPr>
        <w:t>opportunity cost</w:t>
      </w:r>
      <w:r>
        <w:rPr>
          <w:rFonts w:ascii="Times New Roman" w:hAnsi="Times New Roman" w:cs="Times New Roman"/>
          <w:sz w:val="24"/>
          <w:szCs w:val="24"/>
        </w:rPr>
        <w:t>.  In a word he indicated that the</w:t>
      </w:r>
      <w:r w:rsidR="00010957">
        <w:rPr>
          <w:rFonts w:ascii="Times New Roman" w:hAnsi="Times New Roman" w:cs="Times New Roman"/>
          <w:sz w:val="24"/>
          <w:szCs w:val="24"/>
        </w:rPr>
        <w:t xml:space="preserve"> intended</w:t>
      </w:r>
      <w:r>
        <w:rPr>
          <w:rFonts w:ascii="Times New Roman" w:hAnsi="Times New Roman" w:cs="Times New Roman"/>
          <w:sz w:val="24"/>
          <w:szCs w:val="24"/>
        </w:rPr>
        <w:t xml:space="preserve"> project on his stand stalled on account of failure by the default out to timeously remove its </w:t>
      </w:r>
      <w:r>
        <w:rPr>
          <w:rFonts w:ascii="Times New Roman" w:hAnsi="Times New Roman" w:cs="Times New Roman"/>
          <w:sz w:val="24"/>
          <w:szCs w:val="24"/>
        </w:rPr>
        <w:lastRenderedPageBreak/>
        <w:t xml:space="preserve">structures.  In </w:t>
      </w:r>
      <w:r w:rsidR="00207ED6">
        <w:rPr>
          <w:rFonts w:ascii="Times New Roman" w:hAnsi="Times New Roman" w:cs="Times New Roman"/>
          <w:sz w:val="24"/>
          <w:szCs w:val="24"/>
        </w:rPr>
        <w:t>particular,</w:t>
      </w:r>
      <w:r>
        <w:rPr>
          <w:rFonts w:ascii="Times New Roman" w:hAnsi="Times New Roman" w:cs="Times New Roman"/>
          <w:sz w:val="24"/>
          <w:szCs w:val="24"/>
        </w:rPr>
        <w:t xml:space="preserve"> he referred to an opportunity to partner SASOL of South Africa in a proposed joint business venture which fell though.  To compound matters, he had to meet costs for the </w:t>
      </w:r>
      <w:r w:rsidR="00207ED6">
        <w:rPr>
          <w:rFonts w:ascii="Times New Roman" w:hAnsi="Times New Roman" w:cs="Times New Roman"/>
          <w:sz w:val="24"/>
          <w:szCs w:val="24"/>
        </w:rPr>
        <w:t>contingent</w:t>
      </w:r>
      <w:r>
        <w:rPr>
          <w:rFonts w:ascii="Times New Roman" w:hAnsi="Times New Roman" w:cs="Times New Roman"/>
          <w:sz w:val="24"/>
          <w:szCs w:val="24"/>
        </w:rPr>
        <w:t xml:space="preserve"> from SASOL’s travel and accommodation on other related expenses when they travelled from South Africa.</w:t>
      </w:r>
    </w:p>
    <w:p w14:paraId="4583D77E" w14:textId="375FF4B7" w:rsidR="003767C4" w:rsidRDefault="005F5862" w:rsidP="00FF6D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More importantly however, he indicated that had his partnership with SASOL taken off his financial fortunes would have risen exponentially.  He projected that by now he would have </w:t>
      </w:r>
      <w:r w:rsidR="00D65EC9">
        <w:rPr>
          <w:rFonts w:ascii="Times New Roman" w:hAnsi="Times New Roman" w:cs="Times New Roman"/>
          <w:sz w:val="24"/>
          <w:szCs w:val="24"/>
        </w:rPr>
        <w:t xml:space="preserve">constructed about </w:t>
      </w:r>
      <w:r w:rsidR="007523E3">
        <w:rPr>
          <w:rFonts w:ascii="Times New Roman" w:hAnsi="Times New Roman" w:cs="Times New Roman"/>
          <w:sz w:val="24"/>
          <w:szCs w:val="24"/>
        </w:rPr>
        <w:t>three</w:t>
      </w:r>
      <w:r w:rsidR="00D65EC9">
        <w:rPr>
          <w:rFonts w:ascii="Times New Roman" w:hAnsi="Times New Roman" w:cs="Times New Roman"/>
          <w:sz w:val="24"/>
          <w:szCs w:val="24"/>
        </w:rPr>
        <w:t xml:space="preserve"> service stations from the profits realised from the stalled project.</w:t>
      </w:r>
    </w:p>
    <w:p w14:paraId="7F59C37F" w14:textId="7208E5A9" w:rsidR="00627F8D" w:rsidRDefault="003767C4" w:rsidP="00FF6D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categorically denied that when he purchased the stand in question he was aware that there were defendant’s structures erected on it.  He </w:t>
      </w:r>
      <w:r w:rsidR="007523E3">
        <w:rPr>
          <w:rFonts w:ascii="Times New Roman" w:hAnsi="Times New Roman" w:cs="Times New Roman"/>
          <w:sz w:val="24"/>
          <w:szCs w:val="24"/>
        </w:rPr>
        <w:t>clarified this</w:t>
      </w:r>
      <w:r>
        <w:rPr>
          <w:rFonts w:ascii="Times New Roman" w:hAnsi="Times New Roman" w:cs="Times New Roman"/>
          <w:sz w:val="24"/>
          <w:szCs w:val="24"/>
        </w:rPr>
        <w:t xml:space="preserve"> by stating that when council re-surveyed the area and came up with new stand numbers and was allocated Stand No. 27810 and when the city Council pointed out the stand in question</w:t>
      </w:r>
      <w:r w:rsidR="007523E3">
        <w:rPr>
          <w:rFonts w:ascii="Times New Roman" w:hAnsi="Times New Roman" w:cs="Times New Roman"/>
          <w:sz w:val="24"/>
          <w:szCs w:val="24"/>
        </w:rPr>
        <w:t>,</w:t>
      </w:r>
      <w:r>
        <w:rPr>
          <w:rFonts w:ascii="Times New Roman" w:hAnsi="Times New Roman" w:cs="Times New Roman"/>
          <w:sz w:val="24"/>
          <w:szCs w:val="24"/>
        </w:rPr>
        <w:t xml:space="preserve"> that is when he realised that on it were structures erected by the defendant.  He also dismissed assertions that City Council had not </w:t>
      </w:r>
      <w:r w:rsidR="00627F8D">
        <w:rPr>
          <w:rFonts w:ascii="Times New Roman" w:hAnsi="Times New Roman" w:cs="Times New Roman"/>
          <w:sz w:val="24"/>
          <w:szCs w:val="24"/>
        </w:rPr>
        <w:t>approved the swop agreement.</w:t>
      </w:r>
    </w:p>
    <w:p w14:paraId="6A359521" w14:textId="277AA0CC" w:rsidR="00627F8D" w:rsidRDefault="00627F8D" w:rsidP="00FF6D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Under cross examination he classified that he had approached</w:t>
      </w:r>
      <w:r w:rsidR="007523E3">
        <w:rPr>
          <w:rFonts w:ascii="Times New Roman" w:hAnsi="Times New Roman" w:cs="Times New Roman"/>
          <w:sz w:val="24"/>
          <w:szCs w:val="24"/>
        </w:rPr>
        <w:t xml:space="preserve"> SASOL</w:t>
      </w:r>
      <w:r>
        <w:rPr>
          <w:rFonts w:ascii="Times New Roman" w:hAnsi="Times New Roman" w:cs="Times New Roman"/>
          <w:sz w:val="24"/>
          <w:szCs w:val="24"/>
        </w:rPr>
        <w:t xml:space="preserve"> sometime in 2004 and that he was shown the stand in question in 2005.  He would concede there</w:t>
      </w:r>
      <w:r w:rsidR="007523E3">
        <w:rPr>
          <w:rFonts w:ascii="Times New Roman" w:hAnsi="Times New Roman" w:cs="Times New Roman"/>
          <w:sz w:val="24"/>
          <w:szCs w:val="24"/>
        </w:rPr>
        <w:t>fore</w:t>
      </w:r>
      <w:r>
        <w:rPr>
          <w:rFonts w:ascii="Times New Roman" w:hAnsi="Times New Roman" w:cs="Times New Roman"/>
          <w:sz w:val="24"/>
          <w:szCs w:val="24"/>
        </w:rPr>
        <w:t xml:space="preserve"> that when </w:t>
      </w:r>
      <w:r w:rsidR="007523E3">
        <w:rPr>
          <w:rFonts w:ascii="Times New Roman" w:hAnsi="Times New Roman" w:cs="Times New Roman"/>
          <w:sz w:val="24"/>
          <w:szCs w:val="24"/>
        </w:rPr>
        <w:t xml:space="preserve">the </w:t>
      </w:r>
      <w:r>
        <w:rPr>
          <w:rFonts w:ascii="Times New Roman" w:hAnsi="Times New Roman" w:cs="Times New Roman"/>
          <w:sz w:val="24"/>
          <w:szCs w:val="24"/>
        </w:rPr>
        <w:t>SASOL delegation came to Zimbabwe in 2004</w:t>
      </w:r>
      <w:r w:rsidR="007523E3">
        <w:rPr>
          <w:rFonts w:ascii="Times New Roman" w:hAnsi="Times New Roman" w:cs="Times New Roman"/>
          <w:sz w:val="24"/>
          <w:szCs w:val="24"/>
        </w:rPr>
        <w:t>,</w:t>
      </w:r>
      <w:r>
        <w:rPr>
          <w:rFonts w:ascii="Times New Roman" w:hAnsi="Times New Roman" w:cs="Times New Roman"/>
          <w:sz w:val="24"/>
          <w:szCs w:val="24"/>
        </w:rPr>
        <w:t xml:space="preserve"> he had not yet been shown the stand by council and further that the expenses </w:t>
      </w:r>
      <w:r w:rsidR="007523E3">
        <w:rPr>
          <w:rFonts w:ascii="Times New Roman" w:hAnsi="Times New Roman" w:cs="Times New Roman"/>
          <w:sz w:val="24"/>
          <w:szCs w:val="24"/>
        </w:rPr>
        <w:t>incur</w:t>
      </w:r>
      <w:r w:rsidR="00207ED6">
        <w:rPr>
          <w:rFonts w:ascii="Times New Roman" w:hAnsi="Times New Roman" w:cs="Times New Roman"/>
          <w:sz w:val="24"/>
          <w:szCs w:val="24"/>
        </w:rPr>
        <w:t>red</w:t>
      </w:r>
      <w:r>
        <w:rPr>
          <w:rFonts w:ascii="Times New Roman" w:hAnsi="Times New Roman" w:cs="Times New Roman"/>
          <w:sz w:val="24"/>
          <w:szCs w:val="24"/>
        </w:rPr>
        <w:t xml:space="preserve"> by that delegation were unrelated to the stand.</w:t>
      </w:r>
    </w:p>
    <w:p w14:paraId="53E7985B" w14:textId="26778AC0" w:rsidR="003460D0" w:rsidRDefault="00627F8D" w:rsidP="00FF6D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would also reiterate under cross examination that he only discovered that the defendant had removed its structures around November 2020 some 30</w:t>
      </w:r>
      <w:r w:rsidR="007523E3">
        <w:rPr>
          <w:rFonts w:ascii="Times New Roman" w:hAnsi="Times New Roman" w:cs="Times New Roman"/>
          <w:sz w:val="24"/>
          <w:szCs w:val="24"/>
        </w:rPr>
        <w:t xml:space="preserve"> </w:t>
      </w:r>
      <w:r>
        <w:rPr>
          <w:rFonts w:ascii="Times New Roman" w:hAnsi="Times New Roman" w:cs="Times New Roman"/>
          <w:sz w:val="24"/>
          <w:szCs w:val="24"/>
        </w:rPr>
        <w:t>days after the issuance of the summons.</w:t>
      </w:r>
      <w:r w:rsidR="003460D0">
        <w:rPr>
          <w:rFonts w:ascii="Times New Roman" w:hAnsi="Times New Roman" w:cs="Times New Roman"/>
          <w:sz w:val="24"/>
          <w:szCs w:val="24"/>
        </w:rPr>
        <w:t xml:space="preserve"> </w:t>
      </w:r>
    </w:p>
    <w:p w14:paraId="2E5C581F" w14:textId="7B5E263F" w:rsidR="00047CF9" w:rsidRDefault="00047CF9" w:rsidP="00FF6D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would further admit under cross examination that initially there appeared to be a genuine desire on the part of the defendant to enter into the swop agreement.  </w:t>
      </w:r>
      <w:r w:rsidR="00422CA2">
        <w:rPr>
          <w:rFonts w:ascii="Times New Roman" w:hAnsi="Times New Roman" w:cs="Times New Roman"/>
          <w:sz w:val="24"/>
          <w:szCs w:val="24"/>
        </w:rPr>
        <w:t>However,</w:t>
      </w:r>
      <w:r>
        <w:rPr>
          <w:rFonts w:ascii="Times New Roman" w:hAnsi="Times New Roman" w:cs="Times New Roman"/>
          <w:sz w:val="24"/>
          <w:szCs w:val="24"/>
        </w:rPr>
        <w:t xml:space="preserve"> it was not until 2018 that he realised that this agreement was not going to see the light of day.  He admitted that his letter of demand for the removal of the structures was only written in 2020.</w:t>
      </w:r>
    </w:p>
    <w:p w14:paraId="4686B83C" w14:textId="5312BD04" w:rsidR="00047CF9" w:rsidRDefault="00047CF9" w:rsidP="00FF6D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would however insist that his loss/damages should be backdated </w:t>
      </w:r>
      <w:r w:rsidR="00B85D91">
        <w:rPr>
          <w:rFonts w:ascii="Times New Roman" w:hAnsi="Times New Roman" w:cs="Times New Roman"/>
          <w:sz w:val="24"/>
          <w:szCs w:val="24"/>
        </w:rPr>
        <w:t xml:space="preserve">to 2005 when the repegging was </w:t>
      </w:r>
      <w:r>
        <w:rPr>
          <w:rFonts w:ascii="Times New Roman" w:hAnsi="Times New Roman" w:cs="Times New Roman"/>
          <w:sz w:val="24"/>
          <w:szCs w:val="24"/>
        </w:rPr>
        <w:t>done and when the stand was granted out to him by council.</w:t>
      </w:r>
    </w:p>
    <w:p w14:paraId="226CC92E" w14:textId="42DA7965" w:rsidR="001059D2" w:rsidRDefault="001059D2" w:rsidP="00FF6D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categorically dispute</w:t>
      </w:r>
      <w:r w:rsidR="007523E3">
        <w:rPr>
          <w:rFonts w:ascii="Times New Roman" w:hAnsi="Times New Roman" w:cs="Times New Roman"/>
          <w:sz w:val="24"/>
          <w:szCs w:val="24"/>
        </w:rPr>
        <w:t>d</w:t>
      </w:r>
      <w:r>
        <w:rPr>
          <w:rFonts w:ascii="Times New Roman" w:hAnsi="Times New Roman" w:cs="Times New Roman"/>
          <w:sz w:val="24"/>
          <w:szCs w:val="24"/>
        </w:rPr>
        <w:t xml:space="preserve"> assertions put to him </w:t>
      </w:r>
      <w:r w:rsidR="007523E3">
        <w:rPr>
          <w:rFonts w:ascii="Times New Roman" w:hAnsi="Times New Roman" w:cs="Times New Roman"/>
          <w:sz w:val="24"/>
          <w:szCs w:val="24"/>
        </w:rPr>
        <w:t>i</w:t>
      </w:r>
      <w:r>
        <w:rPr>
          <w:rFonts w:ascii="Times New Roman" w:hAnsi="Times New Roman" w:cs="Times New Roman"/>
          <w:sz w:val="24"/>
          <w:szCs w:val="24"/>
        </w:rPr>
        <w:t>n cross-examination that his claim for loss of business was legally un</w:t>
      </w:r>
      <w:r w:rsidR="00B85D91">
        <w:rPr>
          <w:rFonts w:ascii="Times New Roman" w:hAnsi="Times New Roman" w:cs="Times New Roman"/>
          <w:sz w:val="24"/>
          <w:szCs w:val="24"/>
        </w:rPr>
        <w:t>tenable.  He admitted though that between 2020</w:t>
      </w:r>
      <w:r w:rsidR="007523E3">
        <w:rPr>
          <w:rFonts w:ascii="Times New Roman" w:hAnsi="Times New Roman" w:cs="Times New Roman"/>
          <w:sz w:val="24"/>
          <w:szCs w:val="24"/>
        </w:rPr>
        <w:t xml:space="preserve"> and now</w:t>
      </w:r>
      <w:r w:rsidR="00B85D91">
        <w:rPr>
          <w:rFonts w:ascii="Times New Roman" w:hAnsi="Times New Roman" w:cs="Times New Roman"/>
          <w:sz w:val="24"/>
          <w:szCs w:val="24"/>
        </w:rPr>
        <w:t xml:space="preserve"> he has been unable to construct anything on the stand and further that he has not provided evidence of the income that he would otherwise have derived but for the alleged conduct of the defendant</w:t>
      </w:r>
    </w:p>
    <w:p w14:paraId="33983CC0" w14:textId="7B4D8DF2" w:rsidR="00BE4127" w:rsidRDefault="00BE4127" w:rsidP="00FF6D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He would however point out under cross-examination that although he did not have written memoranda </w:t>
      </w:r>
      <w:r w:rsidR="007523E3">
        <w:rPr>
          <w:rFonts w:ascii="Times New Roman" w:hAnsi="Times New Roman" w:cs="Times New Roman"/>
          <w:sz w:val="24"/>
          <w:szCs w:val="24"/>
        </w:rPr>
        <w:t>i</w:t>
      </w:r>
      <w:r>
        <w:rPr>
          <w:rFonts w:ascii="Times New Roman" w:hAnsi="Times New Roman" w:cs="Times New Roman"/>
          <w:sz w:val="24"/>
          <w:szCs w:val="24"/>
        </w:rPr>
        <w:t>n the f</w:t>
      </w:r>
      <w:r w:rsidR="007523E3">
        <w:rPr>
          <w:rFonts w:ascii="Times New Roman" w:hAnsi="Times New Roman" w:cs="Times New Roman"/>
          <w:sz w:val="24"/>
          <w:szCs w:val="24"/>
        </w:rPr>
        <w:t>o</w:t>
      </w:r>
      <w:r>
        <w:rPr>
          <w:rFonts w:ascii="Times New Roman" w:hAnsi="Times New Roman" w:cs="Times New Roman"/>
          <w:sz w:val="24"/>
          <w:szCs w:val="24"/>
        </w:rPr>
        <w:t xml:space="preserve">rm of business proposals </w:t>
      </w:r>
      <w:r w:rsidR="00422CA2">
        <w:rPr>
          <w:rFonts w:ascii="Times New Roman" w:hAnsi="Times New Roman" w:cs="Times New Roman"/>
          <w:sz w:val="24"/>
          <w:szCs w:val="24"/>
        </w:rPr>
        <w:t>etc.</w:t>
      </w:r>
      <w:r>
        <w:rPr>
          <w:rFonts w:ascii="Times New Roman" w:hAnsi="Times New Roman" w:cs="Times New Roman"/>
          <w:sz w:val="24"/>
          <w:szCs w:val="24"/>
        </w:rPr>
        <w:t xml:space="preserve"> confirming the existence of potential business partners, this did not </w:t>
      </w:r>
      <w:r w:rsidR="00422CA2">
        <w:rPr>
          <w:rFonts w:ascii="Times New Roman" w:hAnsi="Times New Roman" w:cs="Times New Roman"/>
          <w:sz w:val="24"/>
          <w:szCs w:val="24"/>
        </w:rPr>
        <w:t>distract</w:t>
      </w:r>
      <w:r>
        <w:rPr>
          <w:rFonts w:ascii="Times New Roman" w:hAnsi="Times New Roman" w:cs="Times New Roman"/>
          <w:sz w:val="24"/>
          <w:szCs w:val="24"/>
        </w:rPr>
        <w:t xml:space="preserve"> from the fact that he </w:t>
      </w:r>
      <w:r w:rsidR="00422CA2">
        <w:rPr>
          <w:rFonts w:ascii="Times New Roman" w:hAnsi="Times New Roman" w:cs="Times New Roman"/>
          <w:sz w:val="24"/>
          <w:szCs w:val="24"/>
        </w:rPr>
        <w:t>lost</w:t>
      </w:r>
      <w:r>
        <w:rPr>
          <w:rFonts w:ascii="Times New Roman" w:hAnsi="Times New Roman" w:cs="Times New Roman"/>
          <w:sz w:val="24"/>
          <w:szCs w:val="24"/>
        </w:rPr>
        <w:t xml:space="preserve"> out on such business partnerships and related business opportunities.</w:t>
      </w:r>
    </w:p>
    <w:p w14:paraId="343406AB" w14:textId="0EFD045A" w:rsidR="00BE4127" w:rsidRDefault="00BE4127" w:rsidP="00FF6D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During re-examination he pointed out that SASOL would have partnered him had defendant demolished its structures.</w:t>
      </w:r>
    </w:p>
    <w:p w14:paraId="476EA751" w14:textId="7C272E3C" w:rsidR="00BE4127" w:rsidRPr="007523E3" w:rsidRDefault="00BE4127" w:rsidP="00FF6D0E">
      <w:pPr>
        <w:spacing w:after="0" w:line="360" w:lineRule="auto"/>
        <w:ind w:firstLine="720"/>
        <w:jc w:val="both"/>
        <w:rPr>
          <w:rFonts w:ascii="Times New Roman" w:hAnsi="Times New Roman" w:cs="Times New Roman"/>
          <w:b/>
          <w:sz w:val="24"/>
          <w:szCs w:val="24"/>
        </w:rPr>
      </w:pPr>
      <w:r w:rsidRPr="007523E3">
        <w:rPr>
          <w:rFonts w:ascii="Times New Roman" w:hAnsi="Times New Roman" w:cs="Times New Roman"/>
          <w:b/>
          <w:sz w:val="24"/>
          <w:szCs w:val="24"/>
        </w:rPr>
        <w:t>The evidence of Simon Nsombi</w:t>
      </w:r>
    </w:p>
    <w:p w14:paraId="06259E59" w14:textId="2D0D18C8" w:rsidR="00BE4127" w:rsidRDefault="00BE4127" w:rsidP="00FF6D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alluded to earlier, at the material time he was employed by the plaintiff as his manager this was at a farm in Zvishavane.  He left the plaintiff</w:t>
      </w:r>
      <w:r w:rsidR="001D4096">
        <w:rPr>
          <w:rFonts w:ascii="Times New Roman" w:hAnsi="Times New Roman" w:cs="Times New Roman"/>
          <w:sz w:val="24"/>
          <w:szCs w:val="24"/>
        </w:rPr>
        <w:t>’s</w:t>
      </w:r>
      <w:r>
        <w:rPr>
          <w:rFonts w:ascii="Times New Roman" w:hAnsi="Times New Roman" w:cs="Times New Roman"/>
          <w:sz w:val="24"/>
          <w:szCs w:val="24"/>
        </w:rPr>
        <w:t xml:space="preserve"> employ in 2019.</w:t>
      </w:r>
    </w:p>
    <w:p w14:paraId="5E48CC5C" w14:textId="4222B220" w:rsidR="00BE4127" w:rsidRDefault="00BE4127" w:rsidP="00FF6D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short he basically confirmed that on one occasion he visited the stand </w:t>
      </w:r>
      <w:r w:rsidR="001D4096">
        <w:rPr>
          <w:rFonts w:ascii="Times New Roman" w:hAnsi="Times New Roman" w:cs="Times New Roman"/>
          <w:sz w:val="24"/>
          <w:szCs w:val="24"/>
        </w:rPr>
        <w:t>i</w:t>
      </w:r>
      <w:r>
        <w:rPr>
          <w:rFonts w:ascii="Times New Roman" w:hAnsi="Times New Roman" w:cs="Times New Roman"/>
          <w:sz w:val="24"/>
          <w:szCs w:val="24"/>
        </w:rPr>
        <w:t xml:space="preserve">n question together with the plaintiff at the </w:t>
      </w:r>
      <w:r w:rsidR="00422CA2">
        <w:rPr>
          <w:rFonts w:ascii="Times New Roman" w:hAnsi="Times New Roman" w:cs="Times New Roman"/>
          <w:sz w:val="24"/>
          <w:szCs w:val="24"/>
        </w:rPr>
        <w:t>latter’s</w:t>
      </w:r>
      <w:r>
        <w:rPr>
          <w:rFonts w:ascii="Times New Roman" w:hAnsi="Times New Roman" w:cs="Times New Roman"/>
          <w:sz w:val="24"/>
          <w:szCs w:val="24"/>
        </w:rPr>
        <w:t xml:space="preserve"> behest.  He observed amongst others, the following items on the stand, a shed, a petrol port covering the petrol tanks, a heap of concrete, mesh wire, heap of concrete stones, river sand, scaffolding and several other items.  He learnt from the plaintiff that these items belonged to the defendant.</w:t>
      </w:r>
    </w:p>
    <w:p w14:paraId="579FE7CD" w14:textId="60636B6D" w:rsidR="00A66A70" w:rsidRDefault="00A66A70" w:rsidP="00FF6D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his evidence that when he subsequently called the defendant’s offices, the Estate department thereof assured him that a company had been assigned to remove those items- but it was in that discussion that what would be the Mvuma meeting would be arranged.</w:t>
      </w:r>
    </w:p>
    <w:p w14:paraId="611D213E" w14:textId="2A189807" w:rsidR="00A66A70" w:rsidRDefault="00A66A70" w:rsidP="00FF6D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His evidence regarding the meeting, at Mvuma was for al</w:t>
      </w:r>
      <w:r w:rsidR="001D4096">
        <w:rPr>
          <w:rFonts w:ascii="Times New Roman" w:hAnsi="Times New Roman" w:cs="Times New Roman"/>
          <w:sz w:val="24"/>
          <w:szCs w:val="24"/>
        </w:rPr>
        <w:t xml:space="preserve">l intents </w:t>
      </w:r>
      <w:r>
        <w:rPr>
          <w:rFonts w:ascii="Times New Roman" w:hAnsi="Times New Roman" w:cs="Times New Roman"/>
          <w:sz w:val="24"/>
          <w:szCs w:val="24"/>
        </w:rPr>
        <w:t xml:space="preserve">and purposes identical to that of the plaintiff in respect of </w:t>
      </w:r>
      <w:r w:rsidR="001D4096">
        <w:rPr>
          <w:rFonts w:ascii="Times New Roman" w:hAnsi="Times New Roman" w:cs="Times New Roman"/>
          <w:sz w:val="24"/>
          <w:szCs w:val="24"/>
        </w:rPr>
        <w:t>its</w:t>
      </w:r>
      <w:r>
        <w:rPr>
          <w:rFonts w:ascii="Times New Roman" w:hAnsi="Times New Roman" w:cs="Times New Roman"/>
          <w:sz w:val="24"/>
          <w:szCs w:val="24"/>
        </w:rPr>
        <w:t xml:space="preserve"> deliberations and outcomes.  In respect of the latter</w:t>
      </w:r>
      <w:r w:rsidR="001D4096">
        <w:rPr>
          <w:rFonts w:ascii="Times New Roman" w:hAnsi="Times New Roman" w:cs="Times New Roman"/>
          <w:sz w:val="24"/>
          <w:szCs w:val="24"/>
        </w:rPr>
        <w:t>,</w:t>
      </w:r>
      <w:r>
        <w:rPr>
          <w:rFonts w:ascii="Times New Roman" w:hAnsi="Times New Roman" w:cs="Times New Roman"/>
          <w:sz w:val="24"/>
          <w:szCs w:val="24"/>
        </w:rPr>
        <w:t xml:space="preserve"> he testified that the parties had agreed to a swop agreement and that the defendant had undertaken to pay compensation to the plaintiff in the sum of US$14 000 and that the proposed swop would be reduced to writing.</w:t>
      </w:r>
    </w:p>
    <w:p w14:paraId="67408FCA" w14:textId="1BC901B2" w:rsidR="00A66A70" w:rsidRDefault="00F5442C" w:rsidP="00FF6D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Similarly,</w:t>
      </w:r>
      <w:r w:rsidR="00A66A70">
        <w:rPr>
          <w:rFonts w:ascii="Times New Roman" w:hAnsi="Times New Roman" w:cs="Times New Roman"/>
          <w:sz w:val="24"/>
          <w:szCs w:val="24"/>
        </w:rPr>
        <w:t xml:space="preserve"> his account on the city Councils position regarding the proposed swop matched that of the plaintiff.  He testified that the council had no issues with it and was prepared to approve it.</w:t>
      </w:r>
    </w:p>
    <w:p w14:paraId="2469B119" w14:textId="18080660" w:rsidR="00A66A70" w:rsidRDefault="00A66A70" w:rsidP="00FF6D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his evidence that the conduct of the defendant had negatively impacted the plaintiff who not only lost out</w:t>
      </w:r>
      <w:r w:rsidR="002648A2">
        <w:rPr>
          <w:rFonts w:ascii="Times New Roman" w:hAnsi="Times New Roman" w:cs="Times New Roman"/>
          <w:sz w:val="24"/>
          <w:szCs w:val="24"/>
        </w:rPr>
        <w:t xml:space="preserve"> on business opportunities but also who had sold his house</w:t>
      </w:r>
      <w:r w:rsidR="001D4096">
        <w:rPr>
          <w:rFonts w:ascii="Times New Roman" w:hAnsi="Times New Roman" w:cs="Times New Roman"/>
          <w:sz w:val="24"/>
          <w:szCs w:val="24"/>
        </w:rPr>
        <w:t xml:space="preserve"> in anticipation </w:t>
      </w:r>
      <w:r w:rsidR="002648A2">
        <w:rPr>
          <w:rFonts w:ascii="Times New Roman" w:hAnsi="Times New Roman" w:cs="Times New Roman"/>
          <w:sz w:val="24"/>
          <w:szCs w:val="24"/>
        </w:rPr>
        <w:t xml:space="preserve">of getting </w:t>
      </w:r>
      <w:r w:rsidR="001D4096">
        <w:rPr>
          <w:rFonts w:ascii="Times New Roman" w:hAnsi="Times New Roman" w:cs="Times New Roman"/>
          <w:sz w:val="24"/>
          <w:szCs w:val="24"/>
        </w:rPr>
        <w:t xml:space="preserve">into </w:t>
      </w:r>
      <w:r w:rsidR="002648A2">
        <w:rPr>
          <w:rFonts w:ascii="Times New Roman" w:hAnsi="Times New Roman" w:cs="Times New Roman"/>
          <w:sz w:val="24"/>
          <w:szCs w:val="24"/>
        </w:rPr>
        <w:t>business.  As if that was not enough, he learnt from plaintiff that he had sold his house with a view to embarking on a fuel business and the valve of that money which was in Zimbabwe dollars had in the interim plummeted.</w:t>
      </w:r>
    </w:p>
    <w:p w14:paraId="08796619" w14:textId="77777777" w:rsidR="002D5447" w:rsidRDefault="002D5447" w:rsidP="00FF6D0E">
      <w:pPr>
        <w:spacing w:after="0" w:line="360" w:lineRule="auto"/>
        <w:ind w:firstLine="720"/>
        <w:jc w:val="both"/>
        <w:rPr>
          <w:rFonts w:ascii="Times New Roman" w:hAnsi="Times New Roman" w:cs="Times New Roman"/>
          <w:sz w:val="24"/>
          <w:szCs w:val="24"/>
        </w:rPr>
      </w:pPr>
    </w:p>
    <w:p w14:paraId="173E2FF9" w14:textId="691EC82D" w:rsidR="002D5447" w:rsidRPr="001D4096" w:rsidRDefault="002D5447" w:rsidP="00FF6D0E">
      <w:pPr>
        <w:spacing w:after="0" w:line="360" w:lineRule="auto"/>
        <w:ind w:firstLine="720"/>
        <w:jc w:val="both"/>
        <w:rPr>
          <w:rFonts w:ascii="Times New Roman" w:hAnsi="Times New Roman" w:cs="Times New Roman"/>
          <w:b/>
          <w:sz w:val="24"/>
          <w:szCs w:val="24"/>
        </w:rPr>
      </w:pPr>
      <w:r w:rsidRPr="001D4096">
        <w:rPr>
          <w:rFonts w:ascii="Times New Roman" w:hAnsi="Times New Roman" w:cs="Times New Roman"/>
          <w:b/>
          <w:sz w:val="24"/>
          <w:szCs w:val="24"/>
        </w:rPr>
        <w:t>The defendant’s case: The evidence of Kudzanayi Purazeni</w:t>
      </w:r>
    </w:p>
    <w:p w14:paraId="5CF2638D" w14:textId="06E953B7" w:rsidR="002D5447" w:rsidRDefault="002D5447" w:rsidP="00FF6D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is the current defendant’s administration manager responsible for properties.  He has been with the defendant for 14</w:t>
      </w:r>
      <w:r w:rsidR="001D4096">
        <w:rPr>
          <w:rFonts w:ascii="Times New Roman" w:hAnsi="Times New Roman" w:cs="Times New Roman"/>
          <w:sz w:val="24"/>
          <w:szCs w:val="24"/>
        </w:rPr>
        <w:t xml:space="preserve"> </w:t>
      </w:r>
      <w:r>
        <w:rPr>
          <w:rFonts w:ascii="Times New Roman" w:hAnsi="Times New Roman" w:cs="Times New Roman"/>
          <w:sz w:val="24"/>
          <w:szCs w:val="24"/>
        </w:rPr>
        <w:t xml:space="preserve">years and has no personal knowledge of the genesis of the dispute.  He was however staunch in his </w:t>
      </w:r>
      <w:r w:rsidR="00D43A52">
        <w:rPr>
          <w:rFonts w:ascii="Times New Roman" w:hAnsi="Times New Roman" w:cs="Times New Roman"/>
          <w:sz w:val="24"/>
          <w:szCs w:val="24"/>
        </w:rPr>
        <w:t>resistance</w:t>
      </w:r>
      <w:r>
        <w:rPr>
          <w:rFonts w:ascii="Times New Roman" w:hAnsi="Times New Roman" w:cs="Times New Roman"/>
          <w:sz w:val="24"/>
          <w:szCs w:val="24"/>
        </w:rPr>
        <w:t xml:space="preserve"> to the claim.</w:t>
      </w:r>
    </w:p>
    <w:p w14:paraId="77A33512" w14:textId="00B2EF9F" w:rsidR="007C1EF6" w:rsidRDefault="007C1EF6" w:rsidP="00FF6D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testimony he confirmed both the negotiations which took place in 2014-2015 with a view to swopping the two properties and the </w:t>
      </w:r>
      <w:r w:rsidR="00D43A52">
        <w:rPr>
          <w:rFonts w:ascii="Times New Roman" w:hAnsi="Times New Roman" w:cs="Times New Roman"/>
          <w:sz w:val="24"/>
          <w:szCs w:val="24"/>
        </w:rPr>
        <w:t>resultant</w:t>
      </w:r>
      <w:r>
        <w:rPr>
          <w:rFonts w:ascii="Times New Roman" w:hAnsi="Times New Roman" w:cs="Times New Roman"/>
          <w:sz w:val="24"/>
          <w:szCs w:val="24"/>
        </w:rPr>
        <w:t xml:space="preserve"> agreement signed in 2015.  It was however his evidence that the agreement was not </w:t>
      </w:r>
      <w:r w:rsidR="007919A1">
        <w:rPr>
          <w:rFonts w:ascii="Times New Roman" w:hAnsi="Times New Roman" w:cs="Times New Roman"/>
          <w:sz w:val="24"/>
          <w:szCs w:val="24"/>
        </w:rPr>
        <w:t>consummated because it was not approved by council.  He indicated that the defendant never received the letter produced by the council expressing its approval to the proposed swop agreement.</w:t>
      </w:r>
    </w:p>
    <w:p w14:paraId="1C094E28" w14:textId="1651C8D2" w:rsidR="007919A1" w:rsidRDefault="007919A1" w:rsidP="00FF6D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him defendant only received </w:t>
      </w:r>
      <w:r w:rsidR="001D4096">
        <w:rPr>
          <w:rFonts w:ascii="Times New Roman" w:hAnsi="Times New Roman" w:cs="Times New Roman"/>
          <w:sz w:val="24"/>
          <w:szCs w:val="24"/>
        </w:rPr>
        <w:t xml:space="preserve">the </w:t>
      </w:r>
      <w:r>
        <w:rPr>
          <w:rFonts w:ascii="Times New Roman" w:hAnsi="Times New Roman" w:cs="Times New Roman"/>
          <w:sz w:val="24"/>
          <w:szCs w:val="24"/>
        </w:rPr>
        <w:t>letter of request to demolish its structures in 2020.</w:t>
      </w:r>
    </w:p>
    <w:p w14:paraId="2EBF0E27" w14:textId="4EE7DA92" w:rsidR="007919A1" w:rsidRDefault="007919A1" w:rsidP="00FF6D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him</w:t>
      </w:r>
      <w:r w:rsidR="001D4096">
        <w:rPr>
          <w:rFonts w:ascii="Times New Roman" w:hAnsi="Times New Roman" w:cs="Times New Roman"/>
          <w:sz w:val="24"/>
          <w:szCs w:val="24"/>
        </w:rPr>
        <w:t>,</w:t>
      </w:r>
      <w:r>
        <w:rPr>
          <w:rFonts w:ascii="Times New Roman" w:hAnsi="Times New Roman" w:cs="Times New Roman"/>
          <w:sz w:val="24"/>
          <w:szCs w:val="24"/>
        </w:rPr>
        <w:t xml:space="preserve"> the reason for the Council</w:t>
      </w:r>
      <w:r w:rsidR="001D4096">
        <w:rPr>
          <w:rFonts w:ascii="Times New Roman" w:hAnsi="Times New Roman" w:cs="Times New Roman"/>
          <w:sz w:val="24"/>
          <w:szCs w:val="24"/>
        </w:rPr>
        <w:t>’</w:t>
      </w:r>
      <w:r>
        <w:rPr>
          <w:rFonts w:ascii="Times New Roman" w:hAnsi="Times New Roman" w:cs="Times New Roman"/>
          <w:sz w:val="24"/>
          <w:szCs w:val="24"/>
        </w:rPr>
        <w:t>s refusal to approve the swop agreement was that there was a re-design by the Ministry of Transport of the highway adjacent to the properties where the road was to be dualised.  It was on that basis, therefore that the proposed swop agreement fell though.  He denied that the US$14 000 referred to by plaintiff was intended to be for compensation.  He maintained that it was mer</w:t>
      </w:r>
      <w:r w:rsidR="001D4096">
        <w:rPr>
          <w:rFonts w:ascii="Times New Roman" w:hAnsi="Times New Roman" w:cs="Times New Roman"/>
          <w:sz w:val="24"/>
          <w:szCs w:val="24"/>
        </w:rPr>
        <w:t>e</w:t>
      </w:r>
      <w:r>
        <w:rPr>
          <w:rFonts w:ascii="Times New Roman" w:hAnsi="Times New Roman" w:cs="Times New Roman"/>
          <w:sz w:val="24"/>
          <w:szCs w:val="24"/>
        </w:rPr>
        <w:t>ly part of the swop agreement wherein the defendant was to pay</w:t>
      </w:r>
      <w:r w:rsidR="001D4096">
        <w:rPr>
          <w:rFonts w:ascii="Times New Roman" w:hAnsi="Times New Roman" w:cs="Times New Roman"/>
          <w:sz w:val="24"/>
          <w:szCs w:val="24"/>
        </w:rPr>
        <w:t xml:space="preserve"> </w:t>
      </w:r>
      <w:r>
        <w:rPr>
          <w:rFonts w:ascii="Times New Roman" w:hAnsi="Times New Roman" w:cs="Times New Roman"/>
          <w:sz w:val="24"/>
          <w:szCs w:val="24"/>
        </w:rPr>
        <w:t>off the outstanding municipal rates the plaintiff owed to Masvingo City Council.</w:t>
      </w:r>
    </w:p>
    <w:p w14:paraId="3B8B3DE2" w14:textId="2A39D086" w:rsidR="007919A1" w:rsidRDefault="007919A1" w:rsidP="00FF6D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his evidence that the defendant was unable to immediately remove its structures after receiving the </w:t>
      </w:r>
      <w:r w:rsidR="00FD4530">
        <w:rPr>
          <w:rFonts w:ascii="Times New Roman" w:hAnsi="Times New Roman" w:cs="Times New Roman"/>
          <w:sz w:val="24"/>
          <w:szCs w:val="24"/>
        </w:rPr>
        <w:t>plaintiff’s</w:t>
      </w:r>
      <w:r>
        <w:rPr>
          <w:rFonts w:ascii="Times New Roman" w:hAnsi="Times New Roman" w:cs="Times New Roman"/>
          <w:sz w:val="24"/>
          <w:szCs w:val="24"/>
        </w:rPr>
        <w:t xml:space="preserve"> written ultimatum owing to the COVID-19 pandemic induced national lockdown.</w:t>
      </w:r>
    </w:p>
    <w:p w14:paraId="22ADB9B2" w14:textId="0BF47242" w:rsidR="007919A1" w:rsidRDefault="007919A1" w:rsidP="00FF6D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therefore denied that the defendant had failed to demolish its structures within a reasonable time.  He equally denied that plaintiff had suffered any damages ostensibly as a consequence of the alleged delay by the defendant to demolition its </w:t>
      </w:r>
      <w:r w:rsidR="00FD4530">
        <w:rPr>
          <w:rFonts w:ascii="Times New Roman" w:hAnsi="Times New Roman" w:cs="Times New Roman"/>
          <w:sz w:val="24"/>
          <w:szCs w:val="24"/>
        </w:rPr>
        <w:t>structures</w:t>
      </w:r>
      <w:r>
        <w:rPr>
          <w:rFonts w:ascii="Times New Roman" w:hAnsi="Times New Roman" w:cs="Times New Roman"/>
          <w:sz w:val="24"/>
          <w:szCs w:val="24"/>
        </w:rPr>
        <w:t xml:space="preserve"> from plaintiff stand.</w:t>
      </w:r>
    </w:p>
    <w:p w14:paraId="2B5DCE75" w14:textId="241AF896" w:rsidR="008C1C77" w:rsidRDefault="00253DDF" w:rsidP="008C1C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was particularly dismissive of plaintiff’s evidence that he has lost out on business opportunities as a result of the delay on the said demolition.  He pointed out that this is amply evidenced by the fact that the plaintiff has in the interim not started any business activities on the stand.</w:t>
      </w:r>
    </w:p>
    <w:p w14:paraId="7C4EB674" w14:textId="3A125CD6" w:rsidR="00253DDF" w:rsidRDefault="00253DDF" w:rsidP="00FF6D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has however unable to rebut that in 2018, the plaintiff had put the defendant on terms demanding the removal of its structures from the stand.  He would however reiterate under cross </w:t>
      </w:r>
      <w:r>
        <w:rPr>
          <w:rFonts w:ascii="Times New Roman" w:hAnsi="Times New Roman" w:cs="Times New Roman"/>
          <w:sz w:val="24"/>
          <w:szCs w:val="24"/>
        </w:rPr>
        <w:lastRenderedPageBreak/>
        <w:t xml:space="preserve">examination that the defendant’s failure to demolish its structures did not prejudicially affect the plaintiff in any way </w:t>
      </w:r>
      <w:r w:rsidR="001D4096">
        <w:rPr>
          <w:rFonts w:ascii="Times New Roman" w:hAnsi="Times New Roman" w:cs="Times New Roman"/>
          <w:sz w:val="24"/>
          <w:szCs w:val="24"/>
        </w:rPr>
        <w:t xml:space="preserve">nor </w:t>
      </w:r>
      <w:r>
        <w:rPr>
          <w:rFonts w:ascii="Times New Roman" w:hAnsi="Times New Roman" w:cs="Times New Roman"/>
          <w:sz w:val="24"/>
          <w:szCs w:val="24"/>
        </w:rPr>
        <w:t xml:space="preserve">was </w:t>
      </w:r>
      <w:r w:rsidR="001D4096">
        <w:rPr>
          <w:rFonts w:ascii="Times New Roman" w:hAnsi="Times New Roman" w:cs="Times New Roman"/>
          <w:sz w:val="24"/>
          <w:szCs w:val="24"/>
        </w:rPr>
        <w:t>it</w:t>
      </w:r>
      <w:r>
        <w:rPr>
          <w:rFonts w:ascii="Times New Roman" w:hAnsi="Times New Roman" w:cs="Times New Roman"/>
          <w:sz w:val="24"/>
          <w:szCs w:val="24"/>
        </w:rPr>
        <w:t xml:space="preserve"> a barrier to the plaintiff develop</w:t>
      </w:r>
      <w:r w:rsidR="001D4096">
        <w:rPr>
          <w:rFonts w:ascii="Times New Roman" w:hAnsi="Times New Roman" w:cs="Times New Roman"/>
          <w:sz w:val="24"/>
          <w:szCs w:val="24"/>
        </w:rPr>
        <w:t>ing</w:t>
      </w:r>
      <w:r>
        <w:rPr>
          <w:rFonts w:ascii="Times New Roman" w:hAnsi="Times New Roman" w:cs="Times New Roman"/>
          <w:sz w:val="24"/>
          <w:szCs w:val="24"/>
        </w:rPr>
        <w:t xml:space="preserve"> </w:t>
      </w:r>
      <w:r w:rsidR="001D4096">
        <w:rPr>
          <w:rFonts w:ascii="Times New Roman" w:hAnsi="Times New Roman" w:cs="Times New Roman"/>
          <w:sz w:val="24"/>
          <w:szCs w:val="24"/>
        </w:rPr>
        <w:t>his</w:t>
      </w:r>
      <w:r>
        <w:rPr>
          <w:rFonts w:ascii="Times New Roman" w:hAnsi="Times New Roman" w:cs="Times New Roman"/>
          <w:sz w:val="24"/>
          <w:szCs w:val="24"/>
        </w:rPr>
        <w:t xml:space="preserve"> stand.</w:t>
      </w:r>
    </w:p>
    <w:p w14:paraId="550031F6" w14:textId="195D485A" w:rsidR="00C8130C" w:rsidRDefault="00C8130C" w:rsidP="00FF6D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parties filed written closing submissions exce</w:t>
      </w:r>
      <w:r w:rsidR="00533213">
        <w:rPr>
          <w:rFonts w:ascii="Times New Roman" w:hAnsi="Times New Roman" w:cs="Times New Roman"/>
          <w:sz w:val="24"/>
          <w:szCs w:val="24"/>
        </w:rPr>
        <w:t>r</w:t>
      </w:r>
      <w:r>
        <w:rPr>
          <w:rFonts w:ascii="Times New Roman" w:hAnsi="Times New Roman" w:cs="Times New Roman"/>
          <w:sz w:val="24"/>
          <w:szCs w:val="24"/>
        </w:rPr>
        <w:t xml:space="preserve">pts of which will be interwoven in the resolution of </w:t>
      </w:r>
      <w:r w:rsidR="001D4096">
        <w:rPr>
          <w:rFonts w:ascii="Times New Roman" w:hAnsi="Times New Roman" w:cs="Times New Roman"/>
          <w:sz w:val="24"/>
          <w:szCs w:val="24"/>
        </w:rPr>
        <w:t xml:space="preserve">the </w:t>
      </w:r>
      <w:r>
        <w:rPr>
          <w:rFonts w:ascii="Times New Roman" w:hAnsi="Times New Roman" w:cs="Times New Roman"/>
          <w:sz w:val="24"/>
          <w:szCs w:val="24"/>
        </w:rPr>
        <w:t xml:space="preserve">dispute, suffice it to say that </w:t>
      </w:r>
      <w:r w:rsidR="001D4096">
        <w:rPr>
          <w:rFonts w:ascii="Times New Roman" w:hAnsi="Times New Roman" w:cs="Times New Roman"/>
          <w:sz w:val="24"/>
          <w:szCs w:val="24"/>
        </w:rPr>
        <w:t xml:space="preserve">each </w:t>
      </w:r>
      <w:r>
        <w:rPr>
          <w:rFonts w:ascii="Times New Roman" w:hAnsi="Times New Roman" w:cs="Times New Roman"/>
          <w:sz w:val="24"/>
          <w:szCs w:val="24"/>
        </w:rPr>
        <w:t>party maintained its position.  The plaintiff insisted that the failure by defendant to timeously demolish its structures on his stand was an actionable cause of action recognised under the law of delict.  The defendant argued to the contrary.</w:t>
      </w:r>
    </w:p>
    <w:p w14:paraId="2AAD594C" w14:textId="7DA53047" w:rsidR="00D8502B" w:rsidRPr="00D8502B" w:rsidRDefault="00D8502B" w:rsidP="00FF6D0E">
      <w:pPr>
        <w:spacing w:after="0" w:line="360" w:lineRule="auto"/>
        <w:ind w:firstLine="720"/>
        <w:jc w:val="both"/>
        <w:rPr>
          <w:rFonts w:ascii="Times New Roman" w:hAnsi="Times New Roman" w:cs="Times New Roman"/>
          <w:b/>
          <w:bCs/>
          <w:sz w:val="24"/>
          <w:szCs w:val="24"/>
        </w:rPr>
      </w:pPr>
      <w:r w:rsidRPr="00D8502B">
        <w:rPr>
          <w:rFonts w:ascii="Times New Roman" w:hAnsi="Times New Roman" w:cs="Times New Roman"/>
          <w:b/>
          <w:bCs/>
          <w:sz w:val="24"/>
          <w:szCs w:val="24"/>
        </w:rPr>
        <w:t>The issues</w:t>
      </w:r>
    </w:p>
    <w:p w14:paraId="05145D74" w14:textId="5E0A2762" w:rsidR="00C8130C" w:rsidRDefault="00C8130C" w:rsidP="00FF6D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I see it the resolution of this dispute requires a three</w:t>
      </w:r>
      <w:r w:rsidR="00D8502B">
        <w:rPr>
          <w:rFonts w:ascii="Times New Roman" w:hAnsi="Times New Roman" w:cs="Times New Roman"/>
          <w:sz w:val="24"/>
          <w:szCs w:val="24"/>
        </w:rPr>
        <w:t>-</w:t>
      </w:r>
      <w:r>
        <w:rPr>
          <w:rFonts w:ascii="Times New Roman" w:hAnsi="Times New Roman" w:cs="Times New Roman"/>
          <w:sz w:val="24"/>
          <w:szCs w:val="24"/>
        </w:rPr>
        <w:t>stage inquiry as follows:</w:t>
      </w:r>
    </w:p>
    <w:p w14:paraId="2CFCFFAE" w14:textId="179380BA" w:rsidR="00855A09" w:rsidRDefault="00855A09" w:rsidP="00855A09">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the law of </w:t>
      </w:r>
      <w:r w:rsidR="00441697">
        <w:rPr>
          <w:rFonts w:ascii="Times New Roman" w:hAnsi="Times New Roman" w:cs="Times New Roman"/>
          <w:sz w:val="24"/>
          <w:szCs w:val="24"/>
        </w:rPr>
        <w:t>delict</w:t>
      </w:r>
      <w:r>
        <w:rPr>
          <w:rFonts w:ascii="Times New Roman" w:hAnsi="Times New Roman" w:cs="Times New Roman"/>
          <w:sz w:val="24"/>
          <w:szCs w:val="24"/>
        </w:rPr>
        <w:t xml:space="preserve"> recognises an action for damages arising from a failure by a defendant to remove its structures from the plaintiff’s property.  If the answer to this question is in the negative, then </w:t>
      </w:r>
      <w:r w:rsidRPr="00855A09">
        <w:rPr>
          <w:rFonts w:ascii="Times New Roman" w:hAnsi="Times New Roman" w:cs="Times New Roman"/>
          <w:i/>
          <w:sz w:val="24"/>
          <w:szCs w:val="24"/>
        </w:rPr>
        <w:t>cadit quastio</w:t>
      </w:r>
      <w:r>
        <w:rPr>
          <w:rFonts w:ascii="Times New Roman" w:hAnsi="Times New Roman" w:cs="Times New Roman"/>
          <w:sz w:val="24"/>
          <w:szCs w:val="24"/>
        </w:rPr>
        <w:t xml:space="preserve">.  No liability would attach to the defendant.  </w:t>
      </w:r>
      <w:r w:rsidR="00441697">
        <w:rPr>
          <w:rFonts w:ascii="Times New Roman" w:hAnsi="Times New Roman" w:cs="Times New Roman"/>
          <w:sz w:val="24"/>
          <w:szCs w:val="24"/>
        </w:rPr>
        <w:t>However,</w:t>
      </w:r>
      <w:r>
        <w:rPr>
          <w:rFonts w:ascii="Times New Roman" w:hAnsi="Times New Roman" w:cs="Times New Roman"/>
          <w:sz w:val="24"/>
          <w:szCs w:val="24"/>
        </w:rPr>
        <w:t xml:space="preserve"> if the answer is in the affirmative, the next question that arises is-</w:t>
      </w:r>
    </w:p>
    <w:p w14:paraId="68166A03" w14:textId="766C9814" w:rsidR="00855A09" w:rsidRDefault="00855A09" w:rsidP="00855A09">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the defendant’s in </w:t>
      </w:r>
      <w:r w:rsidRPr="00855A09">
        <w:rPr>
          <w:rFonts w:ascii="Times New Roman" w:hAnsi="Times New Roman" w:cs="Times New Roman"/>
          <w:i/>
          <w:sz w:val="24"/>
          <w:szCs w:val="24"/>
        </w:rPr>
        <w:t>casu</w:t>
      </w:r>
      <w:r>
        <w:rPr>
          <w:rFonts w:ascii="Times New Roman" w:hAnsi="Times New Roman" w:cs="Times New Roman"/>
          <w:sz w:val="24"/>
          <w:szCs w:val="24"/>
        </w:rPr>
        <w:t xml:space="preserve"> failed, refused or neglected to remove its structures from the plaintiff’s property-and if so for which period</w:t>
      </w:r>
      <w:r w:rsidR="00533213">
        <w:rPr>
          <w:rFonts w:ascii="Times New Roman" w:hAnsi="Times New Roman" w:cs="Times New Roman"/>
          <w:sz w:val="24"/>
          <w:szCs w:val="24"/>
        </w:rPr>
        <w:t>.</w:t>
      </w:r>
      <w:r>
        <w:rPr>
          <w:rFonts w:ascii="Times New Roman" w:hAnsi="Times New Roman" w:cs="Times New Roman"/>
          <w:sz w:val="24"/>
          <w:szCs w:val="24"/>
        </w:rPr>
        <w:t xml:space="preserve"> </w:t>
      </w:r>
    </w:p>
    <w:p w14:paraId="581993B0" w14:textId="77777777" w:rsidR="00855A09" w:rsidRDefault="00855A09" w:rsidP="00855A09">
      <w:pPr>
        <w:pStyle w:val="ListParagraph"/>
        <w:spacing w:after="0" w:line="360" w:lineRule="auto"/>
        <w:ind w:left="1080"/>
        <w:jc w:val="both"/>
        <w:rPr>
          <w:rFonts w:ascii="Times New Roman" w:hAnsi="Times New Roman" w:cs="Times New Roman"/>
          <w:sz w:val="24"/>
          <w:szCs w:val="24"/>
        </w:rPr>
      </w:pPr>
    </w:p>
    <w:p w14:paraId="55820934" w14:textId="2582FE63" w:rsidR="00855A09" w:rsidRPr="00855A09" w:rsidRDefault="00855A09" w:rsidP="00855A09">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plaintiff actually suffered damages as a consequence of the failure by defendant to remove its structures from his stand and if so the quantum thereof.</w:t>
      </w:r>
    </w:p>
    <w:p w14:paraId="3ECB8B5F" w14:textId="00CE6625" w:rsidR="001F6CB2" w:rsidRDefault="001F6CB2" w:rsidP="00602C07">
      <w:pPr>
        <w:spacing w:after="0" w:line="360" w:lineRule="auto"/>
        <w:jc w:val="both"/>
        <w:rPr>
          <w:rFonts w:ascii="Times New Roman" w:hAnsi="Times New Roman" w:cs="Times New Roman"/>
          <w:i/>
          <w:sz w:val="24"/>
          <w:szCs w:val="24"/>
        </w:rPr>
      </w:pPr>
    </w:p>
    <w:p w14:paraId="1279C6B8" w14:textId="66343A64" w:rsidR="008C1C77" w:rsidRPr="00533213" w:rsidRDefault="0013643A" w:rsidP="001B3D30">
      <w:pPr>
        <w:spacing w:after="0" w:line="360" w:lineRule="auto"/>
        <w:ind w:firstLine="720"/>
        <w:jc w:val="both"/>
        <w:rPr>
          <w:rFonts w:ascii="Times New Roman" w:hAnsi="Times New Roman" w:cs="Times New Roman"/>
          <w:b/>
          <w:sz w:val="24"/>
          <w:szCs w:val="24"/>
        </w:rPr>
      </w:pPr>
      <w:r>
        <w:rPr>
          <w:rFonts w:ascii="Times New Roman" w:hAnsi="Times New Roman" w:cs="Times New Roman"/>
          <w:i/>
          <w:sz w:val="24"/>
          <w:szCs w:val="24"/>
        </w:rPr>
        <w:t xml:space="preserve">       </w:t>
      </w:r>
      <w:r w:rsidR="008C1C77" w:rsidRPr="00533213">
        <w:rPr>
          <w:rFonts w:ascii="Times New Roman" w:hAnsi="Times New Roman" w:cs="Times New Roman"/>
          <w:b/>
          <w:sz w:val="24"/>
          <w:szCs w:val="24"/>
        </w:rPr>
        <w:t>Whether the claim is cognisable under the law of delict</w:t>
      </w:r>
    </w:p>
    <w:p w14:paraId="5BBCD32C" w14:textId="2C7D1120" w:rsidR="008C1C77" w:rsidRDefault="008C1C77" w:rsidP="008C1C77">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 xml:space="preserve">         </w:t>
      </w:r>
      <w:r w:rsidR="0013643A">
        <w:rPr>
          <w:rFonts w:ascii="Times New Roman" w:hAnsi="Times New Roman" w:cs="Times New Roman"/>
          <w:i/>
          <w:sz w:val="24"/>
          <w:szCs w:val="24"/>
        </w:rPr>
        <w:t xml:space="preserve"> </w:t>
      </w:r>
      <w:r>
        <w:rPr>
          <w:rFonts w:ascii="Times New Roman" w:hAnsi="Times New Roman" w:cs="Times New Roman"/>
          <w:sz w:val="24"/>
          <w:szCs w:val="24"/>
        </w:rPr>
        <w:t xml:space="preserve">The plaintiff’s claim undoubtedly falls under the </w:t>
      </w:r>
      <w:r w:rsidR="00D8502B">
        <w:rPr>
          <w:rFonts w:ascii="Times New Roman" w:hAnsi="Times New Roman" w:cs="Times New Roman"/>
          <w:sz w:val="24"/>
          <w:szCs w:val="24"/>
        </w:rPr>
        <w:t>Aquilian</w:t>
      </w:r>
      <w:r>
        <w:rPr>
          <w:rFonts w:ascii="Times New Roman" w:hAnsi="Times New Roman" w:cs="Times New Roman"/>
          <w:sz w:val="24"/>
          <w:szCs w:val="24"/>
        </w:rPr>
        <w:t xml:space="preserve"> action.  More specifically it falls under the category of liability for pure economic loss.</w:t>
      </w:r>
    </w:p>
    <w:p w14:paraId="105F509D" w14:textId="7521CE8D" w:rsidR="008C1C77" w:rsidRDefault="001B3D30" w:rsidP="008C1C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requirement</w:t>
      </w:r>
      <w:r w:rsidR="000606F2">
        <w:rPr>
          <w:rFonts w:ascii="Times New Roman" w:hAnsi="Times New Roman" w:cs="Times New Roman"/>
          <w:sz w:val="24"/>
          <w:szCs w:val="24"/>
        </w:rPr>
        <w:t>s</w:t>
      </w:r>
      <w:r w:rsidR="008C1C77">
        <w:rPr>
          <w:rFonts w:ascii="Times New Roman" w:hAnsi="Times New Roman" w:cs="Times New Roman"/>
          <w:sz w:val="24"/>
          <w:szCs w:val="24"/>
        </w:rPr>
        <w:t xml:space="preserve"> for the </w:t>
      </w:r>
      <w:r w:rsidR="000606F2">
        <w:rPr>
          <w:rFonts w:ascii="Times New Roman" w:hAnsi="Times New Roman" w:cs="Times New Roman"/>
          <w:sz w:val="24"/>
          <w:szCs w:val="24"/>
        </w:rPr>
        <w:t xml:space="preserve">Aquilian </w:t>
      </w:r>
      <w:r w:rsidR="008C1C77">
        <w:rPr>
          <w:rFonts w:ascii="Times New Roman" w:hAnsi="Times New Roman" w:cs="Times New Roman"/>
          <w:sz w:val="24"/>
          <w:szCs w:val="24"/>
        </w:rPr>
        <w:t>action are summarised by</w:t>
      </w:r>
      <w:r w:rsidR="00533213">
        <w:rPr>
          <w:rFonts w:ascii="Times New Roman" w:hAnsi="Times New Roman" w:cs="Times New Roman"/>
          <w:sz w:val="24"/>
          <w:szCs w:val="24"/>
        </w:rPr>
        <w:t xml:space="preserve"> Feltoe G in his book, A guide </w:t>
      </w:r>
      <w:r w:rsidR="000606F2">
        <w:rPr>
          <w:rFonts w:ascii="Times New Roman" w:hAnsi="Times New Roman" w:cs="Times New Roman"/>
          <w:sz w:val="24"/>
          <w:szCs w:val="24"/>
        </w:rPr>
        <w:t>to the Zimbabwean Law of Delict, 3</w:t>
      </w:r>
      <w:r w:rsidR="000606F2" w:rsidRPr="000606F2">
        <w:rPr>
          <w:rFonts w:ascii="Times New Roman" w:hAnsi="Times New Roman" w:cs="Times New Roman"/>
          <w:sz w:val="24"/>
          <w:szCs w:val="24"/>
          <w:vertAlign w:val="superscript"/>
        </w:rPr>
        <w:t>rd</w:t>
      </w:r>
      <w:r w:rsidR="000606F2">
        <w:rPr>
          <w:rFonts w:ascii="Times New Roman" w:hAnsi="Times New Roman" w:cs="Times New Roman"/>
          <w:sz w:val="24"/>
          <w:szCs w:val="24"/>
        </w:rPr>
        <w:t xml:space="preserve"> ed 2001 at p9 as follows:</w:t>
      </w:r>
    </w:p>
    <w:p w14:paraId="50E042FB" w14:textId="23FEB9E2" w:rsidR="008C1C77" w:rsidRDefault="000606F2" w:rsidP="008C1C77">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Conduct</w:t>
      </w:r>
      <w:r w:rsidR="008C1C77">
        <w:rPr>
          <w:rFonts w:ascii="Times New Roman" w:hAnsi="Times New Roman" w:cs="Times New Roman"/>
          <w:sz w:val="24"/>
          <w:szCs w:val="24"/>
        </w:rPr>
        <w:t xml:space="preserve"> on the p</w:t>
      </w:r>
      <w:r>
        <w:rPr>
          <w:rFonts w:ascii="Times New Roman" w:hAnsi="Times New Roman" w:cs="Times New Roman"/>
          <w:sz w:val="24"/>
          <w:szCs w:val="24"/>
        </w:rPr>
        <w:t>art</w:t>
      </w:r>
      <w:r w:rsidR="008C1C77">
        <w:rPr>
          <w:rFonts w:ascii="Times New Roman" w:hAnsi="Times New Roman" w:cs="Times New Roman"/>
          <w:sz w:val="24"/>
          <w:szCs w:val="24"/>
        </w:rPr>
        <w:t xml:space="preserve"> of the defendant (comprising of an action or omission) which the law of </w:t>
      </w:r>
      <w:r w:rsidR="001B3D30">
        <w:rPr>
          <w:rFonts w:ascii="Times New Roman" w:hAnsi="Times New Roman" w:cs="Times New Roman"/>
          <w:sz w:val="24"/>
          <w:szCs w:val="24"/>
        </w:rPr>
        <w:t>delict</w:t>
      </w:r>
      <w:r w:rsidR="008C1C77">
        <w:rPr>
          <w:rFonts w:ascii="Times New Roman" w:hAnsi="Times New Roman" w:cs="Times New Roman"/>
          <w:sz w:val="24"/>
          <w:szCs w:val="24"/>
        </w:rPr>
        <w:t xml:space="preserve"> recognises as being wrongful or unlawful</w:t>
      </w:r>
      <w:r>
        <w:rPr>
          <w:rFonts w:ascii="Times New Roman" w:hAnsi="Times New Roman" w:cs="Times New Roman"/>
          <w:sz w:val="24"/>
          <w:szCs w:val="24"/>
        </w:rPr>
        <w:t xml:space="preserve"> </w:t>
      </w:r>
      <w:r w:rsidR="008C1C77">
        <w:rPr>
          <w:rFonts w:ascii="Times New Roman" w:hAnsi="Times New Roman" w:cs="Times New Roman"/>
          <w:sz w:val="24"/>
          <w:szCs w:val="24"/>
        </w:rPr>
        <w:t>-</w:t>
      </w:r>
      <w:r>
        <w:rPr>
          <w:rFonts w:ascii="Times New Roman" w:hAnsi="Times New Roman" w:cs="Times New Roman"/>
          <w:sz w:val="24"/>
          <w:szCs w:val="24"/>
        </w:rPr>
        <w:t xml:space="preserve"> </w:t>
      </w:r>
      <w:r w:rsidR="008C1C77">
        <w:rPr>
          <w:rFonts w:ascii="Times New Roman" w:hAnsi="Times New Roman" w:cs="Times New Roman"/>
          <w:sz w:val="24"/>
          <w:szCs w:val="24"/>
        </w:rPr>
        <w:t>the wrongfulness requirement.</w:t>
      </w:r>
    </w:p>
    <w:p w14:paraId="0FD6E311" w14:textId="17000091" w:rsidR="008C1C77" w:rsidRDefault="008C1C77" w:rsidP="008C1C77">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conduct must have led to physical harm to the </w:t>
      </w:r>
      <w:r w:rsidR="001B3D30">
        <w:rPr>
          <w:rFonts w:ascii="Times New Roman" w:hAnsi="Times New Roman" w:cs="Times New Roman"/>
          <w:sz w:val="24"/>
          <w:szCs w:val="24"/>
        </w:rPr>
        <w:t>personal</w:t>
      </w:r>
      <w:r>
        <w:rPr>
          <w:rFonts w:ascii="Times New Roman" w:hAnsi="Times New Roman" w:cs="Times New Roman"/>
          <w:sz w:val="24"/>
          <w:szCs w:val="24"/>
        </w:rPr>
        <w:t xml:space="preserve"> property, thereby to financial loss, </w:t>
      </w:r>
      <w:r w:rsidRPr="000606F2">
        <w:rPr>
          <w:rFonts w:ascii="Times New Roman" w:hAnsi="Times New Roman" w:cs="Times New Roman"/>
          <w:sz w:val="24"/>
          <w:szCs w:val="24"/>
        </w:rPr>
        <w:t>or</w:t>
      </w:r>
      <w:r w:rsidR="000606F2">
        <w:rPr>
          <w:rFonts w:ascii="Times New Roman" w:hAnsi="Times New Roman" w:cs="Times New Roman"/>
          <w:sz w:val="24"/>
          <w:szCs w:val="24"/>
        </w:rPr>
        <w:t xml:space="preserve"> must</w:t>
      </w:r>
      <w:r w:rsidRPr="000606F2">
        <w:rPr>
          <w:rFonts w:ascii="Times New Roman" w:hAnsi="Times New Roman" w:cs="Times New Roman"/>
          <w:sz w:val="24"/>
          <w:szCs w:val="24"/>
        </w:rPr>
        <w:t xml:space="preserve"> </w:t>
      </w:r>
      <w:r w:rsidRPr="000606F2">
        <w:rPr>
          <w:rFonts w:ascii="Times New Roman" w:hAnsi="Times New Roman" w:cs="Times New Roman"/>
          <w:i/>
          <w:iCs/>
          <w:sz w:val="24"/>
          <w:szCs w:val="24"/>
        </w:rPr>
        <w:t>have caused purely financial loss</w:t>
      </w:r>
      <w:r>
        <w:rPr>
          <w:rFonts w:ascii="Times New Roman" w:hAnsi="Times New Roman" w:cs="Times New Roman"/>
          <w:sz w:val="24"/>
          <w:szCs w:val="24"/>
        </w:rPr>
        <w:t xml:space="preserve"> which does not stem from any physical harm to </w:t>
      </w:r>
      <w:r w:rsidR="00AD1CF0">
        <w:rPr>
          <w:rFonts w:ascii="Times New Roman" w:hAnsi="Times New Roman" w:cs="Times New Roman"/>
          <w:sz w:val="24"/>
          <w:szCs w:val="24"/>
        </w:rPr>
        <w:t>person or property (the so-called patrimonial loss requirement, one’s patrimony being one’s property and finances”</w:t>
      </w:r>
      <w:r w:rsidR="000606F2">
        <w:rPr>
          <w:rFonts w:ascii="Times New Roman" w:hAnsi="Times New Roman" w:cs="Times New Roman"/>
          <w:sz w:val="24"/>
          <w:szCs w:val="24"/>
        </w:rPr>
        <w:t>).</w:t>
      </w:r>
      <w:r w:rsidR="00AD1CF0">
        <w:rPr>
          <w:rFonts w:ascii="Times New Roman" w:hAnsi="Times New Roman" w:cs="Times New Roman"/>
          <w:sz w:val="24"/>
          <w:szCs w:val="24"/>
        </w:rPr>
        <w:t xml:space="preserve"> </w:t>
      </w:r>
    </w:p>
    <w:p w14:paraId="15FADB69" w14:textId="445F0D6A" w:rsidR="001B3D30" w:rsidRDefault="001B3D30" w:rsidP="008C1C77">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defendant must have </w:t>
      </w:r>
      <w:r w:rsidR="000606F2">
        <w:rPr>
          <w:rFonts w:ascii="Times New Roman" w:hAnsi="Times New Roman" w:cs="Times New Roman"/>
          <w:sz w:val="24"/>
          <w:szCs w:val="24"/>
        </w:rPr>
        <w:t>infli</w:t>
      </w:r>
      <w:r>
        <w:rPr>
          <w:rFonts w:ascii="Times New Roman" w:hAnsi="Times New Roman" w:cs="Times New Roman"/>
          <w:sz w:val="24"/>
          <w:szCs w:val="24"/>
        </w:rPr>
        <w:t>cted patrimonial loss intentionally or negligently (the fault requirement); and</w:t>
      </w:r>
    </w:p>
    <w:p w14:paraId="0A484236" w14:textId="12A47AD4" w:rsidR="001B3D30" w:rsidRPr="008C1C77" w:rsidRDefault="001B3D30" w:rsidP="008C1C77">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must be a causal link between the conduct and the loss (the conisation requirement)</w:t>
      </w:r>
    </w:p>
    <w:p w14:paraId="254DA12E" w14:textId="77777777" w:rsidR="00D5676E" w:rsidRDefault="0013643A" w:rsidP="00E14E72">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p>
    <w:p w14:paraId="05FF7532" w14:textId="33138AA4" w:rsidR="00D5676E" w:rsidRDefault="0013643A" w:rsidP="00D5676E">
      <w:pPr>
        <w:spacing w:after="0" w:line="360" w:lineRule="auto"/>
        <w:ind w:firstLine="720"/>
        <w:jc w:val="both"/>
        <w:rPr>
          <w:rFonts w:ascii="Times New Roman" w:hAnsi="Times New Roman" w:cs="Times New Roman"/>
          <w:sz w:val="24"/>
          <w:szCs w:val="24"/>
        </w:rPr>
      </w:pPr>
      <w:r>
        <w:rPr>
          <w:rFonts w:ascii="Times New Roman" w:hAnsi="Times New Roman" w:cs="Times New Roman"/>
          <w:i/>
          <w:sz w:val="24"/>
          <w:szCs w:val="24"/>
        </w:rPr>
        <w:t xml:space="preserve">         </w:t>
      </w:r>
      <w:r w:rsidR="00D5676E">
        <w:rPr>
          <w:rFonts w:ascii="Times New Roman" w:hAnsi="Times New Roman" w:cs="Times New Roman"/>
          <w:sz w:val="24"/>
          <w:szCs w:val="24"/>
        </w:rPr>
        <w:t xml:space="preserve">The first issue is therefore whether the requirements for liability under the aquilian action broadly </w:t>
      </w:r>
      <w:r w:rsidR="000606F2">
        <w:rPr>
          <w:rFonts w:ascii="Times New Roman" w:hAnsi="Times New Roman" w:cs="Times New Roman"/>
          <w:sz w:val="24"/>
          <w:szCs w:val="24"/>
        </w:rPr>
        <w:t xml:space="preserve">speaking </w:t>
      </w:r>
      <w:r w:rsidR="00E45FB1">
        <w:rPr>
          <w:rFonts w:ascii="Times New Roman" w:hAnsi="Times New Roman" w:cs="Times New Roman"/>
          <w:sz w:val="24"/>
          <w:szCs w:val="24"/>
        </w:rPr>
        <w:t>and under the claim for damages for conduct causing purely economic loss specifically were satisfied.</w:t>
      </w:r>
    </w:p>
    <w:p w14:paraId="3FBCA462" w14:textId="77777777" w:rsidR="00A06402" w:rsidRDefault="00A06402" w:rsidP="00D5676E">
      <w:pPr>
        <w:spacing w:after="0" w:line="360" w:lineRule="auto"/>
        <w:ind w:firstLine="720"/>
        <w:jc w:val="both"/>
        <w:rPr>
          <w:rFonts w:ascii="Times New Roman" w:hAnsi="Times New Roman" w:cs="Times New Roman"/>
          <w:sz w:val="24"/>
          <w:szCs w:val="24"/>
        </w:rPr>
      </w:pPr>
    </w:p>
    <w:p w14:paraId="6817AEE2" w14:textId="235E1E6F" w:rsidR="00E45FB1" w:rsidRPr="000606F2" w:rsidRDefault="000606F2" w:rsidP="00D5676E">
      <w:pPr>
        <w:spacing w:after="0" w:line="36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Whether</w:t>
      </w:r>
      <w:r w:rsidR="00E45FB1" w:rsidRPr="000606F2">
        <w:rPr>
          <w:rFonts w:ascii="Times New Roman" w:hAnsi="Times New Roman" w:cs="Times New Roman"/>
          <w:b/>
          <w:bCs/>
          <w:sz w:val="24"/>
          <w:szCs w:val="24"/>
        </w:rPr>
        <w:t xml:space="preserve"> there any actionable conduct on the part of the defendant.</w:t>
      </w:r>
    </w:p>
    <w:p w14:paraId="1AAB1329" w14:textId="2691D877" w:rsidR="00E45FB1" w:rsidRDefault="00E45FB1" w:rsidP="00D567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insists that the defendant had an obligation to timeously remove its structures and paraphernalia from his property.  The defendant argued to the contrary.  It maintained that although it ultimately removed its structures it was under no legal obligation to do so.</w:t>
      </w:r>
    </w:p>
    <w:p w14:paraId="442A0E32" w14:textId="77ACFD65" w:rsidR="00A06402" w:rsidRDefault="00A06402" w:rsidP="00D567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conduct complained by the plaintiff is therefore one of an omission –</w:t>
      </w:r>
      <w:r w:rsidR="00422CA2">
        <w:rPr>
          <w:rFonts w:ascii="Times New Roman" w:hAnsi="Times New Roman" w:cs="Times New Roman"/>
          <w:sz w:val="24"/>
          <w:szCs w:val="24"/>
        </w:rPr>
        <w:t>i.e.</w:t>
      </w:r>
      <w:r>
        <w:rPr>
          <w:rFonts w:ascii="Times New Roman" w:hAnsi="Times New Roman" w:cs="Times New Roman"/>
          <w:sz w:val="24"/>
          <w:szCs w:val="24"/>
        </w:rPr>
        <w:t xml:space="preserve"> The failure </w:t>
      </w:r>
      <w:r w:rsidR="000606F2">
        <w:rPr>
          <w:rFonts w:ascii="Times New Roman" w:hAnsi="Times New Roman" w:cs="Times New Roman"/>
          <w:sz w:val="24"/>
          <w:szCs w:val="24"/>
        </w:rPr>
        <w:t>o</w:t>
      </w:r>
      <w:r>
        <w:rPr>
          <w:rFonts w:ascii="Times New Roman" w:hAnsi="Times New Roman" w:cs="Times New Roman"/>
          <w:sz w:val="24"/>
          <w:szCs w:val="24"/>
        </w:rPr>
        <w:t>n the part of the defendant to remove its structures.</w:t>
      </w:r>
    </w:p>
    <w:p w14:paraId="1CBC91F8" w14:textId="149D7873" w:rsidR="00A06402" w:rsidRDefault="00A06402" w:rsidP="00D567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It is firmly established that in appropriate situations damages arising from an omission are claimable.  </w:t>
      </w:r>
      <w:r w:rsidRPr="000606F2">
        <w:rPr>
          <w:rFonts w:ascii="Times New Roman" w:hAnsi="Times New Roman" w:cs="Times New Roman"/>
          <w:sz w:val="24"/>
          <w:szCs w:val="24"/>
        </w:rPr>
        <w:t xml:space="preserve">See </w:t>
      </w:r>
      <w:r w:rsidRPr="00A06402">
        <w:rPr>
          <w:rFonts w:ascii="Times New Roman" w:hAnsi="Times New Roman" w:cs="Times New Roman"/>
          <w:i/>
          <w:sz w:val="24"/>
          <w:szCs w:val="24"/>
        </w:rPr>
        <w:t xml:space="preserve">Mapingure </w:t>
      </w:r>
      <w:r w:rsidRPr="000606F2">
        <w:rPr>
          <w:rFonts w:ascii="Times New Roman" w:hAnsi="Times New Roman" w:cs="Times New Roman"/>
          <w:iCs/>
          <w:sz w:val="24"/>
          <w:szCs w:val="24"/>
        </w:rPr>
        <w:t>v</w:t>
      </w:r>
      <w:r w:rsidRPr="00A06402">
        <w:rPr>
          <w:rFonts w:ascii="Times New Roman" w:hAnsi="Times New Roman" w:cs="Times New Roman"/>
          <w:i/>
          <w:sz w:val="24"/>
          <w:szCs w:val="24"/>
        </w:rPr>
        <w:t xml:space="preserve"> Minister of Home Affairs &amp; Others</w:t>
      </w:r>
      <w:r>
        <w:rPr>
          <w:rFonts w:ascii="Times New Roman" w:hAnsi="Times New Roman" w:cs="Times New Roman"/>
          <w:sz w:val="24"/>
          <w:szCs w:val="24"/>
        </w:rPr>
        <w:t xml:space="preserve"> SC 22-14, </w:t>
      </w:r>
      <w:r w:rsidRPr="00A06402">
        <w:rPr>
          <w:rFonts w:ascii="Times New Roman" w:hAnsi="Times New Roman" w:cs="Times New Roman"/>
          <w:i/>
          <w:sz w:val="24"/>
          <w:szCs w:val="24"/>
        </w:rPr>
        <w:t xml:space="preserve">Minister of Police </w:t>
      </w:r>
      <w:r w:rsidRPr="000606F2">
        <w:rPr>
          <w:rFonts w:ascii="Times New Roman" w:hAnsi="Times New Roman" w:cs="Times New Roman"/>
          <w:iCs/>
          <w:sz w:val="24"/>
          <w:szCs w:val="24"/>
        </w:rPr>
        <w:t>v</w:t>
      </w:r>
      <w:r>
        <w:rPr>
          <w:rFonts w:ascii="Times New Roman" w:hAnsi="Times New Roman" w:cs="Times New Roman"/>
          <w:sz w:val="24"/>
          <w:szCs w:val="24"/>
        </w:rPr>
        <w:t xml:space="preserve"> </w:t>
      </w:r>
      <w:r w:rsidRPr="00A06402">
        <w:rPr>
          <w:rFonts w:ascii="Times New Roman" w:hAnsi="Times New Roman" w:cs="Times New Roman"/>
          <w:i/>
          <w:sz w:val="24"/>
          <w:szCs w:val="24"/>
        </w:rPr>
        <w:t xml:space="preserve">Ewels </w:t>
      </w:r>
      <w:r>
        <w:rPr>
          <w:rFonts w:ascii="Times New Roman" w:hAnsi="Times New Roman" w:cs="Times New Roman"/>
          <w:sz w:val="24"/>
          <w:szCs w:val="24"/>
        </w:rPr>
        <w:t xml:space="preserve">1975 (3) ST 590 AD and </w:t>
      </w:r>
      <w:r w:rsidRPr="00A06402">
        <w:rPr>
          <w:rFonts w:ascii="Times New Roman" w:hAnsi="Times New Roman" w:cs="Times New Roman"/>
          <w:i/>
          <w:sz w:val="24"/>
          <w:szCs w:val="24"/>
        </w:rPr>
        <w:t xml:space="preserve">King </w:t>
      </w:r>
      <w:r w:rsidRPr="000606F2">
        <w:rPr>
          <w:rFonts w:ascii="Times New Roman" w:hAnsi="Times New Roman" w:cs="Times New Roman"/>
          <w:iCs/>
          <w:sz w:val="24"/>
          <w:szCs w:val="24"/>
        </w:rPr>
        <w:t>v</w:t>
      </w:r>
      <w:r w:rsidRPr="00A06402">
        <w:rPr>
          <w:rFonts w:ascii="Times New Roman" w:hAnsi="Times New Roman" w:cs="Times New Roman"/>
          <w:i/>
          <w:sz w:val="24"/>
          <w:szCs w:val="24"/>
        </w:rPr>
        <w:t xml:space="preserve"> Dykes</w:t>
      </w:r>
      <w:r>
        <w:rPr>
          <w:rFonts w:ascii="Times New Roman" w:hAnsi="Times New Roman" w:cs="Times New Roman"/>
          <w:sz w:val="24"/>
          <w:szCs w:val="24"/>
        </w:rPr>
        <w:t xml:space="preserve"> 1971 (2) RLR 151.</w:t>
      </w:r>
    </w:p>
    <w:p w14:paraId="4CE403A4" w14:textId="597108CE" w:rsidR="00AF0F8A" w:rsidRDefault="00A06402" w:rsidP="00AF0F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question of liability arising from an omission, Feltoe </w:t>
      </w:r>
      <w:r w:rsidRPr="000606F2">
        <w:rPr>
          <w:rFonts w:ascii="Times New Roman" w:hAnsi="Times New Roman" w:cs="Times New Roman"/>
          <w:i/>
          <w:iCs/>
          <w:sz w:val="24"/>
          <w:szCs w:val="24"/>
        </w:rPr>
        <w:t xml:space="preserve">op </w:t>
      </w:r>
      <w:r w:rsidR="000606F2" w:rsidRPr="000606F2">
        <w:rPr>
          <w:rFonts w:ascii="Times New Roman" w:hAnsi="Times New Roman" w:cs="Times New Roman"/>
          <w:i/>
          <w:iCs/>
          <w:sz w:val="24"/>
          <w:szCs w:val="24"/>
        </w:rPr>
        <w:t>cit</w:t>
      </w:r>
      <w:r>
        <w:rPr>
          <w:rFonts w:ascii="Times New Roman" w:hAnsi="Times New Roman" w:cs="Times New Roman"/>
          <w:sz w:val="24"/>
          <w:szCs w:val="24"/>
        </w:rPr>
        <w:t xml:space="preserve"> </w:t>
      </w:r>
      <w:r w:rsidR="000606F2">
        <w:rPr>
          <w:rFonts w:ascii="Times New Roman" w:hAnsi="Times New Roman" w:cs="Times New Roman"/>
          <w:sz w:val="24"/>
          <w:szCs w:val="24"/>
        </w:rPr>
        <w:t xml:space="preserve">at page 29 </w:t>
      </w:r>
      <w:r>
        <w:rPr>
          <w:rFonts w:ascii="Times New Roman" w:hAnsi="Times New Roman" w:cs="Times New Roman"/>
          <w:sz w:val="24"/>
          <w:szCs w:val="24"/>
        </w:rPr>
        <w:t>has this to say</w:t>
      </w:r>
      <w:r w:rsidR="000606F2">
        <w:rPr>
          <w:rFonts w:ascii="Times New Roman" w:hAnsi="Times New Roman" w:cs="Times New Roman"/>
          <w:sz w:val="24"/>
          <w:szCs w:val="24"/>
        </w:rPr>
        <w:t>:</w:t>
      </w:r>
    </w:p>
    <w:p w14:paraId="3FA577A1" w14:textId="00F7549D" w:rsidR="00A06402" w:rsidRPr="000606F2" w:rsidRDefault="00A06402" w:rsidP="000606F2">
      <w:pPr>
        <w:pStyle w:val="NoSpacing"/>
        <w:ind w:left="1440"/>
        <w:jc w:val="both"/>
        <w:rPr>
          <w:rFonts w:ascii="Times New Roman" w:hAnsi="Times New Roman" w:cs="Times New Roman"/>
          <w:iCs/>
        </w:rPr>
      </w:pPr>
      <w:r w:rsidRPr="000606F2">
        <w:rPr>
          <w:rFonts w:ascii="Times New Roman" w:hAnsi="Times New Roman" w:cs="Times New Roman"/>
          <w:iCs/>
        </w:rPr>
        <w:t xml:space="preserve">“Where patrimonial loss </w:t>
      </w:r>
      <w:r w:rsidR="001A5314" w:rsidRPr="000606F2">
        <w:rPr>
          <w:rFonts w:ascii="Times New Roman" w:hAnsi="Times New Roman" w:cs="Times New Roman"/>
          <w:iCs/>
        </w:rPr>
        <w:t>ac</w:t>
      </w:r>
      <w:r w:rsidR="000606F2">
        <w:rPr>
          <w:rFonts w:ascii="Times New Roman" w:hAnsi="Times New Roman" w:cs="Times New Roman"/>
          <w:iCs/>
        </w:rPr>
        <w:t>c</w:t>
      </w:r>
      <w:r w:rsidR="001A5314" w:rsidRPr="000606F2">
        <w:rPr>
          <w:rFonts w:ascii="Times New Roman" w:hAnsi="Times New Roman" w:cs="Times New Roman"/>
          <w:iCs/>
        </w:rPr>
        <w:t>r</w:t>
      </w:r>
      <w:r w:rsidR="000606F2">
        <w:rPr>
          <w:rFonts w:ascii="Times New Roman" w:hAnsi="Times New Roman" w:cs="Times New Roman"/>
          <w:iCs/>
        </w:rPr>
        <w:t>u</w:t>
      </w:r>
      <w:r w:rsidR="001A5314" w:rsidRPr="000606F2">
        <w:rPr>
          <w:rFonts w:ascii="Times New Roman" w:hAnsi="Times New Roman" w:cs="Times New Roman"/>
          <w:iCs/>
        </w:rPr>
        <w:t>es</w:t>
      </w:r>
      <w:r w:rsidRPr="000606F2">
        <w:rPr>
          <w:rFonts w:ascii="Times New Roman" w:hAnsi="Times New Roman" w:cs="Times New Roman"/>
          <w:iCs/>
        </w:rPr>
        <w:t xml:space="preserve"> </w:t>
      </w:r>
      <w:r w:rsidR="000606F2">
        <w:rPr>
          <w:rFonts w:ascii="Times New Roman" w:hAnsi="Times New Roman" w:cs="Times New Roman"/>
          <w:iCs/>
        </w:rPr>
        <w:t>as</w:t>
      </w:r>
      <w:r w:rsidRPr="000606F2">
        <w:rPr>
          <w:rFonts w:ascii="Times New Roman" w:hAnsi="Times New Roman" w:cs="Times New Roman"/>
          <w:iCs/>
        </w:rPr>
        <w:t xml:space="preserve"> a result of harm caused by an omission as opposed to physical conduct there are special rules which apply.  In general terms, there is no delictual liability for an </w:t>
      </w:r>
      <w:r w:rsidR="00111024" w:rsidRPr="000606F2">
        <w:rPr>
          <w:rFonts w:ascii="Times New Roman" w:hAnsi="Times New Roman" w:cs="Times New Roman"/>
          <w:iCs/>
        </w:rPr>
        <w:t>omission, unless in the circumstances</w:t>
      </w:r>
      <w:r w:rsidR="009F3AA2">
        <w:rPr>
          <w:rFonts w:ascii="Times New Roman" w:hAnsi="Times New Roman" w:cs="Times New Roman"/>
          <w:iCs/>
        </w:rPr>
        <w:t xml:space="preserve"> the law</w:t>
      </w:r>
      <w:r w:rsidR="00111024" w:rsidRPr="000606F2">
        <w:rPr>
          <w:rFonts w:ascii="Times New Roman" w:hAnsi="Times New Roman" w:cs="Times New Roman"/>
          <w:iCs/>
        </w:rPr>
        <w:t xml:space="preserve"> recognises that there is a legal duty to take positive action to prevent harm from occurring.” </w:t>
      </w:r>
    </w:p>
    <w:p w14:paraId="250FF6E9" w14:textId="77777777" w:rsidR="00AF0F8A" w:rsidRPr="00AF0F8A" w:rsidRDefault="00AF0F8A" w:rsidP="000606F2">
      <w:pPr>
        <w:pStyle w:val="NoSpacing"/>
        <w:ind w:left="1440"/>
        <w:rPr>
          <w:rFonts w:ascii="Times New Roman" w:hAnsi="Times New Roman" w:cs="Times New Roman"/>
          <w:i/>
          <w:sz w:val="24"/>
          <w:szCs w:val="24"/>
        </w:rPr>
      </w:pPr>
    </w:p>
    <w:p w14:paraId="4F7940CB" w14:textId="1B74B26F" w:rsidR="00111024" w:rsidRDefault="00111024" w:rsidP="00D567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learned author however caution</w:t>
      </w:r>
      <w:r w:rsidR="009F3AA2">
        <w:rPr>
          <w:rFonts w:ascii="Times New Roman" w:hAnsi="Times New Roman" w:cs="Times New Roman"/>
          <w:sz w:val="24"/>
          <w:szCs w:val="24"/>
        </w:rPr>
        <w:t>s</w:t>
      </w:r>
      <w:r>
        <w:rPr>
          <w:rFonts w:ascii="Times New Roman" w:hAnsi="Times New Roman" w:cs="Times New Roman"/>
          <w:sz w:val="24"/>
          <w:szCs w:val="24"/>
        </w:rPr>
        <w:t xml:space="preserve"> that not all moral situations amount to legal obligation to act positively.  He </w:t>
      </w:r>
      <w:r w:rsidR="001A5314">
        <w:rPr>
          <w:rFonts w:ascii="Times New Roman" w:hAnsi="Times New Roman" w:cs="Times New Roman"/>
          <w:sz w:val="24"/>
          <w:szCs w:val="24"/>
        </w:rPr>
        <w:t>lists</w:t>
      </w:r>
      <w:r>
        <w:rPr>
          <w:rFonts w:ascii="Times New Roman" w:hAnsi="Times New Roman" w:cs="Times New Roman"/>
          <w:sz w:val="24"/>
          <w:szCs w:val="24"/>
        </w:rPr>
        <w:t xml:space="preserve"> six </w:t>
      </w:r>
      <w:r w:rsidR="001A5314">
        <w:rPr>
          <w:rFonts w:ascii="Times New Roman" w:hAnsi="Times New Roman" w:cs="Times New Roman"/>
          <w:sz w:val="24"/>
          <w:szCs w:val="24"/>
        </w:rPr>
        <w:t>situations</w:t>
      </w:r>
      <w:r>
        <w:rPr>
          <w:rFonts w:ascii="Times New Roman" w:hAnsi="Times New Roman" w:cs="Times New Roman"/>
          <w:sz w:val="24"/>
          <w:szCs w:val="24"/>
        </w:rPr>
        <w:t xml:space="preserve"> where an omission leads to </w:t>
      </w:r>
      <w:r w:rsidR="001A5314">
        <w:rPr>
          <w:rFonts w:ascii="Times New Roman" w:hAnsi="Times New Roman" w:cs="Times New Roman"/>
          <w:sz w:val="24"/>
          <w:szCs w:val="24"/>
        </w:rPr>
        <w:t>a legal</w:t>
      </w:r>
      <w:r>
        <w:rPr>
          <w:rFonts w:ascii="Times New Roman" w:hAnsi="Times New Roman" w:cs="Times New Roman"/>
          <w:sz w:val="24"/>
          <w:szCs w:val="24"/>
        </w:rPr>
        <w:t xml:space="preserve"> duty</w:t>
      </w:r>
      <w:r w:rsidR="00422974">
        <w:rPr>
          <w:rFonts w:ascii="Times New Roman" w:hAnsi="Times New Roman" w:cs="Times New Roman"/>
          <w:sz w:val="24"/>
          <w:szCs w:val="24"/>
        </w:rPr>
        <w:t xml:space="preserve"> </w:t>
      </w:r>
      <w:r w:rsidR="001A5314">
        <w:rPr>
          <w:rFonts w:ascii="Times New Roman" w:hAnsi="Times New Roman" w:cs="Times New Roman"/>
          <w:sz w:val="24"/>
          <w:szCs w:val="24"/>
        </w:rPr>
        <w:t>namely (</w:t>
      </w:r>
      <w:r w:rsidR="00422974">
        <w:rPr>
          <w:rFonts w:ascii="Times New Roman" w:hAnsi="Times New Roman" w:cs="Times New Roman"/>
          <w:sz w:val="24"/>
          <w:szCs w:val="24"/>
        </w:rPr>
        <w:t>i)   creation of a dangerous situation (ii)assumption of control over a dangerous situation which the defendant did not create (iii) protective relationship (which includes bo</w:t>
      </w:r>
      <w:r w:rsidR="009F3AA2">
        <w:rPr>
          <w:rFonts w:ascii="Times New Roman" w:hAnsi="Times New Roman" w:cs="Times New Roman"/>
          <w:sz w:val="24"/>
          <w:szCs w:val="24"/>
        </w:rPr>
        <w:t>th</w:t>
      </w:r>
      <w:r w:rsidR="00422974">
        <w:rPr>
          <w:rFonts w:ascii="Times New Roman" w:hAnsi="Times New Roman" w:cs="Times New Roman"/>
          <w:sz w:val="24"/>
          <w:szCs w:val="24"/>
        </w:rPr>
        <w:t xml:space="preserve"> blood </w:t>
      </w:r>
      <w:r w:rsidR="001A5314">
        <w:rPr>
          <w:rFonts w:ascii="Times New Roman" w:hAnsi="Times New Roman" w:cs="Times New Roman"/>
          <w:sz w:val="24"/>
          <w:szCs w:val="24"/>
        </w:rPr>
        <w:t>relationship, such</w:t>
      </w:r>
      <w:r w:rsidR="00422974">
        <w:rPr>
          <w:rFonts w:ascii="Times New Roman" w:hAnsi="Times New Roman" w:cs="Times New Roman"/>
          <w:sz w:val="24"/>
          <w:szCs w:val="24"/>
        </w:rPr>
        <w:t xml:space="preserve"> as mother and her own child, and other </w:t>
      </w:r>
      <w:r w:rsidR="001A5314">
        <w:rPr>
          <w:rFonts w:ascii="Times New Roman" w:hAnsi="Times New Roman" w:cs="Times New Roman"/>
          <w:sz w:val="24"/>
          <w:szCs w:val="24"/>
        </w:rPr>
        <w:t>relationship, such</w:t>
      </w:r>
      <w:r w:rsidR="00422974">
        <w:rPr>
          <w:rFonts w:ascii="Times New Roman" w:hAnsi="Times New Roman" w:cs="Times New Roman"/>
          <w:sz w:val="24"/>
          <w:szCs w:val="24"/>
        </w:rPr>
        <w:t xml:space="preserve"> as baby-sitter and a child which she is looking after); (iv) public office or calling (</w:t>
      </w:r>
      <w:r w:rsidR="001A5314">
        <w:rPr>
          <w:rFonts w:ascii="Times New Roman" w:hAnsi="Times New Roman" w:cs="Times New Roman"/>
          <w:sz w:val="24"/>
          <w:szCs w:val="24"/>
        </w:rPr>
        <w:t>e.g.</w:t>
      </w:r>
      <w:r w:rsidR="00422974">
        <w:rPr>
          <w:rFonts w:ascii="Times New Roman" w:hAnsi="Times New Roman" w:cs="Times New Roman"/>
          <w:sz w:val="24"/>
          <w:szCs w:val="24"/>
        </w:rPr>
        <w:t xml:space="preserve"> a policeman; (v) statutory duty; and (vi) contract and undertaking.</w:t>
      </w:r>
    </w:p>
    <w:p w14:paraId="1A71DCB7" w14:textId="0F593B40" w:rsidR="00C6414B" w:rsidRDefault="001A5314" w:rsidP="00D567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However,</w:t>
      </w:r>
      <w:r w:rsidR="00C6414B">
        <w:rPr>
          <w:rFonts w:ascii="Times New Roman" w:hAnsi="Times New Roman" w:cs="Times New Roman"/>
          <w:sz w:val="24"/>
          <w:szCs w:val="24"/>
        </w:rPr>
        <w:t xml:space="preserve"> </w:t>
      </w:r>
      <w:r w:rsidR="009F3AA2">
        <w:rPr>
          <w:rFonts w:ascii="Times New Roman" w:hAnsi="Times New Roman" w:cs="Times New Roman"/>
          <w:sz w:val="24"/>
          <w:szCs w:val="24"/>
        </w:rPr>
        <w:t>F</w:t>
      </w:r>
      <w:r w:rsidR="00C6414B">
        <w:rPr>
          <w:rFonts w:ascii="Times New Roman" w:hAnsi="Times New Roman" w:cs="Times New Roman"/>
          <w:sz w:val="24"/>
          <w:szCs w:val="24"/>
        </w:rPr>
        <w:t>eltoe</w:t>
      </w:r>
      <w:r w:rsidR="003C6DBB">
        <w:rPr>
          <w:rFonts w:ascii="Times New Roman" w:hAnsi="Times New Roman" w:cs="Times New Roman"/>
          <w:sz w:val="24"/>
          <w:szCs w:val="24"/>
        </w:rPr>
        <w:t xml:space="preserve">, </w:t>
      </w:r>
      <w:r w:rsidR="003C6DBB" w:rsidRPr="003C6DBB">
        <w:rPr>
          <w:rFonts w:ascii="Times New Roman" w:hAnsi="Times New Roman" w:cs="Times New Roman"/>
          <w:i/>
          <w:iCs/>
          <w:sz w:val="24"/>
          <w:szCs w:val="24"/>
        </w:rPr>
        <w:t>op cit</w:t>
      </w:r>
      <w:r w:rsidR="00C6414B">
        <w:rPr>
          <w:rFonts w:ascii="Times New Roman" w:hAnsi="Times New Roman" w:cs="Times New Roman"/>
          <w:sz w:val="24"/>
          <w:szCs w:val="24"/>
        </w:rPr>
        <w:t xml:space="preserve"> points out that the </w:t>
      </w:r>
      <w:r>
        <w:rPr>
          <w:rFonts w:ascii="Times New Roman" w:hAnsi="Times New Roman" w:cs="Times New Roman"/>
          <w:sz w:val="24"/>
          <w:szCs w:val="24"/>
        </w:rPr>
        <w:t>courts</w:t>
      </w:r>
      <w:r w:rsidR="00C6414B">
        <w:rPr>
          <w:rFonts w:ascii="Times New Roman" w:hAnsi="Times New Roman" w:cs="Times New Roman"/>
          <w:sz w:val="24"/>
          <w:szCs w:val="24"/>
        </w:rPr>
        <w:t xml:space="preserve"> in South Africa and Zimbabwe have laid down that in a situation where there is no precedent for making the defendant liable the courts will only recognise a legal duty so as to impose liability if in that situation, not only does the omission evoke moral</w:t>
      </w:r>
      <w:r w:rsidR="00D56B2E">
        <w:rPr>
          <w:rFonts w:ascii="Times New Roman" w:hAnsi="Times New Roman" w:cs="Times New Roman"/>
          <w:sz w:val="24"/>
          <w:szCs w:val="24"/>
        </w:rPr>
        <w:t xml:space="preserve"> indignation but also the legal convictions of the community </w:t>
      </w:r>
      <w:r w:rsidR="009F3AA2">
        <w:rPr>
          <w:rFonts w:ascii="Times New Roman" w:hAnsi="Times New Roman" w:cs="Times New Roman"/>
          <w:sz w:val="24"/>
          <w:szCs w:val="24"/>
        </w:rPr>
        <w:t>demand</w:t>
      </w:r>
      <w:r w:rsidR="00D56B2E">
        <w:rPr>
          <w:rFonts w:ascii="Times New Roman" w:hAnsi="Times New Roman" w:cs="Times New Roman"/>
          <w:sz w:val="24"/>
          <w:szCs w:val="24"/>
        </w:rPr>
        <w:t xml:space="preserve"> that the omission be regarded as wrongful and the loss should be compensated by the person who failed to act positively.</w:t>
      </w:r>
    </w:p>
    <w:p w14:paraId="258AEC73" w14:textId="3B0FD8C6" w:rsidR="008D23A2" w:rsidRDefault="008D23A2" w:rsidP="00D567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9F3AA2">
        <w:rPr>
          <w:rFonts w:ascii="Times New Roman" w:hAnsi="Times New Roman" w:cs="Times New Roman"/>
          <w:i/>
          <w:iCs/>
          <w:sz w:val="24"/>
          <w:szCs w:val="24"/>
        </w:rPr>
        <w:t>casu</w:t>
      </w:r>
      <w:r>
        <w:rPr>
          <w:rFonts w:ascii="Times New Roman" w:hAnsi="Times New Roman" w:cs="Times New Roman"/>
          <w:sz w:val="24"/>
          <w:szCs w:val="24"/>
        </w:rPr>
        <w:t xml:space="preserve"> I find that the moral duty</w:t>
      </w:r>
      <w:r w:rsidR="00AB1E33">
        <w:rPr>
          <w:rFonts w:ascii="Times New Roman" w:hAnsi="Times New Roman" w:cs="Times New Roman"/>
          <w:sz w:val="24"/>
          <w:szCs w:val="24"/>
        </w:rPr>
        <w:t xml:space="preserve"> reposed on the defendant to act translates, upon an objective assessment of the history of the case to a legal duty.  This is not only because the structures it had erected were of considerable value and size, according to the evidence but also that the defendant had undertaken to swop the stands but soon reneged on that undertak</w:t>
      </w:r>
      <w:r w:rsidR="009F3AA2">
        <w:rPr>
          <w:rFonts w:ascii="Times New Roman" w:hAnsi="Times New Roman" w:cs="Times New Roman"/>
          <w:sz w:val="24"/>
          <w:szCs w:val="24"/>
        </w:rPr>
        <w:t>i</w:t>
      </w:r>
      <w:r w:rsidR="00AB1E33">
        <w:rPr>
          <w:rFonts w:ascii="Times New Roman" w:hAnsi="Times New Roman" w:cs="Times New Roman"/>
          <w:sz w:val="24"/>
          <w:szCs w:val="24"/>
        </w:rPr>
        <w:t>n</w:t>
      </w:r>
      <w:r w:rsidR="009F3AA2">
        <w:rPr>
          <w:rFonts w:ascii="Times New Roman" w:hAnsi="Times New Roman" w:cs="Times New Roman"/>
          <w:sz w:val="24"/>
          <w:szCs w:val="24"/>
        </w:rPr>
        <w:t>g</w:t>
      </w:r>
      <w:r w:rsidR="00AB1E33">
        <w:rPr>
          <w:rFonts w:ascii="Times New Roman" w:hAnsi="Times New Roman" w:cs="Times New Roman"/>
          <w:sz w:val="24"/>
          <w:szCs w:val="24"/>
        </w:rPr>
        <w:t>.  The plaintiff was therefore in the intervening period unable to demolish the offending structures in the hope of the swop going through.</w:t>
      </w:r>
    </w:p>
    <w:p w14:paraId="0D8BE7BC" w14:textId="4D965695" w:rsidR="00AB1E33" w:rsidRDefault="000259CB" w:rsidP="00D567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Therefore,</w:t>
      </w:r>
      <w:r w:rsidR="00AB1E33">
        <w:rPr>
          <w:rFonts w:ascii="Times New Roman" w:hAnsi="Times New Roman" w:cs="Times New Roman"/>
          <w:sz w:val="24"/>
          <w:szCs w:val="24"/>
        </w:rPr>
        <w:t xml:space="preserve"> the omission on the part of the defendant amounted to actionable conduct.</w:t>
      </w:r>
    </w:p>
    <w:p w14:paraId="70A5CE14" w14:textId="65229AC8" w:rsidR="00AB1E33" w:rsidRDefault="00AB1E33" w:rsidP="00D567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Before leaving this particular requirement, a w</w:t>
      </w:r>
      <w:r w:rsidR="009F3AA2">
        <w:rPr>
          <w:rFonts w:ascii="Times New Roman" w:hAnsi="Times New Roman" w:cs="Times New Roman"/>
          <w:sz w:val="24"/>
          <w:szCs w:val="24"/>
        </w:rPr>
        <w:t>o</w:t>
      </w:r>
      <w:r>
        <w:rPr>
          <w:rFonts w:ascii="Times New Roman" w:hAnsi="Times New Roman" w:cs="Times New Roman"/>
          <w:sz w:val="24"/>
          <w:szCs w:val="24"/>
        </w:rPr>
        <w:t xml:space="preserve">rd must be said about the requirement for liability in </w:t>
      </w:r>
      <w:r w:rsidRPr="008B65A8">
        <w:rPr>
          <w:rFonts w:ascii="Times New Roman" w:hAnsi="Times New Roman" w:cs="Times New Roman"/>
          <w:i/>
          <w:sz w:val="24"/>
          <w:szCs w:val="24"/>
        </w:rPr>
        <w:t>casu</w:t>
      </w:r>
      <w:r>
        <w:rPr>
          <w:rFonts w:ascii="Times New Roman" w:hAnsi="Times New Roman" w:cs="Times New Roman"/>
          <w:sz w:val="24"/>
          <w:szCs w:val="24"/>
        </w:rPr>
        <w:t xml:space="preserve"> of pure economic loss. In such claims the approach of the courts has been to impose some further limiting criteria additional to the criterion of negligence.  This is because the scope of liability will be virtually limitless if no</w:t>
      </w:r>
      <w:r w:rsidR="008B65A8">
        <w:rPr>
          <w:rFonts w:ascii="Times New Roman" w:hAnsi="Times New Roman" w:cs="Times New Roman"/>
          <w:sz w:val="24"/>
          <w:szCs w:val="24"/>
        </w:rPr>
        <w:t xml:space="preserve"> </w:t>
      </w:r>
      <w:r>
        <w:rPr>
          <w:rFonts w:ascii="Times New Roman" w:hAnsi="Times New Roman" w:cs="Times New Roman"/>
          <w:sz w:val="24"/>
          <w:szCs w:val="24"/>
        </w:rPr>
        <w:t xml:space="preserve">further restrictions are imposed.  In </w:t>
      </w:r>
      <w:r w:rsidRPr="003A75EB">
        <w:rPr>
          <w:rFonts w:ascii="Times New Roman" w:hAnsi="Times New Roman" w:cs="Times New Roman"/>
          <w:i/>
          <w:iCs/>
          <w:sz w:val="24"/>
          <w:szCs w:val="24"/>
        </w:rPr>
        <w:t>Tobacco Finance</w:t>
      </w:r>
      <w:r>
        <w:rPr>
          <w:rFonts w:ascii="Times New Roman" w:hAnsi="Times New Roman" w:cs="Times New Roman"/>
          <w:sz w:val="24"/>
          <w:szCs w:val="24"/>
        </w:rPr>
        <w:t xml:space="preserve"> </w:t>
      </w:r>
      <w:r w:rsidRPr="003A75EB">
        <w:rPr>
          <w:rFonts w:ascii="Times New Roman" w:hAnsi="Times New Roman" w:cs="Times New Roman"/>
          <w:i/>
          <w:iCs/>
          <w:sz w:val="24"/>
          <w:szCs w:val="24"/>
        </w:rPr>
        <w:t>(Pvt) Ltd</w:t>
      </w:r>
      <w:r>
        <w:rPr>
          <w:rFonts w:ascii="Times New Roman" w:hAnsi="Times New Roman" w:cs="Times New Roman"/>
          <w:sz w:val="24"/>
          <w:szCs w:val="24"/>
        </w:rPr>
        <w:t xml:space="preserve"> </w:t>
      </w:r>
      <w:r w:rsidR="00FD2490">
        <w:rPr>
          <w:rFonts w:ascii="Times New Roman" w:hAnsi="Times New Roman" w:cs="Times New Roman"/>
          <w:sz w:val="24"/>
          <w:szCs w:val="24"/>
        </w:rPr>
        <w:t xml:space="preserve">v </w:t>
      </w:r>
      <w:r w:rsidR="00FD2490" w:rsidRPr="003A75EB">
        <w:rPr>
          <w:rFonts w:ascii="Times New Roman" w:hAnsi="Times New Roman" w:cs="Times New Roman"/>
          <w:i/>
          <w:iCs/>
          <w:sz w:val="24"/>
          <w:szCs w:val="24"/>
        </w:rPr>
        <w:t>ZIMNAT I</w:t>
      </w:r>
      <w:r w:rsidR="008B65A8" w:rsidRPr="003A75EB">
        <w:rPr>
          <w:rFonts w:ascii="Times New Roman" w:hAnsi="Times New Roman" w:cs="Times New Roman"/>
          <w:i/>
          <w:iCs/>
          <w:sz w:val="24"/>
          <w:szCs w:val="24"/>
        </w:rPr>
        <w:t>nsu</w:t>
      </w:r>
      <w:r w:rsidR="00FD2490" w:rsidRPr="003A75EB">
        <w:rPr>
          <w:rFonts w:ascii="Times New Roman" w:hAnsi="Times New Roman" w:cs="Times New Roman"/>
          <w:i/>
          <w:iCs/>
          <w:sz w:val="24"/>
          <w:szCs w:val="24"/>
        </w:rPr>
        <w:t>rance</w:t>
      </w:r>
      <w:r w:rsidR="00FD2490">
        <w:rPr>
          <w:rFonts w:ascii="Times New Roman" w:hAnsi="Times New Roman" w:cs="Times New Roman"/>
          <w:sz w:val="24"/>
          <w:szCs w:val="24"/>
        </w:rPr>
        <w:t xml:space="preserve"> </w:t>
      </w:r>
      <w:r w:rsidR="00A35F46">
        <w:rPr>
          <w:rFonts w:ascii="Times New Roman" w:hAnsi="Times New Roman" w:cs="Times New Roman"/>
          <w:sz w:val="24"/>
          <w:szCs w:val="24"/>
        </w:rPr>
        <w:t>1982 (1) ZLR 47 (H)</w:t>
      </w:r>
      <w:r w:rsidR="005E0D27">
        <w:rPr>
          <w:rFonts w:ascii="Times New Roman" w:hAnsi="Times New Roman" w:cs="Times New Roman"/>
          <w:sz w:val="24"/>
          <w:szCs w:val="24"/>
        </w:rPr>
        <w:t xml:space="preserve"> the following was stated:</w:t>
      </w:r>
    </w:p>
    <w:p w14:paraId="7B98D700" w14:textId="77777777" w:rsidR="005E0D27" w:rsidRDefault="005E0D27" w:rsidP="005E0D27">
      <w:pPr>
        <w:spacing w:after="0" w:line="360" w:lineRule="auto"/>
        <w:ind w:left="720" w:firstLine="720"/>
        <w:jc w:val="both"/>
        <w:rPr>
          <w:rFonts w:ascii="Times New Roman" w:hAnsi="Times New Roman" w:cs="Times New Roman"/>
          <w:sz w:val="24"/>
          <w:szCs w:val="24"/>
        </w:rPr>
      </w:pPr>
    </w:p>
    <w:p w14:paraId="4C743DF1" w14:textId="65ED4A52" w:rsidR="00FD2490" w:rsidRPr="005E0D27" w:rsidRDefault="005E0D27" w:rsidP="005E0D27">
      <w:pPr>
        <w:spacing w:after="0"/>
        <w:ind w:left="1440"/>
        <w:jc w:val="both"/>
        <w:rPr>
          <w:rFonts w:ascii="Times New Roman" w:hAnsi="Times New Roman" w:cs="Times New Roman"/>
        </w:rPr>
      </w:pPr>
      <w:r w:rsidRPr="005E0D27">
        <w:rPr>
          <w:rFonts w:ascii="Times New Roman" w:hAnsi="Times New Roman" w:cs="Times New Roman"/>
        </w:rPr>
        <w:t>“…it is equally clear that not all cases of economic loss have the same potential breadth of liability; and where they do not, it seems to me Mr Andersen's submission is sound that the law does not preclude recovery for loss of a pure economic nature. The mere fact that loss is economic only, that is, it does not arise from physical injury, does not mean that it is indeterminate and unmanageable. And if, as HOEXTER, J, put it in the Greenfield Engineering Works decision, the loss is finite, there is no need to speculate on the identity of possible claimants, and it is a single loss occurring once with no multiplicity of actions likely to follow in its train, then there is no pragmatic objection to allowing the recovery of pure economic loss provided that other requirements of liability, such as foreseeability of harm, are present.</w:t>
      </w:r>
    </w:p>
    <w:p w14:paraId="5E2EB1FE" w14:textId="63CB61FB" w:rsidR="005E0D27" w:rsidRDefault="005E0D27" w:rsidP="005E0D27">
      <w:pPr>
        <w:spacing w:after="0" w:line="360" w:lineRule="auto"/>
        <w:jc w:val="both"/>
        <w:rPr>
          <w:rFonts w:ascii="Times New Roman" w:hAnsi="Times New Roman" w:cs="Times New Roman"/>
          <w:sz w:val="24"/>
          <w:szCs w:val="24"/>
        </w:rPr>
      </w:pPr>
    </w:p>
    <w:p w14:paraId="0C7AB932" w14:textId="77777777" w:rsidR="005E0D27" w:rsidRDefault="005E0D27" w:rsidP="005E0D27">
      <w:pPr>
        <w:spacing w:after="0" w:line="360" w:lineRule="auto"/>
        <w:jc w:val="both"/>
        <w:rPr>
          <w:rFonts w:ascii="Times New Roman" w:hAnsi="Times New Roman" w:cs="Times New Roman"/>
          <w:sz w:val="24"/>
          <w:szCs w:val="24"/>
        </w:rPr>
      </w:pPr>
    </w:p>
    <w:p w14:paraId="2C8D490F" w14:textId="41EF774C" w:rsidR="00FD2490" w:rsidRPr="003A75EB" w:rsidRDefault="00857D9B" w:rsidP="00D5676E">
      <w:pPr>
        <w:spacing w:after="0" w:line="360" w:lineRule="auto"/>
        <w:ind w:firstLine="720"/>
        <w:jc w:val="both"/>
        <w:rPr>
          <w:rFonts w:ascii="Times New Roman" w:hAnsi="Times New Roman" w:cs="Times New Roman"/>
          <w:sz w:val="24"/>
          <w:szCs w:val="24"/>
        </w:rPr>
      </w:pPr>
      <w:r w:rsidRPr="003A75EB">
        <w:rPr>
          <w:rFonts w:ascii="Times New Roman" w:hAnsi="Times New Roman" w:cs="Times New Roman"/>
          <w:sz w:val="24"/>
          <w:szCs w:val="24"/>
        </w:rPr>
        <w:t>Similarly,</w:t>
      </w:r>
      <w:r w:rsidR="00FD2490" w:rsidRPr="003A75EB">
        <w:rPr>
          <w:rFonts w:ascii="Times New Roman" w:hAnsi="Times New Roman" w:cs="Times New Roman"/>
          <w:sz w:val="24"/>
          <w:szCs w:val="24"/>
        </w:rPr>
        <w:t xml:space="preserve"> JC Van Der Walt </w:t>
      </w:r>
      <w:r w:rsidRPr="003A75EB">
        <w:rPr>
          <w:rFonts w:ascii="Times New Roman" w:hAnsi="Times New Roman" w:cs="Times New Roman"/>
          <w:sz w:val="24"/>
          <w:szCs w:val="24"/>
        </w:rPr>
        <w:t>Delict:</w:t>
      </w:r>
      <w:r w:rsidR="00FD2490" w:rsidRPr="003A75EB">
        <w:rPr>
          <w:rFonts w:ascii="Times New Roman" w:hAnsi="Times New Roman" w:cs="Times New Roman"/>
          <w:sz w:val="24"/>
          <w:szCs w:val="24"/>
        </w:rPr>
        <w:t xml:space="preserve"> Principles and cases the following is stated</w:t>
      </w:r>
      <w:r w:rsidR="003A75EB">
        <w:rPr>
          <w:rFonts w:ascii="Times New Roman" w:hAnsi="Times New Roman" w:cs="Times New Roman"/>
          <w:sz w:val="24"/>
          <w:szCs w:val="24"/>
        </w:rPr>
        <w:t>:</w:t>
      </w:r>
    </w:p>
    <w:p w14:paraId="6FF66628" w14:textId="4A964596" w:rsidR="00FD2490" w:rsidRPr="003A75EB" w:rsidRDefault="00857D9B" w:rsidP="003A75EB">
      <w:pPr>
        <w:pStyle w:val="NoSpacing"/>
        <w:spacing w:line="276" w:lineRule="auto"/>
        <w:ind w:left="1440"/>
        <w:jc w:val="both"/>
        <w:rPr>
          <w:rFonts w:ascii="Times New Roman" w:hAnsi="Times New Roman" w:cs="Times New Roman"/>
        </w:rPr>
      </w:pPr>
      <w:r w:rsidRPr="003A75EB">
        <w:rPr>
          <w:rFonts w:ascii="Times New Roman" w:hAnsi="Times New Roman" w:cs="Times New Roman"/>
        </w:rPr>
        <w:t>“The</w:t>
      </w:r>
      <w:r w:rsidR="00FD2490" w:rsidRPr="003A75EB">
        <w:rPr>
          <w:rFonts w:ascii="Times New Roman" w:hAnsi="Times New Roman" w:cs="Times New Roman"/>
        </w:rPr>
        <w:t xml:space="preserve"> basic requirement that the act causing the economic loss</w:t>
      </w:r>
      <w:r w:rsidR="00806404" w:rsidRPr="003A75EB">
        <w:rPr>
          <w:rFonts w:ascii="Times New Roman" w:hAnsi="Times New Roman" w:cs="Times New Roman"/>
        </w:rPr>
        <w:t xml:space="preserve"> must have been </w:t>
      </w:r>
      <w:r w:rsidRPr="003A75EB">
        <w:rPr>
          <w:rFonts w:ascii="Times New Roman" w:hAnsi="Times New Roman" w:cs="Times New Roman"/>
        </w:rPr>
        <w:t>wrongful</w:t>
      </w:r>
      <w:r w:rsidR="00806404" w:rsidRPr="003A75EB">
        <w:rPr>
          <w:rFonts w:ascii="Times New Roman" w:hAnsi="Times New Roman" w:cs="Times New Roman"/>
        </w:rPr>
        <w:t xml:space="preserve"> efforts the most effective guarantee against too wide liability.  This requires the act to be </w:t>
      </w:r>
      <w:r w:rsidR="00806404" w:rsidRPr="003A75EB">
        <w:rPr>
          <w:rFonts w:ascii="Times New Roman" w:hAnsi="Times New Roman" w:cs="Times New Roman"/>
        </w:rPr>
        <w:lastRenderedPageBreak/>
        <w:t xml:space="preserve">either in </w:t>
      </w:r>
      <w:r w:rsidRPr="003A75EB">
        <w:rPr>
          <w:rFonts w:ascii="Times New Roman" w:hAnsi="Times New Roman" w:cs="Times New Roman"/>
        </w:rPr>
        <w:t>infringement</w:t>
      </w:r>
      <w:r w:rsidR="00806404" w:rsidRPr="003A75EB">
        <w:rPr>
          <w:rFonts w:ascii="Times New Roman" w:hAnsi="Times New Roman" w:cs="Times New Roman"/>
        </w:rPr>
        <w:t xml:space="preserve"> of a recognised right or the breach of a duty to act reasonably.  The determination of the existence of a duty in the particular circumstance provides effective control over the extent of liability.  The application of foreseeability test, either in its traditional forum or as an instrument of reason and policy ensures the possibility of flexible judicial respons</w:t>
      </w:r>
      <w:r w:rsidR="00723F2E" w:rsidRPr="003A75EB">
        <w:rPr>
          <w:rFonts w:ascii="Times New Roman" w:hAnsi="Times New Roman" w:cs="Times New Roman"/>
        </w:rPr>
        <w:t xml:space="preserve">e to the policy considerations involved in an action for the recovery of pure </w:t>
      </w:r>
      <w:r w:rsidRPr="003A75EB">
        <w:rPr>
          <w:rFonts w:ascii="Times New Roman" w:hAnsi="Times New Roman" w:cs="Times New Roman"/>
        </w:rPr>
        <w:t>economic</w:t>
      </w:r>
      <w:r w:rsidR="00723F2E" w:rsidRPr="003A75EB">
        <w:rPr>
          <w:rFonts w:ascii="Times New Roman" w:hAnsi="Times New Roman" w:cs="Times New Roman"/>
        </w:rPr>
        <w:t xml:space="preserve"> loss.  The test implies that the court must carefully balance and evaluate the interests of the parties and the social consequence of the imposition of liability in a particular type of situation.  The recognition or denial of a duty to act in the particular circumstances provides a judicial device for keeping liability within acceptable limits”</w:t>
      </w:r>
    </w:p>
    <w:p w14:paraId="01F867BC" w14:textId="77777777" w:rsidR="00780500" w:rsidRPr="00780500" w:rsidRDefault="00780500" w:rsidP="00780500">
      <w:pPr>
        <w:pStyle w:val="NoSpacing"/>
        <w:ind w:left="720"/>
        <w:jc w:val="both"/>
        <w:rPr>
          <w:rFonts w:ascii="Times New Roman" w:hAnsi="Times New Roman" w:cs="Times New Roman"/>
          <w:i/>
          <w:sz w:val="24"/>
          <w:szCs w:val="24"/>
        </w:rPr>
      </w:pPr>
    </w:p>
    <w:p w14:paraId="5A9A3425" w14:textId="6337E24B" w:rsidR="00723F2E" w:rsidRDefault="00723F2E" w:rsidP="00D567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down on the same page, the learned author posits thus</w:t>
      </w:r>
    </w:p>
    <w:p w14:paraId="71F14F21" w14:textId="33554925" w:rsidR="00723F2E" w:rsidRPr="003A75EB" w:rsidRDefault="00723F2E" w:rsidP="003A75EB">
      <w:pPr>
        <w:pStyle w:val="NoSpacing"/>
        <w:spacing w:line="276" w:lineRule="auto"/>
        <w:ind w:left="1440"/>
        <w:jc w:val="both"/>
        <w:rPr>
          <w:rFonts w:ascii="Times New Roman" w:hAnsi="Times New Roman" w:cs="Times New Roman"/>
        </w:rPr>
      </w:pPr>
      <w:r w:rsidRPr="003A75EB">
        <w:rPr>
          <w:rFonts w:ascii="Times New Roman" w:hAnsi="Times New Roman" w:cs="Times New Roman"/>
        </w:rPr>
        <w:t>“There must necessarily also be a breach of duty.  The determination of the standard of care requires to comply with any duty offers a further judicial opportunity to keep liability within reasonable confines</w:t>
      </w:r>
      <w:r w:rsidR="00780500" w:rsidRPr="003A75EB">
        <w:rPr>
          <w:rFonts w:ascii="Times New Roman" w:hAnsi="Times New Roman" w:cs="Times New Roman"/>
        </w:rPr>
        <w:t>”</w:t>
      </w:r>
    </w:p>
    <w:p w14:paraId="69E3EE19" w14:textId="77777777" w:rsidR="00067957" w:rsidRPr="003A75EB" w:rsidRDefault="00067957" w:rsidP="003A75EB">
      <w:pPr>
        <w:pStyle w:val="NoSpacing"/>
        <w:spacing w:line="276" w:lineRule="auto"/>
        <w:ind w:left="1440"/>
        <w:jc w:val="both"/>
        <w:rPr>
          <w:rFonts w:ascii="Times New Roman" w:hAnsi="Times New Roman" w:cs="Times New Roman"/>
        </w:rPr>
      </w:pPr>
    </w:p>
    <w:p w14:paraId="37440C03" w14:textId="2DD3B8A8" w:rsidR="00723F2E" w:rsidRDefault="00723F2E" w:rsidP="00D567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summarise this </w:t>
      </w:r>
      <w:r w:rsidR="00857D9B">
        <w:rPr>
          <w:rFonts w:ascii="Times New Roman" w:hAnsi="Times New Roman" w:cs="Times New Roman"/>
          <w:sz w:val="24"/>
          <w:szCs w:val="24"/>
        </w:rPr>
        <w:t>segment</w:t>
      </w:r>
      <w:r>
        <w:rPr>
          <w:rFonts w:ascii="Times New Roman" w:hAnsi="Times New Roman" w:cs="Times New Roman"/>
          <w:sz w:val="24"/>
          <w:szCs w:val="24"/>
        </w:rPr>
        <w:t xml:space="preserve">, therefore, the law of delict under the </w:t>
      </w:r>
      <w:r w:rsidR="003C6DBB">
        <w:rPr>
          <w:rFonts w:ascii="Times New Roman" w:hAnsi="Times New Roman" w:cs="Times New Roman"/>
          <w:sz w:val="24"/>
          <w:szCs w:val="24"/>
        </w:rPr>
        <w:t>Aquilian</w:t>
      </w:r>
      <w:r>
        <w:rPr>
          <w:rFonts w:ascii="Times New Roman" w:hAnsi="Times New Roman" w:cs="Times New Roman"/>
          <w:sz w:val="24"/>
          <w:szCs w:val="24"/>
        </w:rPr>
        <w:t xml:space="preserve"> action recognises liability for pure economic loss</w:t>
      </w:r>
      <w:r w:rsidR="003A75EB">
        <w:rPr>
          <w:rFonts w:ascii="Times New Roman" w:hAnsi="Times New Roman" w:cs="Times New Roman"/>
          <w:sz w:val="24"/>
          <w:szCs w:val="24"/>
        </w:rPr>
        <w:t xml:space="preserve"> even it be one arising from an omission</w:t>
      </w:r>
      <w:r>
        <w:rPr>
          <w:rFonts w:ascii="Times New Roman" w:hAnsi="Times New Roman" w:cs="Times New Roman"/>
          <w:sz w:val="24"/>
          <w:szCs w:val="24"/>
        </w:rPr>
        <w:t xml:space="preserve"> subject to the limitations highlighted above.</w:t>
      </w:r>
    </w:p>
    <w:p w14:paraId="65698ED2" w14:textId="77777777" w:rsidR="00E01598" w:rsidRDefault="00E01598" w:rsidP="00D5676E">
      <w:pPr>
        <w:spacing w:after="0" w:line="360" w:lineRule="auto"/>
        <w:ind w:firstLine="720"/>
        <w:jc w:val="both"/>
        <w:rPr>
          <w:rFonts w:ascii="Times New Roman" w:hAnsi="Times New Roman" w:cs="Times New Roman"/>
          <w:sz w:val="24"/>
          <w:szCs w:val="24"/>
        </w:rPr>
      </w:pPr>
    </w:p>
    <w:p w14:paraId="7E8C91E5" w14:textId="1F958EA6" w:rsidR="00C17882" w:rsidRPr="003A75EB" w:rsidRDefault="00C17882" w:rsidP="006D092D">
      <w:pPr>
        <w:pStyle w:val="NoSpacing"/>
        <w:jc w:val="both"/>
        <w:rPr>
          <w:rFonts w:ascii="Times New Roman" w:hAnsi="Times New Roman" w:cs="Times New Roman"/>
          <w:b/>
          <w:bCs/>
          <w:sz w:val="24"/>
          <w:szCs w:val="24"/>
        </w:rPr>
      </w:pPr>
      <w:r w:rsidRPr="003A75EB">
        <w:rPr>
          <w:rFonts w:ascii="Times New Roman" w:hAnsi="Times New Roman" w:cs="Times New Roman"/>
          <w:b/>
          <w:bCs/>
          <w:sz w:val="24"/>
          <w:szCs w:val="24"/>
        </w:rPr>
        <w:t>Whether or not defendant refused failed or neglected to remove its structures from plaintiff stand.</w:t>
      </w:r>
    </w:p>
    <w:p w14:paraId="478E38FE" w14:textId="77777777" w:rsidR="00E01598" w:rsidRPr="00E01598" w:rsidRDefault="00E01598" w:rsidP="006D092D">
      <w:pPr>
        <w:pStyle w:val="NoSpacing"/>
        <w:jc w:val="both"/>
        <w:rPr>
          <w:rFonts w:ascii="Times New Roman" w:hAnsi="Times New Roman" w:cs="Times New Roman"/>
          <w:sz w:val="24"/>
          <w:szCs w:val="24"/>
        </w:rPr>
      </w:pPr>
    </w:p>
    <w:p w14:paraId="31563ADB" w14:textId="1998054C" w:rsidR="00C17882" w:rsidRDefault="00C17882" w:rsidP="00D567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applying the above criteria, it is clear that the liability, if any of the defendant cannot be said to have arisen around 2005 when the plaintiff purchased the stand in question.  The defendant’s structures only happened to be situated thereon through no fault of the defendant</w:t>
      </w:r>
      <w:r w:rsidR="003A75EB">
        <w:rPr>
          <w:rFonts w:ascii="Times New Roman" w:hAnsi="Times New Roman" w:cs="Times New Roman"/>
          <w:sz w:val="24"/>
          <w:szCs w:val="24"/>
        </w:rPr>
        <w:t>.</w:t>
      </w:r>
    </w:p>
    <w:p w14:paraId="262A06D0" w14:textId="098BE7AD" w:rsidR="00C17882" w:rsidRDefault="00C17882" w:rsidP="00D567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Similarly</w:t>
      </w:r>
      <w:r w:rsidR="00E01598">
        <w:rPr>
          <w:rFonts w:ascii="Times New Roman" w:hAnsi="Times New Roman" w:cs="Times New Roman"/>
          <w:sz w:val="24"/>
          <w:szCs w:val="24"/>
        </w:rPr>
        <w:t xml:space="preserve">, </w:t>
      </w:r>
      <w:r w:rsidR="0020601B">
        <w:rPr>
          <w:rFonts w:ascii="Times New Roman" w:hAnsi="Times New Roman" w:cs="Times New Roman"/>
          <w:sz w:val="24"/>
          <w:szCs w:val="24"/>
        </w:rPr>
        <w:t>during</w:t>
      </w:r>
      <w:r w:rsidR="00E01598">
        <w:rPr>
          <w:rFonts w:ascii="Times New Roman" w:hAnsi="Times New Roman" w:cs="Times New Roman"/>
          <w:sz w:val="24"/>
          <w:szCs w:val="24"/>
        </w:rPr>
        <w:t xml:space="preserve"> the period from 2014-2018 when the parties were attempting to fashion out a swop agreement, no liability could possibly attach to the defendant.  From the evidence as a whole, it is evident that the parties were </w:t>
      </w:r>
      <w:r w:rsidR="00E01598" w:rsidRPr="003A75EB">
        <w:rPr>
          <w:rFonts w:ascii="Times New Roman" w:hAnsi="Times New Roman" w:cs="Times New Roman"/>
          <w:i/>
          <w:iCs/>
          <w:sz w:val="24"/>
          <w:szCs w:val="24"/>
        </w:rPr>
        <w:t>bona fide</w:t>
      </w:r>
      <w:r w:rsidR="00E01598">
        <w:rPr>
          <w:rFonts w:ascii="Times New Roman" w:hAnsi="Times New Roman" w:cs="Times New Roman"/>
          <w:sz w:val="24"/>
          <w:szCs w:val="24"/>
        </w:rPr>
        <w:t xml:space="preserve"> in th</w:t>
      </w:r>
      <w:r w:rsidR="0020601B">
        <w:rPr>
          <w:rFonts w:ascii="Times New Roman" w:hAnsi="Times New Roman" w:cs="Times New Roman"/>
          <w:sz w:val="24"/>
          <w:szCs w:val="24"/>
        </w:rPr>
        <w:t>eir</w:t>
      </w:r>
      <w:r w:rsidR="00E01598">
        <w:rPr>
          <w:rFonts w:ascii="Times New Roman" w:hAnsi="Times New Roman" w:cs="Times New Roman"/>
          <w:sz w:val="24"/>
          <w:szCs w:val="24"/>
        </w:rPr>
        <w:t xml:space="preserve"> </w:t>
      </w:r>
      <w:r w:rsidR="00422CA2">
        <w:rPr>
          <w:rFonts w:ascii="Times New Roman" w:hAnsi="Times New Roman" w:cs="Times New Roman"/>
          <w:sz w:val="24"/>
          <w:szCs w:val="24"/>
        </w:rPr>
        <w:t>quest</w:t>
      </w:r>
      <w:r w:rsidR="00E01598">
        <w:rPr>
          <w:rFonts w:ascii="Times New Roman" w:hAnsi="Times New Roman" w:cs="Times New Roman"/>
          <w:sz w:val="24"/>
          <w:szCs w:val="24"/>
        </w:rPr>
        <w:t xml:space="preserve"> to enter into a swop agreement.</w:t>
      </w:r>
    </w:p>
    <w:p w14:paraId="3D6724C0" w14:textId="5DFC311C" w:rsidR="00E01598" w:rsidRDefault="00E01598" w:rsidP="00D567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situation however took a different trajectory when the defendant realised for whatever reason that it could not consummate the swop agreement.  From then on it owed the plaintiff the duty to remove its structures and other paraphernalia from that stand.</w:t>
      </w:r>
    </w:p>
    <w:p w14:paraId="2EF4E167" w14:textId="7FF697AA" w:rsidR="00E01598" w:rsidRDefault="00E01598" w:rsidP="00D567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2018 the defendant was placed in terms to remove its structures, which demand was ignored or disregarded.  </w:t>
      </w:r>
      <w:r w:rsidR="00422CA2">
        <w:rPr>
          <w:rFonts w:ascii="Times New Roman" w:hAnsi="Times New Roman" w:cs="Times New Roman"/>
          <w:sz w:val="24"/>
          <w:szCs w:val="24"/>
        </w:rPr>
        <w:t>Similarly,</w:t>
      </w:r>
      <w:r>
        <w:rPr>
          <w:rFonts w:ascii="Times New Roman" w:hAnsi="Times New Roman" w:cs="Times New Roman"/>
          <w:sz w:val="24"/>
          <w:szCs w:val="24"/>
        </w:rPr>
        <w:t xml:space="preserve"> in 2020 the defendant was once again</w:t>
      </w:r>
      <w:r w:rsidR="003A75EB">
        <w:rPr>
          <w:rFonts w:ascii="Times New Roman" w:hAnsi="Times New Roman" w:cs="Times New Roman"/>
          <w:sz w:val="24"/>
          <w:szCs w:val="24"/>
        </w:rPr>
        <w:t xml:space="preserve"> asked</w:t>
      </w:r>
      <w:r>
        <w:rPr>
          <w:rFonts w:ascii="Times New Roman" w:hAnsi="Times New Roman" w:cs="Times New Roman"/>
          <w:sz w:val="24"/>
          <w:szCs w:val="24"/>
        </w:rPr>
        <w:t xml:space="preserve"> to remove its structures and it failed to do so.  The evidence by the defendant</w:t>
      </w:r>
      <w:r w:rsidR="003A75EB">
        <w:rPr>
          <w:rFonts w:ascii="Times New Roman" w:hAnsi="Times New Roman" w:cs="Times New Roman"/>
          <w:sz w:val="24"/>
          <w:szCs w:val="24"/>
        </w:rPr>
        <w:t>’s</w:t>
      </w:r>
      <w:r>
        <w:rPr>
          <w:rFonts w:ascii="Times New Roman" w:hAnsi="Times New Roman" w:cs="Times New Roman"/>
          <w:sz w:val="24"/>
          <w:szCs w:val="24"/>
        </w:rPr>
        <w:t xml:space="preserve"> witness that defendant could not </w:t>
      </w:r>
      <w:r>
        <w:rPr>
          <w:rFonts w:ascii="Times New Roman" w:hAnsi="Times New Roman" w:cs="Times New Roman"/>
          <w:sz w:val="24"/>
          <w:szCs w:val="24"/>
        </w:rPr>
        <w:lastRenderedPageBreak/>
        <w:t>remove the structures on account of the COVID-19 pandemic induced nat</w:t>
      </w:r>
      <w:r w:rsidR="003A75EB">
        <w:rPr>
          <w:rFonts w:ascii="Times New Roman" w:hAnsi="Times New Roman" w:cs="Times New Roman"/>
          <w:sz w:val="24"/>
          <w:szCs w:val="24"/>
        </w:rPr>
        <w:t>ion</w:t>
      </w:r>
      <w:r>
        <w:rPr>
          <w:rFonts w:ascii="Times New Roman" w:hAnsi="Times New Roman" w:cs="Times New Roman"/>
          <w:sz w:val="24"/>
          <w:szCs w:val="24"/>
        </w:rPr>
        <w:t>al lockdown was patently c</w:t>
      </w:r>
      <w:r w:rsidR="001A4D25">
        <w:rPr>
          <w:rFonts w:ascii="Times New Roman" w:hAnsi="Times New Roman" w:cs="Times New Roman"/>
          <w:sz w:val="24"/>
          <w:szCs w:val="24"/>
        </w:rPr>
        <w:t>ontri</w:t>
      </w:r>
      <w:r w:rsidR="003A75EB">
        <w:rPr>
          <w:rFonts w:ascii="Times New Roman" w:hAnsi="Times New Roman" w:cs="Times New Roman"/>
          <w:sz w:val="24"/>
          <w:szCs w:val="24"/>
        </w:rPr>
        <w:t>v</w:t>
      </w:r>
      <w:r w:rsidR="001A4D25">
        <w:rPr>
          <w:rFonts w:ascii="Times New Roman" w:hAnsi="Times New Roman" w:cs="Times New Roman"/>
          <w:sz w:val="24"/>
          <w:szCs w:val="24"/>
        </w:rPr>
        <w:t>ed, not least because it was not pleaded.  It was a clear afterthought.</w:t>
      </w:r>
    </w:p>
    <w:p w14:paraId="005EF6E1" w14:textId="79E07761" w:rsidR="001A4D25" w:rsidRDefault="001A4D25" w:rsidP="00D567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is apparent from </w:t>
      </w:r>
      <w:r w:rsidR="0020601B">
        <w:rPr>
          <w:rFonts w:ascii="Times New Roman" w:hAnsi="Times New Roman" w:cs="Times New Roman"/>
          <w:sz w:val="24"/>
          <w:szCs w:val="24"/>
        </w:rPr>
        <w:t>the defendant’s</w:t>
      </w:r>
      <w:r>
        <w:rPr>
          <w:rFonts w:ascii="Times New Roman" w:hAnsi="Times New Roman" w:cs="Times New Roman"/>
          <w:sz w:val="24"/>
          <w:szCs w:val="24"/>
        </w:rPr>
        <w:t xml:space="preserve"> plea is that </w:t>
      </w:r>
      <w:r w:rsidR="0020601B">
        <w:rPr>
          <w:rFonts w:ascii="Times New Roman" w:hAnsi="Times New Roman" w:cs="Times New Roman"/>
          <w:sz w:val="24"/>
          <w:szCs w:val="24"/>
        </w:rPr>
        <w:t>its</w:t>
      </w:r>
      <w:r>
        <w:rPr>
          <w:rFonts w:ascii="Times New Roman" w:hAnsi="Times New Roman" w:cs="Times New Roman"/>
          <w:sz w:val="24"/>
          <w:szCs w:val="24"/>
        </w:rPr>
        <w:t xml:space="preserve"> position was that it had no legal obligation to remove the structures for twin related reasons. </w:t>
      </w:r>
      <w:r w:rsidR="00681A85">
        <w:rPr>
          <w:rFonts w:ascii="Times New Roman" w:hAnsi="Times New Roman" w:cs="Times New Roman"/>
          <w:sz w:val="24"/>
          <w:szCs w:val="24"/>
        </w:rPr>
        <w:t>Firstly,</w:t>
      </w:r>
      <w:r>
        <w:rPr>
          <w:rFonts w:ascii="Times New Roman" w:hAnsi="Times New Roman" w:cs="Times New Roman"/>
          <w:sz w:val="24"/>
          <w:szCs w:val="24"/>
        </w:rPr>
        <w:t xml:space="preserve"> that it erected these structures when part of the </w:t>
      </w:r>
      <w:r w:rsidR="00681A85">
        <w:rPr>
          <w:rFonts w:ascii="Times New Roman" w:hAnsi="Times New Roman" w:cs="Times New Roman"/>
          <w:sz w:val="24"/>
          <w:szCs w:val="24"/>
        </w:rPr>
        <w:t>plaintiff’s</w:t>
      </w:r>
      <w:r>
        <w:rPr>
          <w:rFonts w:ascii="Times New Roman" w:hAnsi="Times New Roman" w:cs="Times New Roman"/>
          <w:sz w:val="24"/>
          <w:szCs w:val="24"/>
        </w:rPr>
        <w:t xml:space="preserve"> stand was still part of its stand and secondly that when plaintiff purchased the stand in </w:t>
      </w:r>
      <w:r w:rsidR="0020601B">
        <w:rPr>
          <w:rFonts w:ascii="Times New Roman" w:hAnsi="Times New Roman" w:cs="Times New Roman"/>
          <w:sz w:val="24"/>
          <w:szCs w:val="24"/>
        </w:rPr>
        <w:t>question,</w:t>
      </w:r>
      <w:r>
        <w:rPr>
          <w:rFonts w:ascii="Times New Roman" w:hAnsi="Times New Roman" w:cs="Times New Roman"/>
          <w:sz w:val="24"/>
          <w:szCs w:val="24"/>
        </w:rPr>
        <w:t xml:space="preserve"> he was aware </w:t>
      </w:r>
      <w:r w:rsidR="0020601B">
        <w:rPr>
          <w:rFonts w:ascii="Times New Roman" w:hAnsi="Times New Roman" w:cs="Times New Roman"/>
          <w:sz w:val="24"/>
          <w:szCs w:val="24"/>
        </w:rPr>
        <w:t xml:space="preserve">of the existence of </w:t>
      </w:r>
      <w:r>
        <w:rPr>
          <w:rFonts w:ascii="Times New Roman" w:hAnsi="Times New Roman" w:cs="Times New Roman"/>
          <w:sz w:val="24"/>
          <w:szCs w:val="24"/>
        </w:rPr>
        <w:t>those structures.</w:t>
      </w:r>
    </w:p>
    <w:p w14:paraId="320AF46A" w14:textId="3664824C" w:rsidR="001A4D25" w:rsidRPr="003A75EB" w:rsidRDefault="001A4D25" w:rsidP="00D5676E">
      <w:pPr>
        <w:spacing w:after="0" w:line="360" w:lineRule="auto"/>
        <w:ind w:firstLine="720"/>
        <w:jc w:val="both"/>
        <w:rPr>
          <w:rFonts w:ascii="Times New Roman" w:hAnsi="Times New Roman" w:cs="Times New Roman"/>
          <w:b/>
          <w:bCs/>
          <w:sz w:val="24"/>
          <w:szCs w:val="24"/>
        </w:rPr>
      </w:pPr>
      <w:r w:rsidRPr="003A75EB">
        <w:rPr>
          <w:rFonts w:ascii="Times New Roman" w:hAnsi="Times New Roman" w:cs="Times New Roman"/>
          <w:b/>
          <w:bCs/>
          <w:sz w:val="24"/>
          <w:szCs w:val="24"/>
        </w:rPr>
        <w:t>Whether the plaintiff managed to prove having incurred economic loss</w:t>
      </w:r>
    </w:p>
    <w:p w14:paraId="48E76218" w14:textId="40D24450" w:rsidR="001A4D25" w:rsidRDefault="001A4D25" w:rsidP="00D567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order to </w:t>
      </w:r>
      <w:r w:rsidR="003662C4">
        <w:rPr>
          <w:rFonts w:ascii="Times New Roman" w:hAnsi="Times New Roman" w:cs="Times New Roman"/>
          <w:sz w:val="24"/>
          <w:szCs w:val="24"/>
        </w:rPr>
        <w:t xml:space="preserve">succeed, to recover damages, the plaintiff is required to place before the court convincing evidence that he sustained such loss.  Delictual </w:t>
      </w:r>
      <w:r w:rsidR="0020601B">
        <w:rPr>
          <w:rFonts w:ascii="Times New Roman" w:hAnsi="Times New Roman" w:cs="Times New Roman"/>
          <w:sz w:val="24"/>
          <w:szCs w:val="24"/>
        </w:rPr>
        <w:t>damages under</w:t>
      </w:r>
      <w:r w:rsidR="003662C4">
        <w:rPr>
          <w:rFonts w:ascii="Times New Roman" w:hAnsi="Times New Roman" w:cs="Times New Roman"/>
          <w:sz w:val="24"/>
          <w:szCs w:val="24"/>
        </w:rPr>
        <w:t xml:space="preserve"> the</w:t>
      </w:r>
      <w:r w:rsidR="003A75EB">
        <w:rPr>
          <w:rFonts w:ascii="Times New Roman" w:hAnsi="Times New Roman" w:cs="Times New Roman"/>
          <w:sz w:val="24"/>
          <w:szCs w:val="24"/>
        </w:rPr>
        <w:t xml:space="preserve"> </w:t>
      </w:r>
      <w:r w:rsidR="00651513">
        <w:rPr>
          <w:rFonts w:ascii="Times New Roman" w:hAnsi="Times New Roman" w:cs="Times New Roman"/>
          <w:sz w:val="24"/>
          <w:szCs w:val="24"/>
        </w:rPr>
        <w:t>Aquilian</w:t>
      </w:r>
      <w:r w:rsidR="00681A85">
        <w:rPr>
          <w:rFonts w:ascii="Times New Roman" w:hAnsi="Times New Roman" w:cs="Times New Roman"/>
          <w:sz w:val="24"/>
          <w:szCs w:val="24"/>
        </w:rPr>
        <w:t xml:space="preserve"> action</w:t>
      </w:r>
      <w:r w:rsidR="003662C4">
        <w:rPr>
          <w:rFonts w:ascii="Times New Roman" w:hAnsi="Times New Roman" w:cs="Times New Roman"/>
          <w:sz w:val="24"/>
          <w:szCs w:val="24"/>
        </w:rPr>
        <w:t xml:space="preserve"> are compensatory </w:t>
      </w:r>
      <w:r w:rsidR="003A75EB">
        <w:rPr>
          <w:rFonts w:ascii="Times New Roman" w:hAnsi="Times New Roman" w:cs="Times New Roman"/>
          <w:sz w:val="24"/>
          <w:szCs w:val="24"/>
        </w:rPr>
        <w:t>and</w:t>
      </w:r>
      <w:r w:rsidR="003662C4">
        <w:rPr>
          <w:rFonts w:ascii="Times New Roman" w:hAnsi="Times New Roman" w:cs="Times New Roman"/>
          <w:sz w:val="24"/>
          <w:szCs w:val="24"/>
        </w:rPr>
        <w:t xml:space="preserve"> not punitive </w:t>
      </w:r>
      <w:r w:rsidR="003A75EB">
        <w:rPr>
          <w:rFonts w:ascii="Times New Roman" w:hAnsi="Times New Roman" w:cs="Times New Roman"/>
          <w:sz w:val="24"/>
          <w:szCs w:val="24"/>
        </w:rPr>
        <w:t>i</w:t>
      </w:r>
      <w:r w:rsidR="003662C4">
        <w:rPr>
          <w:rFonts w:ascii="Times New Roman" w:hAnsi="Times New Roman" w:cs="Times New Roman"/>
          <w:sz w:val="24"/>
          <w:szCs w:val="24"/>
        </w:rPr>
        <w:t>n nature.</w:t>
      </w:r>
    </w:p>
    <w:p w14:paraId="38ED761E" w14:textId="40A4B749" w:rsidR="00EC5101" w:rsidRDefault="00651513" w:rsidP="009740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Admittedly</w:t>
      </w:r>
      <w:r w:rsidR="009740B1">
        <w:rPr>
          <w:rFonts w:ascii="Times New Roman" w:hAnsi="Times New Roman" w:cs="Times New Roman"/>
          <w:sz w:val="24"/>
          <w:szCs w:val="24"/>
        </w:rPr>
        <w:t>,</w:t>
      </w:r>
      <w:r w:rsidR="003662C4">
        <w:rPr>
          <w:rFonts w:ascii="Times New Roman" w:hAnsi="Times New Roman" w:cs="Times New Roman"/>
          <w:sz w:val="24"/>
          <w:szCs w:val="24"/>
        </w:rPr>
        <w:t xml:space="preserve"> the plaintiff </w:t>
      </w:r>
      <w:r w:rsidR="009740B1">
        <w:rPr>
          <w:rFonts w:ascii="Times New Roman" w:hAnsi="Times New Roman" w:cs="Times New Roman"/>
          <w:sz w:val="24"/>
          <w:szCs w:val="24"/>
        </w:rPr>
        <w:t>could not</w:t>
      </w:r>
      <w:r w:rsidR="003662C4">
        <w:rPr>
          <w:rFonts w:ascii="Times New Roman" w:hAnsi="Times New Roman" w:cs="Times New Roman"/>
          <w:sz w:val="24"/>
          <w:szCs w:val="24"/>
        </w:rPr>
        <w:t xml:space="preserve"> demonstrate </w:t>
      </w:r>
      <w:r w:rsidR="009740B1">
        <w:rPr>
          <w:rFonts w:ascii="Times New Roman" w:hAnsi="Times New Roman" w:cs="Times New Roman"/>
          <w:sz w:val="24"/>
          <w:szCs w:val="24"/>
        </w:rPr>
        <w:t xml:space="preserve">with mathematical precision </w:t>
      </w:r>
      <w:r w:rsidR="003662C4">
        <w:rPr>
          <w:rFonts w:ascii="Times New Roman" w:hAnsi="Times New Roman" w:cs="Times New Roman"/>
          <w:sz w:val="24"/>
          <w:szCs w:val="24"/>
        </w:rPr>
        <w:t xml:space="preserve">the quantification of his damages.  </w:t>
      </w:r>
      <w:r>
        <w:rPr>
          <w:rFonts w:ascii="Times New Roman" w:hAnsi="Times New Roman" w:cs="Times New Roman"/>
          <w:sz w:val="24"/>
          <w:szCs w:val="24"/>
        </w:rPr>
        <w:t>However, that</w:t>
      </w:r>
      <w:r w:rsidR="009740B1">
        <w:rPr>
          <w:rFonts w:ascii="Times New Roman" w:hAnsi="Times New Roman" w:cs="Times New Roman"/>
          <w:sz w:val="24"/>
          <w:szCs w:val="24"/>
        </w:rPr>
        <w:t xml:space="preserve"> is not the end of the matter. T</w:t>
      </w:r>
      <w:r w:rsidR="00EC5101">
        <w:rPr>
          <w:rFonts w:ascii="Times New Roman" w:hAnsi="Times New Roman" w:cs="Times New Roman"/>
          <w:sz w:val="24"/>
          <w:szCs w:val="24"/>
        </w:rPr>
        <w:t>he plaintiff invited the court to make an estimation of the l</w:t>
      </w:r>
      <w:r w:rsidR="009740B1">
        <w:rPr>
          <w:rFonts w:ascii="Times New Roman" w:hAnsi="Times New Roman" w:cs="Times New Roman"/>
          <w:sz w:val="24"/>
          <w:szCs w:val="24"/>
        </w:rPr>
        <w:t>o</w:t>
      </w:r>
      <w:r w:rsidR="00EC5101">
        <w:rPr>
          <w:rFonts w:ascii="Times New Roman" w:hAnsi="Times New Roman" w:cs="Times New Roman"/>
          <w:sz w:val="24"/>
          <w:szCs w:val="24"/>
        </w:rPr>
        <w:t xml:space="preserve">ss </w:t>
      </w:r>
      <w:r w:rsidR="009740B1">
        <w:rPr>
          <w:rFonts w:ascii="Times New Roman" w:hAnsi="Times New Roman" w:cs="Times New Roman"/>
          <w:sz w:val="24"/>
          <w:szCs w:val="24"/>
        </w:rPr>
        <w:t>he suffered</w:t>
      </w:r>
      <w:r w:rsidR="00EC5101">
        <w:rPr>
          <w:rFonts w:ascii="Times New Roman" w:hAnsi="Times New Roman" w:cs="Times New Roman"/>
          <w:sz w:val="24"/>
          <w:szCs w:val="24"/>
        </w:rPr>
        <w:t xml:space="preserve"> given that the same </w:t>
      </w:r>
      <w:r w:rsidR="009740B1">
        <w:rPr>
          <w:rFonts w:ascii="Times New Roman" w:hAnsi="Times New Roman" w:cs="Times New Roman"/>
          <w:sz w:val="24"/>
          <w:szCs w:val="24"/>
        </w:rPr>
        <w:t>wa</w:t>
      </w:r>
      <w:r w:rsidR="00EC5101">
        <w:rPr>
          <w:rFonts w:ascii="Times New Roman" w:hAnsi="Times New Roman" w:cs="Times New Roman"/>
          <w:sz w:val="24"/>
          <w:szCs w:val="24"/>
        </w:rPr>
        <w:t>s not in the instan</w:t>
      </w:r>
      <w:r>
        <w:rPr>
          <w:rFonts w:ascii="Times New Roman" w:hAnsi="Times New Roman" w:cs="Times New Roman"/>
          <w:sz w:val="24"/>
          <w:szCs w:val="24"/>
        </w:rPr>
        <w:t>t</w:t>
      </w:r>
      <w:r w:rsidR="00EC5101">
        <w:rPr>
          <w:rFonts w:ascii="Times New Roman" w:hAnsi="Times New Roman" w:cs="Times New Roman"/>
          <w:sz w:val="24"/>
          <w:szCs w:val="24"/>
        </w:rPr>
        <w:t xml:space="preserve"> case capable of exact </w:t>
      </w:r>
      <w:r w:rsidR="009740B1">
        <w:rPr>
          <w:rFonts w:ascii="Times New Roman" w:hAnsi="Times New Roman" w:cs="Times New Roman"/>
          <w:sz w:val="24"/>
          <w:szCs w:val="24"/>
        </w:rPr>
        <w:t>m</w:t>
      </w:r>
      <w:r w:rsidR="00EC5101">
        <w:rPr>
          <w:rFonts w:ascii="Times New Roman" w:hAnsi="Times New Roman" w:cs="Times New Roman"/>
          <w:sz w:val="24"/>
          <w:szCs w:val="24"/>
        </w:rPr>
        <w:t xml:space="preserve">athematical calculation. Reliance was placed on the following passage from the case of </w:t>
      </w:r>
      <w:r w:rsidR="00EC5101" w:rsidRPr="00002A2A">
        <w:rPr>
          <w:rFonts w:ascii="Times New Roman" w:hAnsi="Times New Roman" w:cs="Times New Roman"/>
          <w:i/>
          <w:sz w:val="24"/>
          <w:szCs w:val="24"/>
        </w:rPr>
        <w:t xml:space="preserve">Munorwa </w:t>
      </w:r>
      <w:r w:rsidR="00EC5101" w:rsidRPr="009740B1">
        <w:rPr>
          <w:rFonts w:ascii="Times New Roman" w:hAnsi="Times New Roman" w:cs="Times New Roman"/>
          <w:iCs/>
          <w:sz w:val="24"/>
          <w:szCs w:val="24"/>
        </w:rPr>
        <w:t>v</w:t>
      </w:r>
      <w:r w:rsidR="00EC5101" w:rsidRPr="00002A2A">
        <w:rPr>
          <w:rFonts w:ascii="Times New Roman" w:hAnsi="Times New Roman" w:cs="Times New Roman"/>
          <w:i/>
          <w:sz w:val="24"/>
          <w:szCs w:val="24"/>
        </w:rPr>
        <w:t xml:space="preserve"> Muza &amp; Others</w:t>
      </w:r>
      <w:r w:rsidR="00EC5101">
        <w:rPr>
          <w:rFonts w:ascii="Times New Roman" w:hAnsi="Times New Roman" w:cs="Times New Roman"/>
          <w:sz w:val="24"/>
          <w:szCs w:val="24"/>
        </w:rPr>
        <w:t xml:space="preserve"> HC1172/12</w:t>
      </w:r>
      <w:r w:rsidR="009740B1">
        <w:rPr>
          <w:rFonts w:ascii="Times New Roman" w:hAnsi="Times New Roman" w:cs="Times New Roman"/>
          <w:sz w:val="24"/>
          <w:szCs w:val="24"/>
        </w:rPr>
        <w:t>.</w:t>
      </w:r>
    </w:p>
    <w:p w14:paraId="4131F73F" w14:textId="0E6B877B" w:rsidR="00EC5101" w:rsidRDefault="00681A85" w:rsidP="009740B1">
      <w:pPr>
        <w:spacing w:after="0"/>
        <w:ind w:left="1440" w:firstLine="720"/>
        <w:jc w:val="both"/>
        <w:rPr>
          <w:rFonts w:ascii="Times New Roman" w:hAnsi="Times New Roman" w:cs="Times New Roman"/>
          <w:b/>
          <w:bCs/>
        </w:rPr>
      </w:pPr>
      <w:r w:rsidRPr="009740B1">
        <w:rPr>
          <w:rFonts w:ascii="Times New Roman" w:hAnsi="Times New Roman" w:cs="Times New Roman"/>
        </w:rPr>
        <w:t>“It</w:t>
      </w:r>
      <w:r w:rsidR="00EC5101" w:rsidRPr="009740B1">
        <w:rPr>
          <w:rFonts w:ascii="Times New Roman" w:hAnsi="Times New Roman" w:cs="Times New Roman"/>
        </w:rPr>
        <w:t xml:space="preserve"> is not the purpose to enrich him.  The damages may not be measured with exact mathematical precision.  Further, the honourable Judge also refereed it </w:t>
      </w:r>
      <w:r w:rsidR="00EC5101" w:rsidRPr="009740B1">
        <w:rPr>
          <w:rFonts w:ascii="Times New Roman" w:hAnsi="Times New Roman" w:cs="Times New Roman"/>
          <w:i/>
        </w:rPr>
        <w:t>Esso Standard SA</w:t>
      </w:r>
      <w:r w:rsidR="00EC5101" w:rsidRPr="009740B1">
        <w:rPr>
          <w:rFonts w:ascii="Times New Roman" w:hAnsi="Times New Roman" w:cs="Times New Roman"/>
        </w:rPr>
        <w:t xml:space="preserve"> v </w:t>
      </w:r>
      <w:r w:rsidR="00EC5101" w:rsidRPr="009740B1">
        <w:rPr>
          <w:rFonts w:ascii="Times New Roman" w:hAnsi="Times New Roman" w:cs="Times New Roman"/>
          <w:i/>
        </w:rPr>
        <w:t>Katz</w:t>
      </w:r>
      <w:r w:rsidR="00EC5101" w:rsidRPr="009740B1">
        <w:rPr>
          <w:rFonts w:ascii="Times New Roman" w:hAnsi="Times New Roman" w:cs="Times New Roman"/>
        </w:rPr>
        <w:t xml:space="preserve"> </w:t>
      </w:r>
      <w:r w:rsidR="00B618BF" w:rsidRPr="00B618BF">
        <w:rPr>
          <w:rFonts w:ascii="Times New Roman" w:hAnsi="Times New Roman" w:cs="Times New Roman"/>
        </w:rPr>
        <w:t xml:space="preserve">1981 (1) SA 964 (AD) </w:t>
      </w:r>
      <w:r w:rsidR="00EC5101" w:rsidRPr="009740B1">
        <w:rPr>
          <w:rFonts w:ascii="Times New Roman" w:hAnsi="Times New Roman" w:cs="Times New Roman"/>
        </w:rPr>
        <w:t>whe</w:t>
      </w:r>
      <w:r w:rsidR="000C396E" w:rsidRPr="009740B1">
        <w:rPr>
          <w:rFonts w:ascii="Times New Roman" w:hAnsi="Times New Roman" w:cs="Times New Roman"/>
        </w:rPr>
        <w:t>re</w:t>
      </w:r>
      <w:r w:rsidR="00EC5101" w:rsidRPr="009740B1">
        <w:rPr>
          <w:rFonts w:ascii="Times New Roman" w:hAnsi="Times New Roman" w:cs="Times New Roman"/>
        </w:rPr>
        <w:t xml:space="preserve">in it was noted that </w:t>
      </w:r>
      <w:r w:rsidR="00651513" w:rsidRPr="009740B1">
        <w:rPr>
          <w:rFonts w:ascii="Times New Roman" w:hAnsi="Times New Roman" w:cs="Times New Roman"/>
        </w:rPr>
        <w:t>“in</w:t>
      </w:r>
      <w:r w:rsidR="00EC5101" w:rsidRPr="009740B1">
        <w:rPr>
          <w:rFonts w:ascii="Times New Roman" w:hAnsi="Times New Roman" w:cs="Times New Roman"/>
          <w:i/>
        </w:rPr>
        <w:t xml:space="preserve"> </w:t>
      </w:r>
      <w:r w:rsidR="00EC5101" w:rsidRPr="0020601B">
        <w:rPr>
          <w:rFonts w:ascii="Times New Roman" w:hAnsi="Times New Roman" w:cs="Times New Roman"/>
          <w:iCs/>
        </w:rPr>
        <w:t>some cases,</w:t>
      </w:r>
      <w:r w:rsidR="00EC5101" w:rsidRPr="009740B1">
        <w:rPr>
          <w:rFonts w:ascii="Times New Roman" w:hAnsi="Times New Roman" w:cs="Times New Roman"/>
        </w:rPr>
        <w:t xml:space="preserve"> damages are difficult to estimate b</w:t>
      </w:r>
      <w:r w:rsidR="000C396E" w:rsidRPr="009740B1">
        <w:rPr>
          <w:rFonts w:ascii="Times New Roman" w:hAnsi="Times New Roman" w:cs="Times New Roman"/>
        </w:rPr>
        <w:t>u</w:t>
      </w:r>
      <w:r w:rsidR="00EC5101" w:rsidRPr="009740B1">
        <w:rPr>
          <w:rFonts w:ascii="Times New Roman" w:hAnsi="Times New Roman" w:cs="Times New Roman"/>
        </w:rPr>
        <w:t xml:space="preserve">t that does not relieve </w:t>
      </w:r>
      <w:r w:rsidR="000C396E" w:rsidRPr="009740B1">
        <w:rPr>
          <w:rFonts w:ascii="Times New Roman" w:hAnsi="Times New Roman" w:cs="Times New Roman"/>
        </w:rPr>
        <w:t xml:space="preserve">the wrongdoer of the obligation to pay…  </w:t>
      </w:r>
      <w:r w:rsidR="00651513" w:rsidRPr="009740B1">
        <w:rPr>
          <w:rFonts w:ascii="Times New Roman" w:hAnsi="Times New Roman" w:cs="Times New Roman"/>
        </w:rPr>
        <w:t>Again,</w:t>
      </w:r>
      <w:r w:rsidR="000C396E" w:rsidRPr="009740B1">
        <w:rPr>
          <w:rFonts w:ascii="Times New Roman" w:hAnsi="Times New Roman" w:cs="Times New Roman"/>
        </w:rPr>
        <w:t xml:space="preserve"> further reference was made to </w:t>
      </w:r>
      <w:r w:rsidR="000C396E" w:rsidRPr="009740B1">
        <w:rPr>
          <w:rFonts w:ascii="Times New Roman" w:hAnsi="Times New Roman" w:cs="Times New Roman"/>
          <w:i/>
        </w:rPr>
        <w:t>Hersman v Shapiro</w:t>
      </w:r>
      <w:r w:rsidR="000C396E" w:rsidRPr="009740B1">
        <w:rPr>
          <w:rFonts w:ascii="Times New Roman" w:hAnsi="Times New Roman" w:cs="Times New Roman"/>
        </w:rPr>
        <w:t xml:space="preserve"> 1926 TPD 367 which states that “</w:t>
      </w:r>
      <w:r w:rsidR="000C396E" w:rsidRPr="0020601B">
        <w:rPr>
          <w:rFonts w:ascii="Times New Roman" w:hAnsi="Times New Roman" w:cs="Times New Roman"/>
          <w:iCs/>
        </w:rPr>
        <w:t>monetary</w:t>
      </w:r>
      <w:r w:rsidR="000C396E" w:rsidRPr="009740B1">
        <w:rPr>
          <w:rFonts w:ascii="Times New Roman" w:hAnsi="Times New Roman" w:cs="Times New Roman"/>
        </w:rPr>
        <w:t xml:space="preserve"> damages having been suffered, it is necessary for the </w:t>
      </w:r>
      <w:r w:rsidR="000C396E" w:rsidRPr="0020601B">
        <w:rPr>
          <w:rFonts w:ascii="Times New Roman" w:hAnsi="Times New Roman" w:cs="Times New Roman"/>
          <w:b/>
          <w:bCs/>
        </w:rPr>
        <w:t>court to assess the amount and make the best use it can of the evidence before it.</w:t>
      </w:r>
      <w:r w:rsidR="00B618BF" w:rsidRPr="0020601B">
        <w:rPr>
          <w:rFonts w:ascii="Times New Roman" w:hAnsi="Times New Roman" w:cs="Times New Roman"/>
          <w:b/>
          <w:bCs/>
        </w:rPr>
        <w:t>”</w:t>
      </w:r>
      <w:r w:rsidR="0020601B">
        <w:rPr>
          <w:rFonts w:ascii="Times New Roman" w:hAnsi="Times New Roman" w:cs="Times New Roman"/>
          <w:b/>
          <w:bCs/>
        </w:rPr>
        <w:t xml:space="preserve"> {</w:t>
      </w:r>
      <w:r w:rsidR="0020601B" w:rsidRPr="0020601B">
        <w:rPr>
          <w:rFonts w:ascii="Times New Roman" w:hAnsi="Times New Roman" w:cs="Times New Roman"/>
        </w:rPr>
        <w:t>emphasis my own</w:t>
      </w:r>
      <w:r w:rsidR="0020601B">
        <w:rPr>
          <w:rFonts w:ascii="Times New Roman" w:hAnsi="Times New Roman" w:cs="Times New Roman"/>
          <w:b/>
          <w:bCs/>
        </w:rPr>
        <w:t>}</w:t>
      </w:r>
    </w:p>
    <w:p w14:paraId="4E3922F8" w14:textId="77777777" w:rsidR="0020601B" w:rsidRPr="0020601B" w:rsidRDefault="0020601B" w:rsidP="009740B1">
      <w:pPr>
        <w:spacing w:after="0"/>
        <w:ind w:left="1440" w:firstLine="720"/>
        <w:jc w:val="both"/>
        <w:rPr>
          <w:rFonts w:ascii="Times New Roman" w:hAnsi="Times New Roman" w:cs="Times New Roman"/>
          <w:b/>
          <w:bCs/>
        </w:rPr>
      </w:pPr>
    </w:p>
    <w:p w14:paraId="6358EBBC" w14:textId="77777777" w:rsidR="0020601B" w:rsidRPr="0020601B" w:rsidRDefault="0020601B" w:rsidP="0020601B">
      <w:pPr>
        <w:spacing w:after="0"/>
        <w:ind w:left="1440" w:firstLine="720"/>
        <w:jc w:val="both"/>
        <w:rPr>
          <w:rFonts w:ascii="Times New Roman" w:hAnsi="Times New Roman" w:cs="Times New Roman"/>
        </w:rPr>
      </w:pPr>
      <w:r w:rsidRPr="0020601B">
        <w:rPr>
          <w:rFonts w:ascii="Times New Roman" w:hAnsi="Times New Roman" w:cs="Times New Roman"/>
        </w:rPr>
        <w:t xml:space="preserve">See also </w:t>
      </w:r>
      <w:r w:rsidRPr="0020601B">
        <w:rPr>
          <w:rFonts w:ascii="Times New Roman" w:hAnsi="Times New Roman" w:cs="Times New Roman"/>
          <w:i/>
          <w:iCs/>
        </w:rPr>
        <w:t>Mbundire</w:t>
      </w:r>
      <w:r w:rsidRPr="0020601B">
        <w:rPr>
          <w:rFonts w:ascii="Times New Roman" w:hAnsi="Times New Roman" w:cs="Times New Roman"/>
        </w:rPr>
        <w:t xml:space="preserve"> v </w:t>
      </w:r>
      <w:r w:rsidRPr="0020601B">
        <w:rPr>
          <w:rFonts w:ascii="Times New Roman" w:hAnsi="Times New Roman" w:cs="Times New Roman"/>
          <w:i/>
          <w:iCs/>
        </w:rPr>
        <w:t>Butress</w:t>
      </w:r>
      <w:r w:rsidRPr="0020601B">
        <w:rPr>
          <w:rFonts w:ascii="Times New Roman" w:hAnsi="Times New Roman" w:cs="Times New Roman"/>
        </w:rPr>
        <w:t xml:space="preserve"> SC-13- 2011.</w:t>
      </w:r>
    </w:p>
    <w:p w14:paraId="460E4BFD" w14:textId="77777777" w:rsidR="00651513" w:rsidRPr="009740B1" w:rsidRDefault="00651513" w:rsidP="009740B1">
      <w:pPr>
        <w:spacing w:after="0"/>
        <w:ind w:left="1440" w:firstLine="720"/>
        <w:jc w:val="both"/>
        <w:rPr>
          <w:rFonts w:ascii="Times New Roman" w:hAnsi="Times New Roman" w:cs="Times New Roman"/>
        </w:rPr>
      </w:pPr>
    </w:p>
    <w:p w14:paraId="5F63544B" w14:textId="5AB20BDB" w:rsidR="008913C2" w:rsidRDefault="008913C2" w:rsidP="00D567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While agreeing with the applicant that situations do arise where damages are incapable of precise mathematical computation, the defendant </w:t>
      </w:r>
      <w:r w:rsidR="0020601B">
        <w:rPr>
          <w:rFonts w:ascii="Times New Roman" w:hAnsi="Times New Roman" w:cs="Times New Roman"/>
          <w:sz w:val="24"/>
          <w:szCs w:val="24"/>
        </w:rPr>
        <w:t>in its</w:t>
      </w:r>
      <w:r>
        <w:rPr>
          <w:rFonts w:ascii="Times New Roman" w:hAnsi="Times New Roman" w:cs="Times New Roman"/>
          <w:sz w:val="24"/>
          <w:szCs w:val="24"/>
        </w:rPr>
        <w:t xml:space="preserve"> closing submissions urged the court to find that the plaintiff had not placed sufficient evidence upon which the court c</w:t>
      </w:r>
      <w:r w:rsidR="0020601B">
        <w:rPr>
          <w:rFonts w:ascii="Times New Roman" w:hAnsi="Times New Roman" w:cs="Times New Roman"/>
          <w:sz w:val="24"/>
          <w:szCs w:val="24"/>
        </w:rPr>
        <w:t>ould</w:t>
      </w:r>
      <w:r>
        <w:rPr>
          <w:rFonts w:ascii="Times New Roman" w:hAnsi="Times New Roman" w:cs="Times New Roman"/>
          <w:sz w:val="24"/>
          <w:szCs w:val="24"/>
        </w:rPr>
        <w:t xml:space="preserve"> make its estimation.  It relied on the case of </w:t>
      </w:r>
      <w:r w:rsidRPr="00811BFE">
        <w:rPr>
          <w:rFonts w:ascii="Times New Roman" w:hAnsi="Times New Roman" w:cs="Times New Roman"/>
          <w:i/>
          <w:sz w:val="24"/>
          <w:szCs w:val="24"/>
        </w:rPr>
        <w:t>Aaron’s Whale Roul Trust v Murray &amp; Roberts &amp; Another</w:t>
      </w:r>
      <w:r>
        <w:rPr>
          <w:rFonts w:ascii="Times New Roman" w:hAnsi="Times New Roman" w:cs="Times New Roman"/>
          <w:sz w:val="24"/>
          <w:szCs w:val="24"/>
        </w:rPr>
        <w:t xml:space="preserve"> 1992 (1) SA 652 at 655 where the following was said</w:t>
      </w:r>
      <w:r w:rsidR="00750840">
        <w:rPr>
          <w:rFonts w:ascii="Times New Roman" w:hAnsi="Times New Roman" w:cs="Times New Roman"/>
          <w:sz w:val="24"/>
          <w:szCs w:val="24"/>
        </w:rPr>
        <w:t>’</w:t>
      </w:r>
    </w:p>
    <w:p w14:paraId="4AC3E9A6" w14:textId="7B7DB303" w:rsidR="00750840" w:rsidRPr="009740B1" w:rsidRDefault="00750840" w:rsidP="00AB4F90">
      <w:pPr>
        <w:pStyle w:val="NoSpacing"/>
        <w:ind w:left="1440"/>
        <w:jc w:val="both"/>
        <w:rPr>
          <w:rFonts w:ascii="Times New Roman" w:hAnsi="Times New Roman" w:cs="Times New Roman"/>
        </w:rPr>
      </w:pPr>
      <w:r w:rsidRPr="009740B1">
        <w:rPr>
          <w:rFonts w:ascii="Times New Roman" w:hAnsi="Times New Roman" w:cs="Times New Roman"/>
        </w:rPr>
        <w:t xml:space="preserve">“Where damages can be </w:t>
      </w:r>
      <w:r w:rsidR="00422CA2" w:rsidRPr="009740B1">
        <w:rPr>
          <w:rFonts w:ascii="Times New Roman" w:hAnsi="Times New Roman" w:cs="Times New Roman"/>
        </w:rPr>
        <w:t>assessed</w:t>
      </w:r>
      <w:r w:rsidRPr="009740B1">
        <w:rPr>
          <w:rFonts w:ascii="Times New Roman" w:hAnsi="Times New Roman" w:cs="Times New Roman"/>
        </w:rPr>
        <w:t xml:space="preserve"> with mathematical precision; a plaintiff is expected to adduce sufficient evidence to meet the requirements.  Where, as is the case here, this cannot be done, the plaintiff must lead evidence as available to it (but of adequate sufficiency) so as to enable the court to quantify his damages to make an approximate award on his favour.  The court must not </w:t>
      </w:r>
      <w:r w:rsidR="00422CA2" w:rsidRPr="009740B1">
        <w:rPr>
          <w:rFonts w:ascii="Times New Roman" w:hAnsi="Times New Roman" w:cs="Times New Roman"/>
        </w:rPr>
        <w:t>be failed</w:t>
      </w:r>
      <w:r w:rsidRPr="009740B1">
        <w:rPr>
          <w:rFonts w:ascii="Times New Roman" w:hAnsi="Times New Roman" w:cs="Times New Roman"/>
        </w:rPr>
        <w:t xml:space="preserve"> with an exercise in guesswork, what is required of a plaintiff </w:t>
      </w:r>
      <w:r w:rsidRPr="009740B1">
        <w:rPr>
          <w:rFonts w:ascii="Times New Roman" w:hAnsi="Times New Roman" w:cs="Times New Roman"/>
        </w:rPr>
        <w:lastRenderedPageBreak/>
        <w:t>is what he should put before the court enough evidence from which it can, albeit with difficult</w:t>
      </w:r>
      <w:r w:rsidR="0020601B">
        <w:rPr>
          <w:rFonts w:ascii="Times New Roman" w:hAnsi="Times New Roman" w:cs="Times New Roman"/>
        </w:rPr>
        <w:t>y</w:t>
      </w:r>
      <w:r w:rsidRPr="009740B1">
        <w:rPr>
          <w:rFonts w:ascii="Times New Roman" w:hAnsi="Times New Roman" w:cs="Times New Roman"/>
        </w:rPr>
        <w:t xml:space="preserve">, compensate him an award of money as a fair approximately his mathematically unquantifiable loss” </w:t>
      </w:r>
    </w:p>
    <w:p w14:paraId="3F352DCF" w14:textId="77777777" w:rsidR="004B2233" w:rsidRDefault="004B2233" w:rsidP="004B2233">
      <w:pPr>
        <w:pStyle w:val="NoSpacing"/>
        <w:ind w:left="720"/>
        <w:jc w:val="both"/>
      </w:pPr>
    </w:p>
    <w:p w14:paraId="6C2449D0" w14:textId="00FF6129" w:rsidR="00C504C7" w:rsidRDefault="00651513" w:rsidP="00D567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probably eluded the defendant </w:t>
      </w:r>
      <w:r w:rsidR="003D7B3F">
        <w:rPr>
          <w:rFonts w:ascii="Times New Roman" w:hAnsi="Times New Roman" w:cs="Times New Roman"/>
          <w:sz w:val="24"/>
          <w:szCs w:val="24"/>
        </w:rPr>
        <w:t>wa</w:t>
      </w:r>
      <w:r>
        <w:rPr>
          <w:rFonts w:ascii="Times New Roman" w:hAnsi="Times New Roman" w:cs="Times New Roman"/>
          <w:sz w:val="24"/>
          <w:szCs w:val="24"/>
        </w:rPr>
        <w:t>s that i</w:t>
      </w:r>
      <w:r w:rsidR="00C504C7">
        <w:rPr>
          <w:rFonts w:ascii="Times New Roman" w:hAnsi="Times New Roman" w:cs="Times New Roman"/>
          <w:sz w:val="24"/>
          <w:szCs w:val="24"/>
        </w:rPr>
        <w:t xml:space="preserve">n this jurisdiction and elsewhere, </w:t>
      </w:r>
      <w:r>
        <w:rPr>
          <w:rFonts w:ascii="Times New Roman" w:hAnsi="Times New Roman" w:cs="Times New Roman"/>
          <w:sz w:val="24"/>
          <w:szCs w:val="24"/>
        </w:rPr>
        <w:t>v</w:t>
      </w:r>
      <w:r w:rsidR="00C504C7">
        <w:rPr>
          <w:rFonts w:ascii="Times New Roman" w:hAnsi="Times New Roman" w:cs="Times New Roman"/>
          <w:sz w:val="24"/>
          <w:szCs w:val="24"/>
        </w:rPr>
        <w:t>arious methods have been devised by the courts to calculate damages arising from the deprivation of one’s enjoyment of his property.</w:t>
      </w:r>
      <w:r w:rsidR="009913AD" w:rsidRPr="009913AD">
        <w:t xml:space="preserve"> </w:t>
      </w:r>
      <w:r w:rsidR="009913AD" w:rsidRPr="009913AD">
        <w:rPr>
          <w:rFonts w:ascii="Times New Roman" w:hAnsi="Times New Roman" w:cs="Times New Roman"/>
          <w:sz w:val="24"/>
          <w:szCs w:val="24"/>
        </w:rPr>
        <w:t>Where the unavailability of the property to its owner has not generated tangible financial loss</w:t>
      </w:r>
      <w:r w:rsidR="0020601B">
        <w:rPr>
          <w:rFonts w:ascii="Times New Roman" w:hAnsi="Times New Roman" w:cs="Times New Roman"/>
          <w:sz w:val="24"/>
          <w:szCs w:val="24"/>
        </w:rPr>
        <w:t>,</w:t>
      </w:r>
      <w:r w:rsidR="009913AD" w:rsidRPr="009913AD">
        <w:rPr>
          <w:rFonts w:ascii="Times New Roman" w:hAnsi="Times New Roman" w:cs="Times New Roman"/>
          <w:sz w:val="24"/>
          <w:szCs w:val="24"/>
        </w:rPr>
        <w:t xml:space="preserve"> which could be the subject of special damages general damages for the loss of use, or the inconvenience of not having access to the property, may be awarded. The courts have used various methods to calculate such general damages, but they have often not explained why one particular method rather than a different one was used. The five methods that have been considered by the courts: (1) wasted expenditure; (2) depreciation; (3) interest on capital value; (4) letting value; and (5) the hypothetical cost of renting a substitute property. </w:t>
      </w:r>
    </w:p>
    <w:p w14:paraId="72949C81" w14:textId="4C95A7F7" w:rsidR="006B486F" w:rsidRDefault="009913AD" w:rsidP="00D567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England t</w:t>
      </w:r>
      <w:r w:rsidR="00C504C7" w:rsidRPr="00C504C7">
        <w:rPr>
          <w:rFonts w:ascii="Times New Roman" w:hAnsi="Times New Roman" w:cs="Times New Roman"/>
          <w:sz w:val="24"/>
          <w:szCs w:val="24"/>
        </w:rPr>
        <w:t xml:space="preserve">his was first recognised by the House of Lords in </w:t>
      </w:r>
      <w:r>
        <w:rPr>
          <w:rFonts w:ascii="Times New Roman" w:hAnsi="Times New Roman" w:cs="Times New Roman"/>
          <w:sz w:val="24"/>
          <w:szCs w:val="24"/>
        </w:rPr>
        <w:t xml:space="preserve">the case of </w:t>
      </w:r>
      <w:r w:rsidR="00C504C7" w:rsidRPr="009913AD">
        <w:rPr>
          <w:rFonts w:ascii="Times New Roman" w:hAnsi="Times New Roman" w:cs="Times New Roman"/>
          <w:i/>
          <w:iCs/>
          <w:sz w:val="24"/>
          <w:szCs w:val="24"/>
        </w:rPr>
        <w:t xml:space="preserve">The Greta Holme </w:t>
      </w:r>
      <w:r>
        <w:rPr>
          <w:rFonts w:ascii="Times New Roman" w:hAnsi="Times New Roman" w:cs="Times New Roman"/>
          <w:sz w:val="24"/>
          <w:szCs w:val="24"/>
        </w:rPr>
        <w:t>[1897] AC 596, 602. This decision was followed in subsequent cases including</w:t>
      </w:r>
      <w:r w:rsidR="006B486F">
        <w:rPr>
          <w:rFonts w:ascii="Times New Roman" w:hAnsi="Times New Roman" w:cs="Times New Roman"/>
          <w:sz w:val="24"/>
          <w:szCs w:val="24"/>
        </w:rPr>
        <w:t>,</w:t>
      </w:r>
      <w:r>
        <w:rPr>
          <w:rFonts w:ascii="Times New Roman" w:hAnsi="Times New Roman" w:cs="Times New Roman"/>
          <w:sz w:val="24"/>
          <w:szCs w:val="24"/>
        </w:rPr>
        <w:t xml:space="preserve"> </w:t>
      </w:r>
      <w:r w:rsidR="006B486F" w:rsidRPr="006B486F">
        <w:rPr>
          <w:rFonts w:ascii="Times New Roman" w:hAnsi="Times New Roman" w:cs="Times New Roman"/>
          <w:i/>
          <w:iCs/>
          <w:sz w:val="24"/>
          <w:szCs w:val="24"/>
        </w:rPr>
        <w:t>The Mediana</w:t>
      </w:r>
      <w:r w:rsidR="006B486F" w:rsidRPr="006B486F">
        <w:rPr>
          <w:rFonts w:ascii="Times New Roman" w:hAnsi="Times New Roman" w:cs="Times New Roman"/>
          <w:sz w:val="24"/>
          <w:szCs w:val="24"/>
        </w:rPr>
        <w:t xml:space="preserve"> [1900] AC 113, 116; </w:t>
      </w:r>
      <w:r w:rsidR="006B486F" w:rsidRPr="006B486F">
        <w:rPr>
          <w:rFonts w:ascii="Times New Roman" w:hAnsi="Times New Roman" w:cs="Times New Roman"/>
          <w:i/>
          <w:iCs/>
          <w:sz w:val="24"/>
          <w:szCs w:val="24"/>
        </w:rPr>
        <w:t>The Marpessa</w:t>
      </w:r>
      <w:r w:rsidR="006B486F" w:rsidRPr="006B486F">
        <w:rPr>
          <w:rFonts w:ascii="Times New Roman" w:hAnsi="Times New Roman" w:cs="Times New Roman"/>
          <w:sz w:val="24"/>
          <w:szCs w:val="24"/>
        </w:rPr>
        <w:t xml:space="preserve"> [1907] AC 241, 244; </w:t>
      </w:r>
      <w:r w:rsidR="006B486F" w:rsidRPr="006B486F">
        <w:rPr>
          <w:rFonts w:ascii="Times New Roman" w:hAnsi="Times New Roman" w:cs="Times New Roman"/>
          <w:i/>
          <w:iCs/>
          <w:sz w:val="24"/>
          <w:szCs w:val="24"/>
        </w:rPr>
        <w:t>The Chekiang</w:t>
      </w:r>
      <w:r w:rsidR="006B486F" w:rsidRPr="006B486F">
        <w:rPr>
          <w:rFonts w:ascii="Times New Roman" w:hAnsi="Times New Roman" w:cs="Times New Roman"/>
          <w:sz w:val="24"/>
          <w:szCs w:val="24"/>
        </w:rPr>
        <w:t xml:space="preserve"> [1926] AC 637, 642 The </w:t>
      </w:r>
      <w:r w:rsidR="006B486F" w:rsidRPr="006B486F">
        <w:rPr>
          <w:rFonts w:ascii="Times New Roman" w:hAnsi="Times New Roman" w:cs="Times New Roman"/>
          <w:i/>
          <w:iCs/>
          <w:sz w:val="24"/>
          <w:szCs w:val="24"/>
        </w:rPr>
        <w:t>Susquehanna</w:t>
      </w:r>
      <w:r w:rsidR="006B486F" w:rsidRPr="006B486F">
        <w:rPr>
          <w:rFonts w:ascii="Times New Roman" w:hAnsi="Times New Roman" w:cs="Times New Roman"/>
          <w:sz w:val="24"/>
          <w:szCs w:val="24"/>
        </w:rPr>
        <w:t xml:space="preserve"> [1926] AC 655, 662; </w:t>
      </w:r>
      <w:r w:rsidR="006B486F" w:rsidRPr="006B486F">
        <w:rPr>
          <w:rFonts w:ascii="Times New Roman" w:hAnsi="Times New Roman" w:cs="Times New Roman"/>
          <w:i/>
          <w:iCs/>
          <w:sz w:val="24"/>
          <w:szCs w:val="24"/>
        </w:rPr>
        <w:t>The Hebridean Coast</w:t>
      </w:r>
      <w:r w:rsidR="006B486F" w:rsidRPr="006B486F">
        <w:rPr>
          <w:rFonts w:ascii="Times New Roman" w:hAnsi="Times New Roman" w:cs="Times New Roman"/>
          <w:sz w:val="24"/>
          <w:szCs w:val="24"/>
        </w:rPr>
        <w:t xml:space="preserve"> (n 9) 551 </w:t>
      </w:r>
    </w:p>
    <w:p w14:paraId="2459844D" w14:textId="2F745CFF" w:rsidR="00651513" w:rsidRDefault="00651513" w:rsidP="00D567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Australia the courts have equally recognised an action for the loss of use of one’s property. </w:t>
      </w:r>
      <w:r w:rsidR="009B4C90">
        <w:rPr>
          <w:rFonts w:ascii="Times New Roman" w:hAnsi="Times New Roman" w:cs="Times New Roman"/>
          <w:sz w:val="24"/>
          <w:szCs w:val="24"/>
        </w:rPr>
        <w:t>Although the courts draw a distinction between loss of use of real estate (as in the present case) and loss of use of chattels,</w:t>
      </w:r>
      <w:r>
        <w:rPr>
          <w:rFonts w:ascii="Times New Roman" w:hAnsi="Times New Roman" w:cs="Times New Roman"/>
          <w:sz w:val="24"/>
          <w:szCs w:val="24"/>
        </w:rPr>
        <w:t xml:space="preserve"> See </w:t>
      </w:r>
      <w:r w:rsidRPr="009B4C90">
        <w:rPr>
          <w:rFonts w:ascii="Times New Roman" w:hAnsi="Times New Roman" w:cs="Times New Roman"/>
          <w:i/>
          <w:iCs/>
          <w:sz w:val="24"/>
          <w:szCs w:val="24"/>
        </w:rPr>
        <w:t>Arsalan</w:t>
      </w:r>
      <w:r>
        <w:rPr>
          <w:rFonts w:ascii="Times New Roman" w:hAnsi="Times New Roman" w:cs="Times New Roman"/>
          <w:sz w:val="24"/>
          <w:szCs w:val="24"/>
        </w:rPr>
        <w:t xml:space="preserve"> v </w:t>
      </w:r>
      <w:r w:rsidRPr="009B4C90">
        <w:rPr>
          <w:rFonts w:ascii="Times New Roman" w:hAnsi="Times New Roman" w:cs="Times New Roman"/>
          <w:i/>
          <w:iCs/>
          <w:sz w:val="24"/>
          <w:szCs w:val="24"/>
        </w:rPr>
        <w:t>Rixon</w:t>
      </w:r>
      <w:r>
        <w:rPr>
          <w:rFonts w:ascii="Times New Roman" w:hAnsi="Times New Roman" w:cs="Times New Roman"/>
          <w:sz w:val="24"/>
          <w:szCs w:val="24"/>
        </w:rPr>
        <w:t xml:space="preserve"> (2021) 395 ALR 390; </w:t>
      </w:r>
      <w:r w:rsidRPr="009B4C90">
        <w:rPr>
          <w:rFonts w:ascii="Times New Roman" w:hAnsi="Times New Roman" w:cs="Times New Roman"/>
          <w:i/>
          <w:iCs/>
          <w:sz w:val="24"/>
          <w:szCs w:val="24"/>
        </w:rPr>
        <w:t>Leeda</w:t>
      </w:r>
      <w:r>
        <w:rPr>
          <w:rFonts w:ascii="Times New Roman" w:hAnsi="Times New Roman" w:cs="Times New Roman"/>
          <w:sz w:val="24"/>
          <w:szCs w:val="24"/>
        </w:rPr>
        <w:t xml:space="preserve"> </w:t>
      </w:r>
      <w:r w:rsidRPr="009B4C90">
        <w:rPr>
          <w:rFonts w:ascii="Times New Roman" w:hAnsi="Times New Roman" w:cs="Times New Roman"/>
          <w:i/>
          <w:iCs/>
          <w:sz w:val="24"/>
          <w:szCs w:val="24"/>
        </w:rPr>
        <w:t xml:space="preserve">Projects </w:t>
      </w:r>
      <w:r w:rsidR="0032772E" w:rsidRPr="009B4C90">
        <w:rPr>
          <w:rFonts w:ascii="Times New Roman" w:hAnsi="Times New Roman" w:cs="Times New Roman"/>
          <w:i/>
          <w:iCs/>
          <w:sz w:val="24"/>
          <w:szCs w:val="24"/>
        </w:rPr>
        <w:t xml:space="preserve">Pty Ltd v Zeng </w:t>
      </w:r>
      <w:r w:rsidR="0032772E">
        <w:rPr>
          <w:rFonts w:ascii="Times New Roman" w:hAnsi="Times New Roman" w:cs="Times New Roman"/>
          <w:sz w:val="24"/>
          <w:szCs w:val="24"/>
        </w:rPr>
        <w:t>[2020] VSCA 192</w:t>
      </w:r>
      <w:r w:rsidR="009B4C90">
        <w:rPr>
          <w:rFonts w:ascii="Times New Roman" w:hAnsi="Times New Roman" w:cs="Times New Roman"/>
          <w:sz w:val="24"/>
          <w:szCs w:val="24"/>
        </w:rPr>
        <w:t xml:space="preserve"> &amp; </w:t>
      </w:r>
      <w:r w:rsidR="009B4C90" w:rsidRPr="009B4C90">
        <w:rPr>
          <w:rFonts w:ascii="Times New Roman" w:hAnsi="Times New Roman" w:cs="Times New Roman"/>
          <w:i/>
          <w:iCs/>
          <w:sz w:val="24"/>
          <w:szCs w:val="24"/>
        </w:rPr>
        <w:t>Ray Laurence Constructions Pty Ltd</w:t>
      </w:r>
      <w:r w:rsidR="009B4C90">
        <w:rPr>
          <w:rFonts w:ascii="Times New Roman" w:hAnsi="Times New Roman" w:cs="Times New Roman"/>
          <w:sz w:val="24"/>
          <w:szCs w:val="24"/>
        </w:rPr>
        <w:t xml:space="preserve"> v</w:t>
      </w:r>
      <w:r w:rsidR="009B4C90" w:rsidRPr="009B4C90">
        <w:rPr>
          <w:rFonts w:ascii="Times New Roman" w:hAnsi="Times New Roman" w:cs="Times New Roman"/>
          <w:i/>
          <w:iCs/>
          <w:sz w:val="24"/>
          <w:szCs w:val="24"/>
        </w:rPr>
        <w:t xml:space="preserve"> Nolks </w:t>
      </w:r>
      <w:r w:rsidR="009B4C90">
        <w:rPr>
          <w:rFonts w:ascii="Times New Roman" w:hAnsi="Times New Roman" w:cs="Times New Roman"/>
          <w:sz w:val="24"/>
          <w:szCs w:val="24"/>
        </w:rPr>
        <w:t>[2010] NTSC 37</w:t>
      </w:r>
      <w:r w:rsidR="003C6DBB">
        <w:rPr>
          <w:rFonts w:ascii="Times New Roman" w:hAnsi="Times New Roman" w:cs="Times New Roman"/>
          <w:sz w:val="24"/>
          <w:szCs w:val="24"/>
        </w:rPr>
        <w:t>.</w:t>
      </w:r>
    </w:p>
    <w:p w14:paraId="1E206028" w14:textId="19E5F854" w:rsidR="003C6DBB" w:rsidRDefault="003C6DBB" w:rsidP="00D567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are similar cases emanating from the South African courts although most claims for such unlawful deprivation of property </w:t>
      </w:r>
      <w:r w:rsidR="0053082A">
        <w:rPr>
          <w:rFonts w:ascii="Times New Roman" w:hAnsi="Times New Roman" w:cs="Times New Roman"/>
          <w:sz w:val="24"/>
          <w:szCs w:val="24"/>
        </w:rPr>
        <w:t>can be</w:t>
      </w:r>
      <w:r>
        <w:rPr>
          <w:rFonts w:ascii="Times New Roman" w:hAnsi="Times New Roman" w:cs="Times New Roman"/>
          <w:sz w:val="24"/>
          <w:szCs w:val="24"/>
        </w:rPr>
        <w:t xml:space="preserve"> brought in terms of the relevant provisions of the </w:t>
      </w:r>
      <w:r w:rsidR="0053082A">
        <w:rPr>
          <w:rFonts w:ascii="Times New Roman" w:hAnsi="Times New Roman" w:cs="Times New Roman"/>
          <w:sz w:val="24"/>
          <w:szCs w:val="24"/>
        </w:rPr>
        <w:t xml:space="preserve">South African </w:t>
      </w:r>
      <w:r>
        <w:rPr>
          <w:rFonts w:ascii="Times New Roman" w:hAnsi="Times New Roman" w:cs="Times New Roman"/>
          <w:sz w:val="24"/>
          <w:szCs w:val="24"/>
        </w:rPr>
        <w:t>Constitution</w:t>
      </w:r>
      <w:r w:rsidR="0053082A">
        <w:rPr>
          <w:rFonts w:ascii="Times New Roman" w:hAnsi="Times New Roman" w:cs="Times New Roman"/>
          <w:sz w:val="24"/>
          <w:szCs w:val="24"/>
        </w:rPr>
        <w:t xml:space="preserve">, see </w:t>
      </w:r>
      <w:r w:rsidR="0053082A" w:rsidRPr="0053082A">
        <w:rPr>
          <w:rFonts w:ascii="Times New Roman" w:hAnsi="Times New Roman" w:cs="Times New Roman"/>
          <w:i/>
          <w:iCs/>
          <w:sz w:val="24"/>
          <w:szCs w:val="24"/>
        </w:rPr>
        <w:t>Modderfontein Squatters &amp; Anor</w:t>
      </w:r>
      <w:r w:rsidR="0053082A">
        <w:rPr>
          <w:rFonts w:ascii="Times New Roman" w:hAnsi="Times New Roman" w:cs="Times New Roman"/>
          <w:sz w:val="24"/>
          <w:szCs w:val="24"/>
        </w:rPr>
        <w:t xml:space="preserve"> v </w:t>
      </w:r>
      <w:r w:rsidR="0053082A" w:rsidRPr="0053082A">
        <w:rPr>
          <w:rFonts w:ascii="Times New Roman" w:hAnsi="Times New Roman" w:cs="Times New Roman"/>
          <w:i/>
          <w:iCs/>
          <w:sz w:val="24"/>
          <w:szCs w:val="24"/>
        </w:rPr>
        <w:t>Modderklip Boedery (Pty)  Ltd</w:t>
      </w:r>
      <w:r w:rsidR="0053082A">
        <w:rPr>
          <w:rFonts w:ascii="Times New Roman" w:hAnsi="Times New Roman" w:cs="Times New Roman"/>
          <w:sz w:val="24"/>
          <w:szCs w:val="24"/>
        </w:rPr>
        <w:t xml:space="preserve"> </w:t>
      </w:r>
      <w:r w:rsidR="0053082A" w:rsidRPr="0053082A">
        <w:rPr>
          <w:rFonts w:ascii="Times New Roman" w:hAnsi="Times New Roman" w:cs="Times New Roman"/>
          <w:i/>
          <w:iCs/>
          <w:sz w:val="24"/>
          <w:szCs w:val="24"/>
        </w:rPr>
        <w:t>&amp; Ors</w:t>
      </w:r>
      <w:r w:rsidR="0053082A">
        <w:rPr>
          <w:rFonts w:ascii="Times New Roman" w:hAnsi="Times New Roman" w:cs="Times New Roman"/>
          <w:sz w:val="24"/>
          <w:szCs w:val="24"/>
        </w:rPr>
        <w:t xml:space="preserve"> 2004 (6) SA 40 &amp; Changing Tides 74 (Pty) Ltd The City of Johannesburg SA40135/16 (unreported)</w:t>
      </w:r>
    </w:p>
    <w:p w14:paraId="0B034B2B" w14:textId="08E48E85" w:rsidR="00750840" w:rsidRDefault="003C6DBB" w:rsidP="00D567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520FC7">
        <w:rPr>
          <w:rFonts w:ascii="Times New Roman" w:hAnsi="Times New Roman" w:cs="Times New Roman"/>
          <w:i/>
          <w:iCs/>
          <w:sz w:val="24"/>
          <w:szCs w:val="24"/>
        </w:rPr>
        <w:t>casu</w:t>
      </w:r>
      <w:r>
        <w:rPr>
          <w:rFonts w:ascii="Times New Roman" w:hAnsi="Times New Roman" w:cs="Times New Roman"/>
          <w:sz w:val="24"/>
          <w:szCs w:val="24"/>
        </w:rPr>
        <w:t xml:space="preserve"> t</w:t>
      </w:r>
      <w:r w:rsidR="00750840">
        <w:rPr>
          <w:rFonts w:ascii="Times New Roman" w:hAnsi="Times New Roman" w:cs="Times New Roman"/>
          <w:sz w:val="24"/>
          <w:szCs w:val="24"/>
        </w:rPr>
        <w:t xml:space="preserve">he parties are in agreement that the damages sought are not capable of precise mathematical calculation.  The outstanding question, therefore is whether the plaintiff has placed before the court sufficient evidence upon which </w:t>
      </w:r>
      <w:r w:rsidR="00DC39F9">
        <w:rPr>
          <w:rFonts w:ascii="Times New Roman" w:hAnsi="Times New Roman" w:cs="Times New Roman"/>
          <w:sz w:val="24"/>
          <w:szCs w:val="24"/>
        </w:rPr>
        <w:t>the court</w:t>
      </w:r>
      <w:r w:rsidR="00750840">
        <w:rPr>
          <w:rFonts w:ascii="Times New Roman" w:hAnsi="Times New Roman" w:cs="Times New Roman"/>
          <w:sz w:val="24"/>
          <w:szCs w:val="24"/>
        </w:rPr>
        <w:t xml:space="preserve"> estimate his loss.  </w:t>
      </w:r>
      <w:r w:rsidR="00422CA2">
        <w:rPr>
          <w:rFonts w:ascii="Times New Roman" w:hAnsi="Times New Roman" w:cs="Times New Roman"/>
          <w:sz w:val="24"/>
          <w:szCs w:val="24"/>
        </w:rPr>
        <w:t>I believe</w:t>
      </w:r>
      <w:r w:rsidR="00750840">
        <w:rPr>
          <w:rFonts w:ascii="Times New Roman" w:hAnsi="Times New Roman" w:cs="Times New Roman"/>
          <w:sz w:val="24"/>
          <w:szCs w:val="24"/>
        </w:rPr>
        <w:t xml:space="preserve"> he did.  The parties agree that the piece of land in question is a commercial stand and that the plaintiff had acquired it for purpose of commencing a commercial enterprise.  </w:t>
      </w:r>
    </w:p>
    <w:p w14:paraId="196E98B8" w14:textId="4E890FAD" w:rsidR="00BA72B1" w:rsidRDefault="003B2C1B" w:rsidP="00BA72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two methods which are applicable </w:t>
      </w:r>
      <w:r w:rsidRPr="00BA72B1">
        <w:rPr>
          <w:rFonts w:ascii="Times New Roman" w:hAnsi="Times New Roman" w:cs="Times New Roman"/>
          <w:i/>
          <w:iCs/>
          <w:sz w:val="24"/>
          <w:szCs w:val="24"/>
        </w:rPr>
        <w:t>in casu</w:t>
      </w:r>
      <w:r>
        <w:rPr>
          <w:rFonts w:ascii="Times New Roman" w:hAnsi="Times New Roman" w:cs="Times New Roman"/>
          <w:sz w:val="24"/>
          <w:szCs w:val="24"/>
        </w:rPr>
        <w:t xml:space="preserve"> are the </w:t>
      </w:r>
      <w:r w:rsidR="0020601B">
        <w:rPr>
          <w:rFonts w:ascii="Times New Roman" w:hAnsi="Times New Roman" w:cs="Times New Roman"/>
          <w:sz w:val="24"/>
          <w:szCs w:val="24"/>
        </w:rPr>
        <w:t>“</w:t>
      </w:r>
      <w:r>
        <w:rPr>
          <w:rFonts w:ascii="Times New Roman" w:hAnsi="Times New Roman" w:cs="Times New Roman"/>
          <w:sz w:val="24"/>
          <w:szCs w:val="24"/>
        </w:rPr>
        <w:t>letting value</w:t>
      </w:r>
      <w:r w:rsidR="0020601B">
        <w:rPr>
          <w:rFonts w:ascii="Times New Roman" w:hAnsi="Times New Roman" w:cs="Times New Roman"/>
          <w:sz w:val="24"/>
          <w:szCs w:val="24"/>
        </w:rPr>
        <w:t>”</w:t>
      </w:r>
      <w:r w:rsidR="00BA72B1">
        <w:rPr>
          <w:rFonts w:ascii="Times New Roman" w:hAnsi="Times New Roman" w:cs="Times New Roman"/>
          <w:sz w:val="24"/>
          <w:szCs w:val="24"/>
        </w:rPr>
        <w:t xml:space="preserve"> method</w:t>
      </w:r>
      <w:r>
        <w:rPr>
          <w:rFonts w:ascii="Times New Roman" w:hAnsi="Times New Roman" w:cs="Times New Roman"/>
          <w:sz w:val="24"/>
          <w:szCs w:val="24"/>
        </w:rPr>
        <w:t xml:space="preserve"> and the </w:t>
      </w:r>
      <w:r w:rsidR="0020601B">
        <w:rPr>
          <w:rFonts w:ascii="Times New Roman" w:hAnsi="Times New Roman" w:cs="Times New Roman"/>
          <w:sz w:val="24"/>
          <w:szCs w:val="24"/>
        </w:rPr>
        <w:t>“</w:t>
      </w:r>
      <w:r>
        <w:rPr>
          <w:rFonts w:ascii="Times New Roman" w:hAnsi="Times New Roman" w:cs="Times New Roman"/>
          <w:sz w:val="24"/>
          <w:szCs w:val="24"/>
        </w:rPr>
        <w:t xml:space="preserve">hypothetical cost of renting a substitute property </w:t>
      </w:r>
      <w:r w:rsidR="00BA72B1">
        <w:rPr>
          <w:rFonts w:ascii="Times New Roman" w:hAnsi="Times New Roman" w:cs="Times New Roman"/>
          <w:sz w:val="24"/>
          <w:szCs w:val="24"/>
        </w:rPr>
        <w:t>method</w:t>
      </w:r>
      <w:r w:rsidR="0020601B">
        <w:rPr>
          <w:rFonts w:ascii="Times New Roman" w:hAnsi="Times New Roman" w:cs="Times New Roman"/>
          <w:sz w:val="24"/>
          <w:szCs w:val="24"/>
        </w:rPr>
        <w:t>”</w:t>
      </w:r>
      <w:r>
        <w:rPr>
          <w:rFonts w:ascii="Times New Roman" w:hAnsi="Times New Roman" w:cs="Times New Roman"/>
          <w:sz w:val="24"/>
          <w:szCs w:val="24"/>
        </w:rPr>
        <w:t xml:space="preserve">. </w:t>
      </w:r>
      <w:r w:rsidR="00BA72B1">
        <w:rPr>
          <w:rFonts w:ascii="Times New Roman" w:hAnsi="Times New Roman" w:cs="Times New Roman"/>
          <w:sz w:val="24"/>
          <w:szCs w:val="24"/>
        </w:rPr>
        <w:t>In an article by Sirko Hardy “Valuing the inconvenience resulting from the temporary unavailability of one’s property” published in the (2023) 44 (1) Adelaide Law Review explains the distinction between these two methods as follows:</w:t>
      </w:r>
    </w:p>
    <w:p w14:paraId="7D30F329" w14:textId="27CC1261" w:rsidR="00BA72B1" w:rsidRPr="00BA72B1" w:rsidRDefault="00BA72B1" w:rsidP="00BA72B1">
      <w:pPr>
        <w:spacing w:after="0"/>
        <w:ind w:left="1440" w:firstLine="720"/>
        <w:jc w:val="both"/>
        <w:rPr>
          <w:rFonts w:ascii="Times New Roman" w:hAnsi="Times New Roman" w:cs="Times New Roman"/>
        </w:rPr>
      </w:pPr>
      <w:r>
        <w:rPr>
          <w:rFonts w:ascii="Times New Roman" w:hAnsi="Times New Roman" w:cs="Times New Roman"/>
        </w:rPr>
        <w:t>“</w:t>
      </w:r>
      <w:r w:rsidRPr="00BA72B1">
        <w:rPr>
          <w:rFonts w:ascii="Times New Roman" w:hAnsi="Times New Roman" w:cs="Times New Roman"/>
        </w:rPr>
        <w:t xml:space="preserve">It is important to distinguish this method from the letting value method considered before. The letting value method identifies the amount of rent that the plaintiff could in theory have obtained from letting the subject property to someone. The method considered now </w:t>
      </w:r>
      <w:r>
        <w:rPr>
          <w:rFonts w:ascii="Times New Roman" w:hAnsi="Times New Roman" w:cs="Times New Roman"/>
        </w:rPr>
        <w:t xml:space="preserve">[the hypothetical cost of renting a substitute property] </w:t>
      </w:r>
      <w:r w:rsidRPr="00BA72B1">
        <w:rPr>
          <w:rFonts w:ascii="Times New Roman" w:hAnsi="Times New Roman" w:cs="Times New Roman"/>
        </w:rPr>
        <w:t>identifies the rent that the plaintiff would have had to pay for renting a substitute property. Even if the subject property and the substitute are of the same value, the amount of rent that the plaintiff would have to pay to a commercial lessor for a substitute property is not necessarily the same as the amount of rent that the plaintiff as a lessor would be able to charge for the subject property, in particular where the plaintiff is not running a business.</w:t>
      </w:r>
    </w:p>
    <w:p w14:paraId="01A6EBDF" w14:textId="77777777" w:rsidR="00BA72B1" w:rsidRDefault="00BA72B1" w:rsidP="00BA72B1">
      <w:pPr>
        <w:spacing w:after="0" w:line="360" w:lineRule="auto"/>
        <w:ind w:firstLine="720"/>
        <w:jc w:val="both"/>
        <w:rPr>
          <w:rFonts w:ascii="Times New Roman" w:hAnsi="Times New Roman" w:cs="Times New Roman"/>
          <w:sz w:val="24"/>
          <w:szCs w:val="24"/>
        </w:rPr>
      </w:pPr>
    </w:p>
    <w:p w14:paraId="0DCB6853" w14:textId="6D16903A" w:rsidR="003D7B3F" w:rsidRDefault="00BA72B1" w:rsidP="00BA72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favoured method in such instances is the hypothetical cost of renting a substitute property method.</w:t>
      </w:r>
      <w:r w:rsidR="003B2C1B">
        <w:rPr>
          <w:rFonts w:ascii="Times New Roman" w:hAnsi="Times New Roman" w:cs="Times New Roman"/>
          <w:sz w:val="24"/>
          <w:szCs w:val="24"/>
        </w:rPr>
        <w:t xml:space="preserve"> </w:t>
      </w:r>
      <w:r w:rsidR="00B319C4">
        <w:rPr>
          <w:rFonts w:ascii="Times New Roman" w:hAnsi="Times New Roman" w:cs="Times New Roman"/>
          <w:sz w:val="24"/>
          <w:szCs w:val="24"/>
        </w:rPr>
        <w:t>Therefore,</w:t>
      </w:r>
      <w:r w:rsidR="00F036F3">
        <w:rPr>
          <w:rFonts w:ascii="Times New Roman" w:hAnsi="Times New Roman" w:cs="Times New Roman"/>
          <w:sz w:val="24"/>
          <w:szCs w:val="24"/>
        </w:rPr>
        <w:t xml:space="preserve"> the $10</w:t>
      </w:r>
      <w:r w:rsidR="00B319C4">
        <w:rPr>
          <w:rFonts w:ascii="Times New Roman" w:hAnsi="Times New Roman" w:cs="Times New Roman"/>
          <w:sz w:val="24"/>
          <w:szCs w:val="24"/>
        </w:rPr>
        <w:t xml:space="preserve"> </w:t>
      </w:r>
      <w:r w:rsidR="00F036F3">
        <w:rPr>
          <w:rFonts w:ascii="Times New Roman" w:hAnsi="Times New Roman" w:cs="Times New Roman"/>
          <w:sz w:val="24"/>
          <w:szCs w:val="24"/>
        </w:rPr>
        <w:t>000 sought by the plaintiff cannot be by any stretch of the imagination be deemed to be arbitrary, excessive or unreasonable.</w:t>
      </w:r>
      <w:r>
        <w:rPr>
          <w:rFonts w:ascii="Times New Roman" w:hAnsi="Times New Roman" w:cs="Times New Roman"/>
          <w:sz w:val="24"/>
          <w:szCs w:val="24"/>
        </w:rPr>
        <w:t xml:space="preserve"> Lest it be argued that the plaintiff did not plead </w:t>
      </w:r>
      <w:r w:rsidRPr="00BA72B1">
        <w:rPr>
          <w:rFonts w:ascii="Times New Roman" w:hAnsi="Times New Roman" w:cs="Times New Roman"/>
          <w:i/>
          <w:iCs/>
          <w:sz w:val="24"/>
          <w:szCs w:val="24"/>
        </w:rPr>
        <w:t>general</w:t>
      </w:r>
      <w:r>
        <w:rPr>
          <w:rFonts w:ascii="Times New Roman" w:hAnsi="Times New Roman" w:cs="Times New Roman"/>
          <w:sz w:val="24"/>
          <w:szCs w:val="24"/>
        </w:rPr>
        <w:t xml:space="preserve"> damages arising from the loss of use of his stand, </w:t>
      </w:r>
      <w:r w:rsidR="00D8502B">
        <w:rPr>
          <w:rFonts w:ascii="Times New Roman" w:hAnsi="Times New Roman" w:cs="Times New Roman"/>
          <w:sz w:val="24"/>
          <w:szCs w:val="24"/>
        </w:rPr>
        <w:t>paragraphs 10, 11 and 13 of his declaration</w:t>
      </w:r>
      <w:r w:rsidR="00E70EC9">
        <w:rPr>
          <w:rFonts w:ascii="Times New Roman" w:hAnsi="Times New Roman" w:cs="Times New Roman"/>
          <w:sz w:val="24"/>
          <w:szCs w:val="24"/>
        </w:rPr>
        <w:t>, referred to in page 2 of this judgment</w:t>
      </w:r>
      <w:r w:rsidR="00D8502B">
        <w:rPr>
          <w:rFonts w:ascii="Times New Roman" w:hAnsi="Times New Roman" w:cs="Times New Roman"/>
          <w:sz w:val="24"/>
          <w:szCs w:val="24"/>
        </w:rPr>
        <w:t xml:space="preserve"> shows that he clearly did. It is on the basis of the notional or hypothetical cost of renting a similar substitute commercial property that I believe the amount of $10 000 sought by the plaintiff is reasonable in the circumstances. </w:t>
      </w:r>
    </w:p>
    <w:p w14:paraId="442DF8B0" w14:textId="1D259347" w:rsidR="003D7B3F" w:rsidRDefault="003D7B3F" w:rsidP="00BA72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One of the clearest indicators of the notional cost for renting out a similar substitute property is provided in the plaintiff’s abortive claim for rent. He had sought to obtain “rent” from the defendant in the sum of US$500/month. Although the plaintiff did not necessarily rely on this figure, it nonetheless provides a</w:t>
      </w:r>
      <w:r w:rsidR="006A37B6">
        <w:rPr>
          <w:rFonts w:ascii="Times New Roman" w:hAnsi="Times New Roman" w:cs="Times New Roman"/>
          <w:sz w:val="24"/>
          <w:szCs w:val="24"/>
        </w:rPr>
        <w:t>n idea, (albeit indirect</w:t>
      </w:r>
    </w:p>
    <w:p w14:paraId="10814058" w14:textId="22FAE261" w:rsidR="00F036F3" w:rsidRDefault="00D8502B" w:rsidP="00BA72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3C6DBB">
        <w:rPr>
          <w:rFonts w:ascii="Times New Roman" w:hAnsi="Times New Roman" w:cs="Times New Roman"/>
          <w:sz w:val="24"/>
          <w:szCs w:val="24"/>
        </w:rPr>
        <w:t xml:space="preserve">If one considers that this was a commercial stand and </w:t>
      </w:r>
      <w:r w:rsidR="00520FC7">
        <w:rPr>
          <w:rFonts w:ascii="Times New Roman" w:hAnsi="Times New Roman" w:cs="Times New Roman"/>
          <w:sz w:val="24"/>
          <w:szCs w:val="24"/>
        </w:rPr>
        <w:t xml:space="preserve">further </w:t>
      </w:r>
      <w:r w:rsidR="003C6DBB">
        <w:rPr>
          <w:rFonts w:ascii="Times New Roman" w:hAnsi="Times New Roman" w:cs="Times New Roman"/>
          <w:sz w:val="24"/>
          <w:szCs w:val="24"/>
        </w:rPr>
        <w:t xml:space="preserve">that that the </w:t>
      </w:r>
      <w:r w:rsidR="00520FC7">
        <w:rPr>
          <w:rFonts w:ascii="Times New Roman" w:hAnsi="Times New Roman" w:cs="Times New Roman"/>
          <w:sz w:val="24"/>
          <w:szCs w:val="24"/>
        </w:rPr>
        <w:t>offending structures remained on the plaintiff’s property from 2018 (when the swap deal collapsed) to 2021 (when the defendant eventually removed its structures) that would translate to a mere $278/month.</w:t>
      </w:r>
    </w:p>
    <w:p w14:paraId="4B8611A6" w14:textId="77777777" w:rsidR="00B319C4" w:rsidRDefault="00B319C4" w:rsidP="00D5676E">
      <w:pPr>
        <w:spacing w:after="0" w:line="360" w:lineRule="auto"/>
        <w:ind w:firstLine="720"/>
        <w:jc w:val="both"/>
        <w:rPr>
          <w:rFonts w:ascii="Times New Roman" w:hAnsi="Times New Roman" w:cs="Times New Roman"/>
          <w:sz w:val="24"/>
          <w:szCs w:val="24"/>
        </w:rPr>
      </w:pPr>
    </w:p>
    <w:p w14:paraId="2A50C767" w14:textId="1F9E9953" w:rsidR="00F036F3" w:rsidRDefault="00B319C4" w:rsidP="00D567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w:t>
      </w:r>
      <w:r w:rsidR="00F036F3">
        <w:rPr>
          <w:rFonts w:ascii="Times New Roman" w:hAnsi="Times New Roman" w:cs="Times New Roman"/>
          <w:sz w:val="24"/>
          <w:szCs w:val="24"/>
        </w:rPr>
        <w:t xml:space="preserve"> the claim succeeds as follows</w:t>
      </w:r>
      <w:r w:rsidR="00D8502B">
        <w:rPr>
          <w:rFonts w:ascii="Times New Roman" w:hAnsi="Times New Roman" w:cs="Times New Roman"/>
          <w:sz w:val="24"/>
          <w:szCs w:val="24"/>
        </w:rPr>
        <w:t>:</w:t>
      </w:r>
    </w:p>
    <w:p w14:paraId="77EFBF21" w14:textId="57BCF70D" w:rsidR="00F036F3" w:rsidRDefault="00F036F3" w:rsidP="00CF110E">
      <w:pPr>
        <w:pStyle w:val="ListParagraph"/>
        <w:numPr>
          <w:ilvl w:val="0"/>
          <w:numId w:val="7"/>
        </w:numPr>
        <w:spacing w:after="0" w:line="360" w:lineRule="auto"/>
        <w:jc w:val="both"/>
        <w:rPr>
          <w:rFonts w:ascii="Times New Roman" w:hAnsi="Times New Roman" w:cs="Times New Roman"/>
          <w:sz w:val="24"/>
          <w:szCs w:val="24"/>
        </w:rPr>
      </w:pPr>
      <w:r w:rsidRPr="00CF110E">
        <w:rPr>
          <w:rFonts w:ascii="Times New Roman" w:hAnsi="Times New Roman" w:cs="Times New Roman"/>
          <w:sz w:val="24"/>
          <w:szCs w:val="24"/>
        </w:rPr>
        <w:t xml:space="preserve">The defendant to pay the plaintiff sum of US$10 000 or its equivalent in Zimbabwean currency, calculated at its prevailing bank rate on the date of payment being damages </w:t>
      </w:r>
      <w:r w:rsidRPr="00CF110E">
        <w:rPr>
          <w:rFonts w:ascii="Times New Roman" w:hAnsi="Times New Roman" w:cs="Times New Roman"/>
          <w:sz w:val="24"/>
          <w:szCs w:val="24"/>
        </w:rPr>
        <w:lastRenderedPageBreak/>
        <w:t xml:space="preserve">for </w:t>
      </w:r>
      <w:r w:rsidR="00CF110E" w:rsidRPr="00CF110E">
        <w:rPr>
          <w:rFonts w:ascii="Times New Roman" w:hAnsi="Times New Roman" w:cs="Times New Roman"/>
          <w:sz w:val="24"/>
          <w:szCs w:val="24"/>
        </w:rPr>
        <w:t>defendant’s continued unlawful occupation and usage of plaintiff’s property being Stand No. 27810 Masvingo.</w:t>
      </w:r>
    </w:p>
    <w:p w14:paraId="075E7F66" w14:textId="77777777" w:rsidR="00F32319" w:rsidRDefault="00F32319" w:rsidP="00F32319">
      <w:pPr>
        <w:pStyle w:val="ListParagraph"/>
        <w:spacing w:after="0" w:line="360" w:lineRule="auto"/>
        <w:ind w:left="1080"/>
        <w:jc w:val="both"/>
        <w:rPr>
          <w:rFonts w:ascii="Times New Roman" w:hAnsi="Times New Roman" w:cs="Times New Roman"/>
          <w:sz w:val="24"/>
          <w:szCs w:val="24"/>
        </w:rPr>
      </w:pPr>
    </w:p>
    <w:p w14:paraId="25CBE321" w14:textId="69DDB828" w:rsidR="00CF110E" w:rsidRDefault="0053082A" w:rsidP="00CF110E">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 to meet plaintiff’s c</w:t>
      </w:r>
      <w:r w:rsidR="00CF110E">
        <w:rPr>
          <w:rFonts w:ascii="Times New Roman" w:hAnsi="Times New Roman" w:cs="Times New Roman"/>
          <w:sz w:val="24"/>
          <w:szCs w:val="24"/>
        </w:rPr>
        <w:t>osts of Suit.</w:t>
      </w:r>
    </w:p>
    <w:p w14:paraId="1A31E5F1" w14:textId="77777777" w:rsidR="00CF110E" w:rsidRPr="00CF110E" w:rsidRDefault="00CF110E" w:rsidP="00CF110E">
      <w:pPr>
        <w:pStyle w:val="ListParagraph"/>
        <w:spacing w:after="0" w:line="360" w:lineRule="auto"/>
        <w:ind w:left="1080"/>
        <w:jc w:val="both"/>
        <w:rPr>
          <w:rFonts w:ascii="Times New Roman" w:hAnsi="Times New Roman" w:cs="Times New Roman"/>
          <w:sz w:val="24"/>
          <w:szCs w:val="24"/>
        </w:rPr>
      </w:pPr>
    </w:p>
    <w:p w14:paraId="2FEE75AD" w14:textId="77777777" w:rsidR="00CF110E" w:rsidRDefault="00CF110E" w:rsidP="00D5676E">
      <w:pPr>
        <w:spacing w:after="0" w:line="360" w:lineRule="auto"/>
        <w:ind w:firstLine="720"/>
        <w:jc w:val="both"/>
        <w:rPr>
          <w:rFonts w:ascii="Times New Roman" w:hAnsi="Times New Roman" w:cs="Times New Roman"/>
          <w:sz w:val="24"/>
          <w:szCs w:val="24"/>
        </w:rPr>
      </w:pPr>
    </w:p>
    <w:p w14:paraId="625C0C92" w14:textId="226CB722" w:rsidR="0027618E" w:rsidRDefault="0013643A" w:rsidP="00E14E72">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p>
    <w:p w14:paraId="5240DCFD" w14:textId="269CA40B" w:rsidR="0027618E" w:rsidRPr="0027618E" w:rsidRDefault="0027618E" w:rsidP="0027618E">
      <w:pPr>
        <w:rPr>
          <w:rFonts w:ascii="Times New Roman" w:hAnsi="Times New Roman" w:cs="Times New Roman"/>
          <w:sz w:val="24"/>
          <w:szCs w:val="24"/>
        </w:rPr>
      </w:pPr>
      <w:r>
        <w:rPr>
          <w:rFonts w:ascii="Times New Roman" w:hAnsi="Times New Roman" w:cs="Times New Roman"/>
          <w:sz w:val="24"/>
          <w:szCs w:val="24"/>
        </w:rPr>
        <w:t>ZISENGWE J</w:t>
      </w:r>
    </w:p>
    <w:p w14:paraId="24DBDCC6" w14:textId="77777777" w:rsidR="0027618E" w:rsidRPr="0027618E" w:rsidRDefault="0027618E" w:rsidP="0027618E">
      <w:pPr>
        <w:rPr>
          <w:rFonts w:ascii="Times New Roman" w:hAnsi="Times New Roman" w:cs="Times New Roman"/>
          <w:sz w:val="24"/>
          <w:szCs w:val="24"/>
        </w:rPr>
      </w:pPr>
    </w:p>
    <w:p w14:paraId="2A0B41EE" w14:textId="77777777" w:rsidR="0027618E" w:rsidRPr="0027618E" w:rsidRDefault="0027618E" w:rsidP="0027618E">
      <w:pPr>
        <w:rPr>
          <w:rFonts w:ascii="Times New Roman" w:hAnsi="Times New Roman" w:cs="Times New Roman"/>
          <w:sz w:val="24"/>
          <w:szCs w:val="24"/>
        </w:rPr>
      </w:pPr>
    </w:p>
    <w:p w14:paraId="4E3C89D5" w14:textId="1CE7710A" w:rsidR="00671B30" w:rsidRPr="003520E4" w:rsidRDefault="0027618E" w:rsidP="003520E4">
      <w:pPr>
        <w:pStyle w:val="NoSpacing"/>
        <w:rPr>
          <w:rFonts w:ascii="Times New Roman" w:hAnsi="Times New Roman" w:cs="Times New Roman"/>
          <w:i/>
          <w:sz w:val="24"/>
          <w:szCs w:val="24"/>
        </w:rPr>
      </w:pPr>
      <w:r w:rsidRPr="003520E4">
        <w:rPr>
          <w:rFonts w:ascii="Times New Roman" w:hAnsi="Times New Roman" w:cs="Times New Roman"/>
          <w:i/>
          <w:sz w:val="24"/>
          <w:szCs w:val="24"/>
        </w:rPr>
        <w:t>Chigariro Phiri &amp; Associates- Plaintiff’s Legal practitioners</w:t>
      </w:r>
    </w:p>
    <w:p w14:paraId="7BE995DF" w14:textId="3137E1A1" w:rsidR="0027618E" w:rsidRPr="003520E4" w:rsidRDefault="0027618E" w:rsidP="003520E4">
      <w:pPr>
        <w:pStyle w:val="NoSpacing"/>
        <w:rPr>
          <w:rFonts w:ascii="Times New Roman" w:hAnsi="Times New Roman" w:cs="Times New Roman"/>
          <w:i/>
          <w:sz w:val="24"/>
          <w:szCs w:val="24"/>
        </w:rPr>
      </w:pPr>
      <w:r w:rsidRPr="003520E4">
        <w:rPr>
          <w:rFonts w:ascii="Times New Roman" w:hAnsi="Times New Roman" w:cs="Times New Roman"/>
          <w:i/>
          <w:sz w:val="24"/>
          <w:szCs w:val="24"/>
        </w:rPr>
        <w:t>Chadyiwa &amp;Associates- Defendant’s Legal Practitioners</w:t>
      </w:r>
    </w:p>
    <w:sectPr w:rsidR="0027618E" w:rsidRPr="003520E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0C1181" w14:textId="77777777" w:rsidR="002D073C" w:rsidRDefault="002D073C" w:rsidP="003F08E9">
      <w:pPr>
        <w:spacing w:after="0" w:line="240" w:lineRule="auto"/>
      </w:pPr>
      <w:r>
        <w:separator/>
      </w:r>
    </w:p>
  </w:endnote>
  <w:endnote w:type="continuationSeparator" w:id="0">
    <w:p w14:paraId="1AF1C033" w14:textId="77777777" w:rsidR="002D073C" w:rsidRDefault="002D073C" w:rsidP="003F0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7E534" w14:textId="77777777" w:rsidR="002D073C" w:rsidRDefault="002D073C" w:rsidP="003F08E9">
      <w:pPr>
        <w:spacing w:after="0" w:line="240" w:lineRule="auto"/>
      </w:pPr>
      <w:r>
        <w:separator/>
      </w:r>
    </w:p>
  </w:footnote>
  <w:footnote w:type="continuationSeparator" w:id="0">
    <w:p w14:paraId="2E222C23" w14:textId="77777777" w:rsidR="002D073C" w:rsidRDefault="002D073C" w:rsidP="003F08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2338423"/>
      <w:docPartObj>
        <w:docPartGallery w:val="Page Numbers (Top of Page)"/>
        <w:docPartUnique/>
      </w:docPartObj>
    </w:sdtPr>
    <w:sdtEndPr>
      <w:rPr>
        <w:noProof/>
      </w:rPr>
    </w:sdtEndPr>
    <w:sdtContent>
      <w:p w14:paraId="6B064484" w14:textId="5BBB7FC4" w:rsidR="003F08E9" w:rsidRDefault="003F08E9">
        <w:pPr>
          <w:pStyle w:val="Header"/>
          <w:jc w:val="right"/>
          <w:rPr>
            <w:noProof/>
          </w:rPr>
        </w:pPr>
        <w:r>
          <w:fldChar w:fldCharType="begin"/>
        </w:r>
        <w:r>
          <w:instrText xml:space="preserve"> PAGE   \* MERGEFORMAT </w:instrText>
        </w:r>
        <w:r>
          <w:fldChar w:fldCharType="separate"/>
        </w:r>
        <w:r w:rsidR="00312D9E">
          <w:rPr>
            <w:noProof/>
          </w:rPr>
          <w:t>1</w:t>
        </w:r>
        <w:r>
          <w:rPr>
            <w:noProof/>
          </w:rPr>
          <w:fldChar w:fldCharType="end"/>
        </w:r>
      </w:p>
      <w:p w14:paraId="0B915830" w14:textId="1B3094E5" w:rsidR="00F7358B" w:rsidRDefault="00602C07">
        <w:pPr>
          <w:pStyle w:val="Header"/>
          <w:jc w:val="right"/>
          <w:rPr>
            <w:noProof/>
          </w:rPr>
        </w:pPr>
        <w:r>
          <w:rPr>
            <w:noProof/>
          </w:rPr>
          <w:t>HMA 31</w:t>
        </w:r>
        <w:r w:rsidR="003F08E9">
          <w:rPr>
            <w:noProof/>
          </w:rPr>
          <w:t>-2</w:t>
        </w:r>
        <w:r>
          <w:rPr>
            <w:noProof/>
          </w:rPr>
          <w:t>5</w:t>
        </w:r>
      </w:p>
      <w:p w14:paraId="33EE08C4" w14:textId="6F0D347A" w:rsidR="003F08E9" w:rsidRDefault="00602C07">
        <w:pPr>
          <w:pStyle w:val="Header"/>
          <w:jc w:val="right"/>
        </w:pPr>
        <w:r>
          <w:t>HCMSC 289-20</w:t>
        </w:r>
      </w:p>
    </w:sdtContent>
  </w:sdt>
  <w:p w14:paraId="4DD325C3" w14:textId="77777777" w:rsidR="003F08E9" w:rsidRDefault="003F08E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F6629"/>
    <w:multiLevelType w:val="hybridMultilevel"/>
    <w:tmpl w:val="D24647DE"/>
    <w:lvl w:ilvl="0" w:tplc="DBF25B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3ED6730"/>
    <w:multiLevelType w:val="hybridMultilevel"/>
    <w:tmpl w:val="9A509E12"/>
    <w:lvl w:ilvl="0" w:tplc="2528B6B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38D75A45"/>
    <w:multiLevelType w:val="hybridMultilevel"/>
    <w:tmpl w:val="80B62940"/>
    <w:lvl w:ilvl="0" w:tplc="F1981A6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456461D4"/>
    <w:multiLevelType w:val="hybridMultilevel"/>
    <w:tmpl w:val="DDB04638"/>
    <w:lvl w:ilvl="0" w:tplc="AE4080BA">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629F3F34"/>
    <w:multiLevelType w:val="hybridMultilevel"/>
    <w:tmpl w:val="E2A471EC"/>
    <w:lvl w:ilvl="0" w:tplc="E2AC8B2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6A5059F0"/>
    <w:multiLevelType w:val="hybridMultilevel"/>
    <w:tmpl w:val="8E18C66A"/>
    <w:lvl w:ilvl="0" w:tplc="6262D268">
      <w:start w:val="1"/>
      <w:numFmt w:val="decimal"/>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65E3D0B"/>
    <w:multiLevelType w:val="hybridMultilevel"/>
    <w:tmpl w:val="707E1E8A"/>
    <w:lvl w:ilvl="0" w:tplc="19E251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6"/>
  </w:num>
  <w:num w:numId="3">
    <w:abstractNumId w:val="0"/>
  </w:num>
  <w:num w:numId="4">
    <w:abstractNumId w:val="3"/>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8E9"/>
    <w:rsid w:val="00002A2A"/>
    <w:rsid w:val="00010957"/>
    <w:rsid w:val="000259CB"/>
    <w:rsid w:val="00047CF9"/>
    <w:rsid w:val="000606F2"/>
    <w:rsid w:val="00067957"/>
    <w:rsid w:val="00071D17"/>
    <w:rsid w:val="00075DCC"/>
    <w:rsid w:val="000832F8"/>
    <w:rsid w:val="000851F7"/>
    <w:rsid w:val="00096A17"/>
    <w:rsid w:val="000A2A6E"/>
    <w:rsid w:val="000A714F"/>
    <w:rsid w:val="000B22C7"/>
    <w:rsid w:val="000C2641"/>
    <w:rsid w:val="000C396E"/>
    <w:rsid w:val="001059D2"/>
    <w:rsid w:val="00111024"/>
    <w:rsid w:val="00113B7B"/>
    <w:rsid w:val="001202BA"/>
    <w:rsid w:val="0013643A"/>
    <w:rsid w:val="001628D2"/>
    <w:rsid w:val="0017113A"/>
    <w:rsid w:val="001A4D25"/>
    <w:rsid w:val="001A5314"/>
    <w:rsid w:val="001B3D30"/>
    <w:rsid w:val="001D4096"/>
    <w:rsid w:val="001F6CB2"/>
    <w:rsid w:val="0020601B"/>
    <w:rsid w:val="00207ED6"/>
    <w:rsid w:val="0025308B"/>
    <w:rsid w:val="00253DDF"/>
    <w:rsid w:val="002648A2"/>
    <w:rsid w:val="00266B78"/>
    <w:rsid w:val="0027618E"/>
    <w:rsid w:val="00285213"/>
    <w:rsid w:val="00295816"/>
    <w:rsid w:val="002C138B"/>
    <w:rsid w:val="002D073C"/>
    <w:rsid w:val="002D5447"/>
    <w:rsid w:val="002F55BB"/>
    <w:rsid w:val="00301625"/>
    <w:rsid w:val="00312D9E"/>
    <w:rsid w:val="00320C00"/>
    <w:rsid w:val="003229C8"/>
    <w:rsid w:val="0032772E"/>
    <w:rsid w:val="00335B3E"/>
    <w:rsid w:val="003438FD"/>
    <w:rsid w:val="0034465F"/>
    <w:rsid w:val="003460D0"/>
    <w:rsid w:val="003520E4"/>
    <w:rsid w:val="00360353"/>
    <w:rsid w:val="0036107B"/>
    <w:rsid w:val="003662C4"/>
    <w:rsid w:val="00367079"/>
    <w:rsid w:val="00371599"/>
    <w:rsid w:val="003767C4"/>
    <w:rsid w:val="0037736B"/>
    <w:rsid w:val="003A5C9B"/>
    <w:rsid w:val="003A75EB"/>
    <w:rsid w:val="003B2C1B"/>
    <w:rsid w:val="003C56D1"/>
    <w:rsid w:val="003C6DBB"/>
    <w:rsid w:val="003D7B3F"/>
    <w:rsid w:val="003E114F"/>
    <w:rsid w:val="003F08E9"/>
    <w:rsid w:val="00401175"/>
    <w:rsid w:val="004029C3"/>
    <w:rsid w:val="004131BF"/>
    <w:rsid w:val="00422974"/>
    <w:rsid w:val="00422CA2"/>
    <w:rsid w:val="00424981"/>
    <w:rsid w:val="00436E7B"/>
    <w:rsid w:val="00441697"/>
    <w:rsid w:val="004473FA"/>
    <w:rsid w:val="004762A6"/>
    <w:rsid w:val="004B2233"/>
    <w:rsid w:val="004D6B23"/>
    <w:rsid w:val="004E4D14"/>
    <w:rsid w:val="004F598C"/>
    <w:rsid w:val="00505384"/>
    <w:rsid w:val="00507250"/>
    <w:rsid w:val="00520FC7"/>
    <w:rsid w:val="0053082A"/>
    <w:rsid w:val="00532E88"/>
    <w:rsid w:val="00533213"/>
    <w:rsid w:val="0054330B"/>
    <w:rsid w:val="00592DFD"/>
    <w:rsid w:val="005A20E2"/>
    <w:rsid w:val="005C234B"/>
    <w:rsid w:val="005D4568"/>
    <w:rsid w:val="005E0D27"/>
    <w:rsid w:val="005F5862"/>
    <w:rsid w:val="00602C07"/>
    <w:rsid w:val="00627F8D"/>
    <w:rsid w:val="00651513"/>
    <w:rsid w:val="006646C5"/>
    <w:rsid w:val="00665377"/>
    <w:rsid w:val="006654C8"/>
    <w:rsid w:val="00671B30"/>
    <w:rsid w:val="00681A85"/>
    <w:rsid w:val="0068546C"/>
    <w:rsid w:val="00695A9B"/>
    <w:rsid w:val="006A37B6"/>
    <w:rsid w:val="006B486F"/>
    <w:rsid w:val="006D092D"/>
    <w:rsid w:val="006E0479"/>
    <w:rsid w:val="006E22AA"/>
    <w:rsid w:val="00702059"/>
    <w:rsid w:val="007228DB"/>
    <w:rsid w:val="00723096"/>
    <w:rsid w:val="00723F2E"/>
    <w:rsid w:val="00732647"/>
    <w:rsid w:val="00750840"/>
    <w:rsid w:val="007523E3"/>
    <w:rsid w:val="0076273D"/>
    <w:rsid w:val="00780500"/>
    <w:rsid w:val="007919A1"/>
    <w:rsid w:val="007959DC"/>
    <w:rsid w:val="007B506C"/>
    <w:rsid w:val="007C1EF6"/>
    <w:rsid w:val="007C609A"/>
    <w:rsid w:val="007C63C4"/>
    <w:rsid w:val="007D13E8"/>
    <w:rsid w:val="007D1C65"/>
    <w:rsid w:val="007E0E40"/>
    <w:rsid w:val="007E477C"/>
    <w:rsid w:val="007E6847"/>
    <w:rsid w:val="00806404"/>
    <w:rsid w:val="00811BFE"/>
    <w:rsid w:val="00814D4E"/>
    <w:rsid w:val="008201C1"/>
    <w:rsid w:val="008368B0"/>
    <w:rsid w:val="00855A09"/>
    <w:rsid w:val="00857D9B"/>
    <w:rsid w:val="00872D69"/>
    <w:rsid w:val="0087597C"/>
    <w:rsid w:val="0087701C"/>
    <w:rsid w:val="00885EEB"/>
    <w:rsid w:val="008913C2"/>
    <w:rsid w:val="008B65A8"/>
    <w:rsid w:val="008C1C77"/>
    <w:rsid w:val="008D23A2"/>
    <w:rsid w:val="009204DC"/>
    <w:rsid w:val="00925584"/>
    <w:rsid w:val="00925857"/>
    <w:rsid w:val="009330B7"/>
    <w:rsid w:val="00945A2F"/>
    <w:rsid w:val="00953BAE"/>
    <w:rsid w:val="00957DAB"/>
    <w:rsid w:val="00971FCD"/>
    <w:rsid w:val="009740B1"/>
    <w:rsid w:val="00974ECA"/>
    <w:rsid w:val="009913AD"/>
    <w:rsid w:val="009A2941"/>
    <w:rsid w:val="009B3C20"/>
    <w:rsid w:val="009B4C90"/>
    <w:rsid w:val="009F3AA2"/>
    <w:rsid w:val="00A06402"/>
    <w:rsid w:val="00A20BD5"/>
    <w:rsid w:val="00A2171C"/>
    <w:rsid w:val="00A23070"/>
    <w:rsid w:val="00A35F46"/>
    <w:rsid w:val="00A37C29"/>
    <w:rsid w:val="00A40637"/>
    <w:rsid w:val="00A52E5E"/>
    <w:rsid w:val="00A66A70"/>
    <w:rsid w:val="00AA5D76"/>
    <w:rsid w:val="00AB1E33"/>
    <w:rsid w:val="00AB4F90"/>
    <w:rsid w:val="00AD11AF"/>
    <w:rsid w:val="00AD1CF0"/>
    <w:rsid w:val="00AF0F8A"/>
    <w:rsid w:val="00AF43A1"/>
    <w:rsid w:val="00B0248E"/>
    <w:rsid w:val="00B27715"/>
    <w:rsid w:val="00B319C4"/>
    <w:rsid w:val="00B33259"/>
    <w:rsid w:val="00B5266C"/>
    <w:rsid w:val="00B618BF"/>
    <w:rsid w:val="00B637F2"/>
    <w:rsid w:val="00B73BCC"/>
    <w:rsid w:val="00B85D91"/>
    <w:rsid w:val="00B958EA"/>
    <w:rsid w:val="00BA5385"/>
    <w:rsid w:val="00BA6A36"/>
    <w:rsid w:val="00BA72B1"/>
    <w:rsid w:val="00BD3839"/>
    <w:rsid w:val="00BD7EA8"/>
    <w:rsid w:val="00BE4127"/>
    <w:rsid w:val="00C0568C"/>
    <w:rsid w:val="00C07625"/>
    <w:rsid w:val="00C17882"/>
    <w:rsid w:val="00C504C7"/>
    <w:rsid w:val="00C54AD0"/>
    <w:rsid w:val="00C6414B"/>
    <w:rsid w:val="00C80994"/>
    <w:rsid w:val="00C8130C"/>
    <w:rsid w:val="00CB5F4D"/>
    <w:rsid w:val="00CD5FDE"/>
    <w:rsid w:val="00CF110E"/>
    <w:rsid w:val="00D212C9"/>
    <w:rsid w:val="00D37128"/>
    <w:rsid w:val="00D37432"/>
    <w:rsid w:val="00D40D02"/>
    <w:rsid w:val="00D41D71"/>
    <w:rsid w:val="00D43A52"/>
    <w:rsid w:val="00D51296"/>
    <w:rsid w:val="00D5676E"/>
    <w:rsid w:val="00D56B2E"/>
    <w:rsid w:val="00D65EC9"/>
    <w:rsid w:val="00D75DAC"/>
    <w:rsid w:val="00D8502B"/>
    <w:rsid w:val="00D9168D"/>
    <w:rsid w:val="00DA20F0"/>
    <w:rsid w:val="00DA3C15"/>
    <w:rsid w:val="00DC39F9"/>
    <w:rsid w:val="00DC4377"/>
    <w:rsid w:val="00DD5965"/>
    <w:rsid w:val="00DD6994"/>
    <w:rsid w:val="00DE0791"/>
    <w:rsid w:val="00E01598"/>
    <w:rsid w:val="00E14E72"/>
    <w:rsid w:val="00E24A6B"/>
    <w:rsid w:val="00E31F28"/>
    <w:rsid w:val="00E45FB1"/>
    <w:rsid w:val="00E55300"/>
    <w:rsid w:val="00E6727D"/>
    <w:rsid w:val="00E70EC9"/>
    <w:rsid w:val="00EC5101"/>
    <w:rsid w:val="00F036F3"/>
    <w:rsid w:val="00F10AFE"/>
    <w:rsid w:val="00F160A4"/>
    <w:rsid w:val="00F32319"/>
    <w:rsid w:val="00F5442C"/>
    <w:rsid w:val="00F7358B"/>
    <w:rsid w:val="00FD2490"/>
    <w:rsid w:val="00FD4530"/>
    <w:rsid w:val="00FF188F"/>
    <w:rsid w:val="00FF6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2B5EC"/>
  <w15:chartTrackingRefBased/>
  <w15:docId w15:val="{E47F25CD-D53C-4FAA-B104-768B26E5F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8E9"/>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08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8E9"/>
    <w:rPr>
      <w:lang w:val="en-ZW"/>
    </w:rPr>
  </w:style>
  <w:style w:type="paragraph" w:styleId="Footer">
    <w:name w:val="footer"/>
    <w:basedOn w:val="Normal"/>
    <w:link w:val="FooterChar"/>
    <w:uiPriority w:val="99"/>
    <w:unhideWhenUsed/>
    <w:rsid w:val="003F08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8E9"/>
    <w:rPr>
      <w:lang w:val="en-ZW"/>
    </w:rPr>
  </w:style>
  <w:style w:type="paragraph" w:styleId="ListParagraph">
    <w:name w:val="List Paragraph"/>
    <w:basedOn w:val="Normal"/>
    <w:uiPriority w:val="34"/>
    <w:qFormat/>
    <w:rsid w:val="003F08E9"/>
    <w:pPr>
      <w:ind w:left="720"/>
      <w:contextualSpacing/>
    </w:pPr>
  </w:style>
  <w:style w:type="paragraph" w:styleId="BalloonText">
    <w:name w:val="Balloon Text"/>
    <w:basedOn w:val="Normal"/>
    <w:link w:val="BalloonTextChar"/>
    <w:uiPriority w:val="99"/>
    <w:semiHidden/>
    <w:unhideWhenUsed/>
    <w:rsid w:val="00A217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71C"/>
    <w:rPr>
      <w:rFonts w:ascii="Segoe UI" w:hAnsi="Segoe UI" w:cs="Segoe UI"/>
      <w:sz w:val="18"/>
      <w:szCs w:val="18"/>
      <w:lang w:val="en-ZW"/>
    </w:rPr>
  </w:style>
  <w:style w:type="paragraph" w:styleId="NoSpacing">
    <w:name w:val="No Spacing"/>
    <w:uiPriority w:val="1"/>
    <w:qFormat/>
    <w:rsid w:val="005C234B"/>
    <w:pPr>
      <w:spacing w:after="0" w:line="240" w:lineRule="auto"/>
    </w:pPr>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38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F8B31-6AD1-4529-988C-7A571581D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5460</Words>
  <Characters>31126</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BESTER SIBANDA</cp:lastModifiedBy>
  <cp:revision>2</cp:revision>
  <cp:lastPrinted>2025-10-10T07:59:00Z</cp:lastPrinted>
  <dcterms:created xsi:type="dcterms:W3CDTF">2025-11-04T07:42:00Z</dcterms:created>
  <dcterms:modified xsi:type="dcterms:W3CDTF">2025-11-04T07:42:00Z</dcterms:modified>
</cp:coreProperties>
</file>