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4A0" w:rsidRPr="00D311AE" w:rsidRDefault="009E44A0" w:rsidP="009E44A0">
      <w:pPr>
        <w:spacing w:after="0" w:line="240" w:lineRule="auto"/>
        <w:rPr>
          <w:rFonts w:ascii="Times New Roman" w:hAnsi="Times New Roman" w:cs="Times New Roman"/>
          <w:b/>
          <w:sz w:val="24"/>
          <w:szCs w:val="24"/>
        </w:rPr>
      </w:pPr>
      <w:r w:rsidRPr="00D311AE">
        <w:rPr>
          <w:rFonts w:ascii="Times New Roman" w:hAnsi="Times New Roman" w:cs="Times New Roman"/>
          <w:b/>
          <w:sz w:val="24"/>
          <w:szCs w:val="24"/>
        </w:rPr>
        <w:t xml:space="preserve">K AND G MINING SYNDICATE  </w:t>
      </w:r>
    </w:p>
    <w:p w:rsidR="005F53E9" w:rsidRPr="00D311AE" w:rsidRDefault="005F53E9" w:rsidP="009E44A0">
      <w:pPr>
        <w:spacing w:after="0" w:line="240" w:lineRule="auto"/>
        <w:rPr>
          <w:rFonts w:ascii="Times New Roman" w:hAnsi="Times New Roman" w:cs="Times New Roman"/>
          <w:b/>
          <w:sz w:val="24"/>
          <w:szCs w:val="24"/>
        </w:rPr>
      </w:pPr>
    </w:p>
    <w:p w:rsidR="009E44A0" w:rsidRPr="00D311AE" w:rsidRDefault="005F53E9" w:rsidP="009E44A0">
      <w:pPr>
        <w:spacing w:after="0" w:line="240" w:lineRule="auto"/>
        <w:rPr>
          <w:rFonts w:ascii="Times New Roman" w:hAnsi="Times New Roman" w:cs="Times New Roman"/>
          <w:b/>
          <w:sz w:val="24"/>
          <w:szCs w:val="24"/>
        </w:rPr>
      </w:pPr>
      <w:r w:rsidRPr="00D311AE">
        <w:rPr>
          <w:rFonts w:ascii="Times New Roman" w:hAnsi="Times New Roman" w:cs="Times New Roman"/>
          <w:b/>
          <w:sz w:val="24"/>
          <w:szCs w:val="24"/>
        </w:rPr>
        <w:t>Versus</w:t>
      </w:r>
    </w:p>
    <w:p w:rsidR="005F53E9" w:rsidRPr="00D311AE" w:rsidRDefault="005F53E9" w:rsidP="009E44A0">
      <w:pPr>
        <w:spacing w:after="0" w:line="240" w:lineRule="auto"/>
        <w:rPr>
          <w:rFonts w:ascii="Times New Roman" w:hAnsi="Times New Roman" w:cs="Times New Roman"/>
          <w:b/>
          <w:sz w:val="24"/>
          <w:szCs w:val="24"/>
        </w:rPr>
      </w:pPr>
    </w:p>
    <w:p w:rsidR="009E44A0" w:rsidRPr="00D311AE" w:rsidRDefault="007400B6" w:rsidP="009E44A0">
      <w:pPr>
        <w:spacing w:after="0" w:line="240" w:lineRule="auto"/>
        <w:rPr>
          <w:rFonts w:ascii="Times New Roman" w:hAnsi="Times New Roman" w:cs="Times New Roman"/>
          <w:b/>
          <w:sz w:val="24"/>
          <w:szCs w:val="24"/>
        </w:rPr>
      </w:pPr>
      <w:r w:rsidRPr="00D311AE">
        <w:rPr>
          <w:rFonts w:ascii="Times New Roman" w:hAnsi="Times New Roman" w:cs="Times New Roman"/>
          <w:b/>
          <w:sz w:val="24"/>
          <w:szCs w:val="24"/>
        </w:rPr>
        <w:t xml:space="preserve">RONALD MUGANGAVARI </w:t>
      </w:r>
    </w:p>
    <w:p w:rsidR="005F53E9" w:rsidRPr="00D311AE" w:rsidRDefault="005F53E9" w:rsidP="009E44A0">
      <w:pPr>
        <w:spacing w:after="0" w:line="240" w:lineRule="auto"/>
        <w:rPr>
          <w:rFonts w:ascii="Times New Roman" w:hAnsi="Times New Roman" w:cs="Times New Roman"/>
          <w:b/>
          <w:sz w:val="24"/>
          <w:szCs w:val="24"/>
        </w:rPr>
      </w:pPr>
    </w:p>
    <w:p w:rsidR="009E44A0" w:rsidRPr="00D311AE" w:rsidRDefault="005F53E9" w:rsidP="009E44A0">
      <w:pPr>
        <w:spacing w:after="0" w:line="240" w:lineRule="auto"/>
        <w:rPr>
          <w:rFonts w:ascii="Times New Roman" w:hAnsi="Times New Roman" w:cs="Times New Roman"/>
          <w:b/>
          <w:sz w:val="24"/>
          <w:szCs w:val="24"/>
        </w:rPr>
      </w:pPr>
      <w:r w:rsidRPr="00D311AE">
        <w:rPr>
          <w:rFonts w:ascii="Times New Roman" w:hAnsi="Times New Roman" w:cs="Times New Roman"/>
          <w:b/>
          <w:sz w:val="24"/>
          <w:szCs w:val="24"/>
        </w:rPr>
        <w:t>A</w:t>
      </w:r>
      <w:r w:rsidR="009E44A0" w:rsidRPr="00D311AE">
        <w:rPr>
          <w:rFonts w:ascii="Times New Roman" w:hAnsi="Times New Roman" w:cs="Times New Roman"/>
          <w:b/>
          <w:sz w:val="24"/>
          <w:szCs w:val="24"/>
        </w:rPr>
        <w:t>nd</w:t>
      </w:r>
    </w:p>
    <w:p w:rsidR="005F53E9" w:rsidRPr="00D311AE" w:rsidRDefault="005F53E9" w:rsidP="009E44A0">
      <w:pPr>
        <w:spacing w:after="0" w:line="240" w:lineRule="auto"/>
        <w:rPr>
          <w:rFonts w:ascii="Times New Roman" w:hAnsi="Times New Roman" w:cs="Times New Roman"/>
          <w:b/>
          <w:sz w:val="24"/>
          <w:szCs w:val="24"/>
        </w:rPr>
      </w:pPr>
    </w:p>
    <w:p w:rsidR="009E44A0" w:rsidRPr="00D311AE" w:rsidRDefault="007400B6" w:rsidP="009E44A0">
      <w:pPr>
        <w:spacing w:after="0" w:line="240" w:lineRule="auto"/>
        <w:rPr>
          <w:rFonts w:ascii="Times New Roman" w:hAnsi="Times New Roman" w:cs="Times New Roman"/>
          <w:b/>
          <w:sz w:val="24"/>
          <w:szCs w:val="24"/>
        </w:rPr>
      </w:pPr>
      <w:r w:rsidRPr="00D311AE">
        <w:rPr>
          <w:rFonts w:ascii="Times New Roman" w:hAnsi="Times New Roman" w:cs="Times New Roman"/>
          <w:b/>
          <w:sz w:val="24"/>
          <w:szCs w:val="24"/>
        </w:rPr>
        <w:t>PROVINCIAL MINING DIRECTOR (MIDLANDS)</w:t>
      </w:r>
    </w:p>
    <w:p w:rsidR="005F53E9" w:rsidRPr="00D311AE" w:rsidRDefault="005F53E9" w:rsidP="009E44A0">
      <w:pPr>
        <w:spacing w:after="0" w:line="240" w:lineRule="auto"/>
        <w:rPr>
          <w:rFonts w:ascii="Times New Roman" w:hAnsi="Times New Roman" w:cs="Times New Roman"/>
          <w:b/>
          <w:sz w:val="24"/>
          <w:szCs w:val="24"/>
        </w:rPr>
      </w:pPr>
    </w:p>
    <w:p w:rsidR="009E44A0" w:rsidRPr="00D311AE" w:rsidRDefault="005F53E9" w:rsidP="009E44A0">
      <w:pPr>
        <w:spacing w:after="0" w:line="240" w:lineRule="auto"/>
        <w:rPr>
          <w:rFonts w:ascii="Times New Roman" w:hAnsi="Times New Roman" w:cs="Times New Roman"/>
          <w:b/>
          <w:sz w:val="24"/>
          <w:szCs w:val="24"/>
        </w:rPr>
      </w:pPr>
      <w:r w:rsidRPr="00D311AE">
        <w:rPr>
          <w:rFonts w:ascii="Times New Roman" w:hAnsi="Times New Roman" w:cs="Times New Roman"/>
          <w:b/>
          <w:sz w:val="24"/>
          <w:szCs w:val="24"/>
        </w:rPr>
        <w:t>A</w:t>
      </w:r>
      <w:r w:rsidR="009E44A0" w:rsidRPr="00D311AE">
        <w:rPr>
          <w:rFonts w:ascii="Times New Roman" w:hAnsi="Times New Roman" w:cs="Times New Roman"/>
          <w:b/>
          <w:sz w:val="24"/>
          <w:szCs w:val="24"/>
        </w:rPr>
        <w:t>nd</w:t>
      </w:r>
    </w:p>
    <w:p w:rsidR="005F53E9" w:rsidRPr="00D311AE" w:rsidRDefault="005F53E9" w:rsidP="009E44A0">
      <w:pPr>
        <w:spacing w:after="0" w:line="240" w:lineRule="auto"/>
        <w:rPr>
          <w:rFonts w:ascii="Times New Roman" w:hAnsi="Times New Roman" w:cs="Times New Roman"/>
          <w:b/>
          <w:sz w:val="24"/>
          <w:szCs w:val="24"/>
        </w:rPr>
      </w:pPr>
    </w:p>
    <w:p w:rsidR="009E44A0" w:rsidRPr="00D311AE" w:rsidRDefault="007400B6" w:rsidP="009E44A0">
      <w:pPr>
        <w:spacing w:after="0" w:line="240" w:lineRule="auto"/>
        <w:rPr>
          <w:rFonts w:ascii="Times New Roman" w:hAnsi="Times New Roman" w:cs="Times New Roman"/>
          <w:b/>
          <w:sz w:val="24"/>
          <w:szCs w:val="24"/>
        </w:rPr>
      </w:pPr>
      <w:proofErr w:type="gramStart"/>
      <w:r w:rsidRPr="00D311AE">
        <w:rPr>
          <w:rFonts w:ascii="Times New Roman" w:hAnsi="Times New Roman" w:cs="Times New Roman"/>
          <w:b/>
          <w:sz w:val="24"/>
          <w:szCs w:val="24"/>
        </w:rPr>
        <w:t>MINISTER OF MINES AND MINING DEVELOPMENT N.O.</w:t>
      </w:r>
      <w:proofErr w:type="gramEnd"/>
      <w:r w:rsidRPr="00D311AE">
        <w:rPr>
          <w:rFonts w:ascii="Times New Roman" w:hAnsi="Times New Roman" w:cs="Times New Roman"/>
          <w:b/>
          <w:sz w:val="24"/>
          <w:szCs w:val="24"/>
        </w:rPr>
        <w:t xml:space="preserve"> </w:t>
      </w:r>
    </w:p>
    <w:p w:rsidR="009E44A0" w:rsidRDefault="009E44A0" w:rsidP="009E44A0">
      <w:pPr>
        <w:spacing w:after="0" w:line="240" w:lineRule="auto"/>
        <w:rPr>
          <w:rFonts w:ascii="Times New Roman" w:hAnsi="Times New Roman" w:cs="Times New Roman"/>
          <w:sz w:val="24"/>
          <w:szCs w:val="24"/>
        </w:rPr>
      </w:pPr>
    </w:p>
    <w:p w:rsidR="009E44A0" w:rsidRPr="0012740F" w:rsidRDefault="009E44A0" w:rsidP="009E44A0">
      <w:pPr>
        <w:spacing w:after="0" w:line="240" w:lineRule="auto"/>
        <w:rPr>
          <w:rFonts w:ascii="Times New Roman" w:hAnsi="Times New Roman" w:cs="Times New Roman"/>
          <w:sz w:val="24"/>
          <w:szCs w:val="24"/>
        </w:rPr>
      </w:pPr>
    </w:p>
    <w:p w:rsidR="009E44A0" w:rsidRPr="0012740F" w:rsidRDefault="009E44A0" w:rsidP="009E44A0">
      <w:pPr>
        <w:pStyle w:val="NoSpacing"/>
        <w:rPr>
          <w:rFonts w:ascii="Times New Roman" w:hAnsi="Times New Roman" w:cs="Times New Roman"/>
          <w:sz w:val="24"/>
          <w:szCs w:val="24"/>
        </w:rPr>
      </w:pPr>
      <w:r w:rsidRPr="0012740F">
        <w:rPr>
          <w:rFonts w:ascii="Times New Roman" w:hAnsi="Times New Roman" w:cs="Times New Roman"/>
          <w:sz w:val="24"/>
          <w:szCs w:val="24"/>
        </w:rPr>
        <w:t>HIGH COURT OF ZIMBABWE</w:t>
      </w:r>
    </w:p>
    <w:p w:rsidR="009E44A0" w:rsidRPr="0012740F" w:rsidRDefault="009E44A0" w:rsidP="009E44A0">
      <w:pPr>
        <w:pStyle w:val="NoSpacing"/>
        <w:rPr>
          <w:rFonts w:ascii="Times New Roman" w:hAnsi="Times New Roman" w:cs="Times New Roman"/>
          <w:sz w:val="24"/>
          <w:szCs w:val="24"/>
        </w:rPr>
      </w:pPr>
      <w:r>
        <w:rPr>
          <w:rFonts w:ascii="Times New Roman" w:hAnsi="Times New Roman" w:cs="Times New Roman"/>
          <w:sz w:val="24"/>
          <w:szCs w:val="24"/>
        </w:rPr>
        <w:t>DUBE-BANDA J</w:t>
      </w:r>
    </w:p>
    <w:p w:rsidR="009E44A0" w:rsidRPr="0012740F" w:rsidRDefault="007400B6" w:rsidP="009E44A0">
      <w:pPr>
        <w:pStyle w:val="NoSpacing"/>
        <w:rPr>
          <w:rFonts w:ascii="Times New Roman" w:hAnsi="Times New Roman" w:cs="Times New Roman"/>
          <w:sz w:val="24"/>
          <w:szCs w:val="24"/>
        </w:rPr>
      </w:pPr>
      <w:r>
        <w:rPr>
          <w:rFonts w:ascii="Times New Roman" w:hAnsi="Times New Roman" w:cs="Times New Roman"/>
          <w:sz w:val="24"/>
          <w:szCs w:val="24"/>
        </w:rPr>
        <w:t>BULWAYO 17</w:t>
      </w:r>
      <w:r w:rsidR="009E44A0">
        <w:rPr>
          <w:rFonts w:ascii="Times New Roman" w:hAnsi="Times New Roman" w:cs="Times New Roman"/>
          <w:sz w:val="24"/>
          <w:szCs w:val="24"/>
        </w:rPr>
        <w:t xml:space="preserve"> </w:t>
      </w:r>
      <w:r w:rsidR="00D311AE">
        <w:rPr>
          <w:rFonts w:ascii="Times New Roman" w:hAnsi="Times New Roman" w:cs="Times New Roman"/>
          <w:sz w:val="24"/>
          <w:szCs w:val="24"/>
        </w:rPr>
        <w:t xml:space="preserve">AND 30 </w:t>
      </w:r>
      <w:r w:rsidR="009E44A0">
        <w:rPr>
          <w:rFonts w:ascii="Times New Roman" w:hAnsi="Times New Roman" w:cs="Times New Roman"/>
          <w:sz w:val="24"/>
          <w:szCs w:val="24"/>
        </w:rPr>
        <w:t>J</w:t>
      </w:r>
      <w:r w:rsidR="00D311AE">
        <w:rPr>
          <w:rFonts w:ascii="Times New Roman" w:hAnsi="Times New Roman" w:cs="Times New Roman"/>
          <w:sz w:val="24"/>
          <w:szCs w:val="24"/>
        </w:rPr>
        <w:t>ULY</w:t>
      </w:r>
      <w:r w:rsidR="009E44A0">
        <w:rPr>
          <w:rFonts w:ascii="Times New Roman" w:hAnsi="Times New Roman" w:cs="Times New Roman"/>
          <w:sz w:val="24"/>
          <w:szCs w:val="24"/>
        </w:rPr>
        <w:t xml:space="preserve"> 2020</w:t>
      </w:r>
    </w:p>
    <w:p w:rsidR="009E44A0" w:rsidRDefault="009E44A0" w:rsidP="009E44A0">
      <w:pPr>
        <w:rPr>
          <w:rFonts w:ascii="Times New Roman" w:hAnsi="Times New Roman" w:cs="Times New Roman"/>
          <w:b/>
          <w:sz w:val="24"/>
          <w:szCs w:val="24"/>
        </w:rPr>
      </w:pPr>
    </w:p>
    <w:p w:rsidR="009E44A0" w:rsidRDefault="007400B6" w:rsidP="009E44A0">
      <w:pPr>
        <w:rPr>
          <w:rFonts w:ascii="Times New Roman" w:hAnsi="Times New Roman" w:cs="Times New Roman"/>
          <w:b/>
          <w:sz w:val="24"/>
          <w:szCs w:val="24"/>
        </w:rPr>
      </w:pPr>
      <w:r>
        <w:rPr>
          <w:rFonts w:ascii="Times New Roman" w:hAnsi="Times New Roman" w:cs="Times New Roman"/>
          <w:b/>
          <w:sz w:val="24"/>
          <w:szCs w:val="24"/>
        </w:rPr>
        <w:t xml:space="preserve"> A</w:t>
      </w:r>
      <w:r w:rsidR="009E44A0">
        <w:rPr>
          <w:rFonts w:ascii="Times New Roman" w:hAnsi="Times New Roman" w:cs="Times New Roman"/>
          <w:b/>
          <w:sz w:val="24"/>
          <w:szCs w:val="24"/>
        </w:rPr>
        <w:t xml:space="preserve">pplication </w:t>
      </w:r>
      <w:r>
        <w:rPr>
          <w:rFonts w:ascii="Times New Roman" w:hAnsi="Times New Roman" w:cs="Times New Roman"/>
          <w:b/>
          <w:sz w:val="24"/>
          <w:szCs w:val="24"/>
        </w:rPr>
        <w:t>in terms of rule 449 of the High Court Rules, 1971</w:t>
      </w:r>
    </w:p>
    <w:p w:rsidR="00D311AE" w:rsidRDefault="00D311AE" w:rsidP="009E44A0">
      <w:pPr>
        <w:pStyle w:val="NoSpacing"/>
        <w:rPr>
          <w:rFonts w:ascii="Times New Roman" w:hAnsi="Times New Roman" w:cs="Times New Roman"/>
          <w:i/>
          <w:sz w:val="24"/>
          <w:szCs w:val="24"/>
        </w:rPr>
      </w:pPr>
    </w:p>
    <w:p w:rsidR="009E44A0" w:rsidRPr="0012740F" w:rsidRDefault="007400B6" w:rsidP="009E44A0">
      <w:pPr>
        <w:pStyle w:val="NoSpacing"/>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Zishiri</w:t>
      </w:r>
      <w:proofErr w:type="spellEnd"/>
      <w:r w:rsidR="009E44A0">
        <w:rPr>
          <w:rFonts w:ascii="Times New Roman" w:hAnsi="Times New Roman" w:cs="Times New Roman"/>
          <w:i/>
          <w:sz w:val="24"/>
          <w:szCs w:val="24"/>
        </w:rPr>
        <w:t>,</w:t>
      </w:r>
      <w:r w:rsidR="009E44A0" w:rsidRPr="0013475C">
        <w:rPr>
          <w:rFonts w:ascii="Times New Roman" w:hAnsi="Times New Roman" w:cs="Times New Roman"/>
          <w:sz w:val="24"/>
          <w:szCs w:val="24"/>
        </w:rPr>
        <w:t xml:space="preserve"> for the applicant </w:t>
      </w:r>
    </w:p>
    <w:p w:rsidR="009E44A0" w:rsidRDefault="007400B6" w:rsidP="009E44A0">
      <w:pPr>
        <w:pStyle w:val="NoSpacing"/>
        <w:rPr>
          <w:rFonts w:ascii="Times New Roman" w:hAnsi="Times New Roman" w:cs="Times New Roman"/>
          <w:sz w:val="24"/>
          <w:szCs w:val="24"/>
        </w:rPr>
      </w:pPr>
      <w:r>
        <w:rPr>
          <w:rFonts w:ascii="Times New Roman" w:hAnsi="Times New Roman" w:cs="Times New Roman"/>
          <w:i/>
          <w:sz w:val="24"/>
          <w:szCs w:val="24"/>
        </w:rPr>
        <w:t xml:space="preserve">D. </w:t>
      </w:r>
      <w:proofErr w:type="spellStart"/>
      <w:r>
        <w:rPr>
          <w:rFonts w:ascii="Times New Roman" w:hAnsi="Times New Roman" w:cs="Times New Roman"/>
          <w:i/>
          <w:sz w:val="24"/>
          <w:szCs w:val="24"/>
        </w:rPr>
        <w:t>Mwonzora</w:t>
      </w:r>
      <w:proofErr w:type="spellEnd"/>
      <w:r w:rsidR="009E44A0">
        <w:rPr>
          <w:rFonts w:ascii="Times New Roman" w:hAnsi="Times New Roman" w:cs="Times New Roman"/>
          <w:i/>
          <w:sz w:val="24"/>
          <w:szCs w:val="24"/>
        </w:rPr>
        <w:t xml:space="preserve">, </w:t>
      </w:r>
      <w:r w:rsidR="009E44A0">
        <w:rPr>
          <w:rFonts w:ascii="Times New Roman" w:hAnsi="Times New Roman" w:cs="Times New Roman"/>
          <w:sz w:val="24"/>
          <w:szCs w:val="24"/>
        </w:rPr>
        <w:t xml:space="preserve">for the respondents </w:t>
      </w:r>
    </w:p>
    <w:p w:rsidR="009E1A0C" w:rsidRPr="0013475C" w:rsidRDefault="009E1A0C" w:rsidP="009E44A0">
      <w:pPr>
        <w:pStyle w:val="NoSpacing"/>
        <w:rPr>
          <w:rFonts w:ascii="Times New Roman" w:hAnsi="Times New Roman" w:cs="Times New Roman"/>
          <w:sz w:val="24"/>
          <w:szCs w:val="24"/>
        </w:rPr>
      </w:pPr>
    </w:p>
    <w:p w:rsidR="009E44A0" w:rsidRPr="0012740F" w:rsidRDefault="009E44A0" w:rsidP="009E44A0">
      <w:pPr>
        <w:pStyle w:val="NoSpacing"/>
        <w:rPr>
          <w:rFonts w:ascii="Times New Roman" w:hAnsi="Times New Roman" w:cs="Times New Roman"/>
          <w:sz w:val="24"/>
          <w:szCs w:val="24"/>
        </w:rPr>
      </w:pPr>
    </w:p>
    <w:p w:rsidR="00277B49" w:rsidRDefault="00D311AE" w:rsidP="009E44A0">
      <w:pPr>
        <w:spacing w:line="360" w:lineRule="auto"/>
        <w:ind w:firstLine="720"/>
        <w:jc w:val="both"/>
        <w:rPr>
          <w:rFonts w:ascii="Times New Roman" w:hAnsi="Times New Roman" w:cs="Times New Roman"/>
          <w:sz w:val="24"/>
          <w:szCs w:val="24"/>
        </w:rPr>
      </w:pPr>
      <w:r w:rsidRPr="00D311AE">
        <w:rPr>
          <w:rFonts w:ascii="Times New Roman" w:hAnsi="Times New Roman" w:cs="Times New Roman"/>
          <w:b/>
          <w:sz w:val="24"/>
          <w:szCs w:val="24"/>
        </w:rPr>
        <w:t>DUBE-BANDA J</w:t>
      </w:r>
      <w:r>
        <w:rPr>
          <w:rFonts w:ascii="Times New Roman" w:hAnsi="Times New Roman" w:cs="Times New Roman"/>
          <w:b/>
          <w:sz w:val="24"/>
          <w:szCs w:val="24"/>
        </w:rPr>
        <w:t>:</w:t>
      </w:r>
      <w:r>
        <w:rPr>
          <w:rFonts w:ascii="Times New Roman" w:hAnsi="Times New Roman" w:cs="Times New Roman"/>
          <w:sz w:val="24"/>
          <w:szCs w:val="24"/>
        </w:rPr>
        <w:t xml:space="preserve">  This is </w:t>
      </w:r>
      <w:r w:rsidR="00277B49">
        <w:rPr>
          <w:rFonts w:ascii="Times New Roman" w:hAnsi="Times New Roman" w:cs="Times New Roman"/>
          <w:sz w:val="24"/>
          <w:szCs w:val="24"/>
        </w:rPr>
        <w:t>an application in terms of Order 49 rule 449 of the High Court rules, 1971 to correct a judgment of this court handed down on the 1</w:t>
      </w:r>
      <w:r w:rsidR="00277B49" w:rsidRPr="00277B49">
        <w:rPr>
          <w:rFonts w:ascii="Times New Roman" w:hAnsi="Times New Roman" w:cs="Times New Roman"/>
          <w:sz w:val="24"/>
          <w:szCs w:val="24"/>
          <w:vertAlign w:val="superscript"/>
        </w:rPr>
        <w:t>st</w:t>
      </w:r>
      <w:r w:rsidR="00277B49">
        <w:rPr>
          <w:rFonts w:ascii="Times New Roman" w:hAnsi="Times New Roman" w:cs="Times New Roman"/>
          <w:sz w:val="24"/>
          <w:szCs w:val="24"/>
        </w:rPr>
        <w:t xml:space="preserve"> June 2017.  The basi</w:t>
      </w:r>
      <w:r w:rsidR="009E1A0C">
        <w:rPr>
          <w:rFonts w:ascii="Times New Roman" w:hAnsi="Times New Roman" w:cs="Times New Roman"/>
          <w:sz w:val="24"/>
          <w:szCs w:val="24"/>
        </w:rPr>
        <w:t>s of the application is that the</w:t>
      </w:r>
      <w:r w:rsidR="00277B49">
        <w:rPr>
          <w:rFonts w:ascii="Times New Roman" w:hAnsi="Times New Roman" w:cs="Times New Roman"/>
          <w:sz w:val="24"/>
          <w:szCs w:val="24"/>
        </w:rPr>
        <w:t xml:space="preserve"> judgment </w:t>
      </w:r>
      <w:r w:rsidR="009E1A0C">
        <w:rPr>
          <w:rFonts w:ascii="Times New Roman" w:hAnsi="Times New Roman" w:cs="Times New Roman"/>
          <w:sz w:val="24"/>
          <w:szCs w:val="24"/>
        </w:rPr>
        <w:t>of this court under cover of No.</w:t>
      </w:r>
      <w:r w:rsidR="00277B49">
        <w:rPr>
          <w:rFonts w:ascii="Times New Roman" w:hAnsi="Times New Roman" w:cs="Times New Roman"/>
          <w:sz w:val="24"/>
          <w:szCs w:val="24"/>
        </w:rPr>
        <w:t xml:space="preserve"> HB131/17 was made on the basis of a mistake that was common to all the parties; </w:t>
      </w:r>
      <w:r w:rsidR="007C6E5F">
        <w:rPr>
          <w:rFonts w:ascii="Times New Roman" w:hAnsi="Times New Roman" w:cs="Times New Roman"/>
          <w:sz w:val="24"/>
          <w:szCs w:val="24"/>
        </w:rPr>
        <w:t>that the correction sought herein will not change the substance of the judgment but only the citation of the third respondent so that it properly reads Minister of Mines and Mining Devel</w:t>
      </w:r>
      <w:r w:rsidR="009E1A0C">
        <w:rPr>
          <w:rFonts w:ascii="Times New Roman" w:hAnsi="Times New Roman" w:cs="Times New Roman"/>
          <w:sz w:val="24"/>
          <w:szCs w:val="24"/>
        </w:rPr>
        <w:t xml:space="preserve">opment N.O. and that </w:t>
      </w:r>
      <w:r w:rsidR="007C6E5F">
        <w:rPr>
          <w:rFonts w:ascii="Times New Roman" w:hAnsi="Times New Roman" w:cs="Times New Roman"/>
          <w:sz w:val="24"/>
          <w:szCs w:val="24"/>
        </w:rPr>
        <w:t xml:space="preserve">no party will be prejudiced by the correction sought therein. </w:t>
      </w:r>
      <w:r w:rsidR="00277B49">
        <w:rPr>
          <w:rFonts w:ascii="Times New Roman" w:hAnsi="Times New Roman" w:cs="Times New Roman"/>
          <w:color w:val="242121"/>
          <w:sz w:val="24"/>
          <w:szCs w:val="24"/>
          <w:shd w:val="clear" w:color="auto" w:fill="FFFFFF"/>
        </w:rPr>
        <w:t xml:space="preserve">In this application the </w:t>
      </w:r>
      <w:r w:rsidR="00277B49" w:rsidRPr="00A1631D">
        <w:rPr>
          <w:rFonts w:ascii="Times New Roman" w:hAnsi="Times New Roman" w:cs="Times New Roman"/>
          <w:color w:val="242121"/>
          <w:sz w:val="24"/>
          <w:szCs w:val="24"/>
          <w:shd w:val="clear" w:color="auto" w:fill="FFFFFF"/>
        </w:rPr>
        <w:t>applicant seeks an order:</w:t>
      </w:r>
      <w:r w:rsidR="00277B49">
        <w:rPr>
          <w:rFonts w:ascii="Times New Roman" w:hAnsi="Times New Roman" w:cs="Times New Roman"/>
          <w:sz w:val="24"/>
          <w:szCs w:val="24"/>
        </w:rPr>
        <w:t>-</w:t>
      </w:r>
    </w:p>
    <w:p w:rsidR="007C6E5F" w:rsidRDefault="009E1A0C" w:rsidP="007C6E5F">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That t</w:t>
      </w:r>
      <w:r w:rsidR="007C6E5F">
        <w:rPr>
          <w:rFonts w:ascii="Times New Roman" w:hAnsi="Times New Roman" w:cs="Times New Roman"/>
          <w:sz w:val="24"/>
          <w:szCs w:val="24"/>
        </w:rPr>
        <w:t xml:space="preserve">he judgment handed down under case number HC 2031/15 be and is hereby corrected in the citation of the third respondent by deletion of the Ministry of Mines and Mining Development N.O. and substitution thereof with Minister of Mines and Mining Development N.O. </w:t>
      </w:r>
    </w:p>
    <w:p w:rsidR="007C6E5F" w:rsidRPr="007C6E5F" w:rsidRDefault="009E1A0C" w:rsidP="007C6E5F">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That t</w:t>
      </w:r>
      <w:r w:rsidR="007C6E5F">
        <w:rPr>
          <w:rFonts w:ascii="Times New Roman" w:hAnsi="Times New Roman" w:cs="Times New Roman"/>
          <w:sz w:val="24"/>
          <w:szCs w:val="24"/>
        </w:rPr>
        <w:t xml:space="preserve">he first respondent shall pay costs of suit on an attorney and client scale only in the event of opposition. </w:t>
      </w:r>
    </w:p>
    <w:p w:rsidR="00277B49" w:rsidRDefault="007C6E5F" w:rsidP="009E1A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application is opposed by the first respondent. The second and third resp</w:t>
      </w:r>
      <w:r w:rsidR="009E1A0C">
        <w:rPr>
          <w:rFonts w:ascii="Times New Roman" w:hAnsi="Times New Roman" w:cs="Times New Roman"/>
          <w:sz w:val="24"/>
          <w:szCs w:val="24"/>
        </w:rPr>
        <w:t>ondents filed a notice notifying the court that they are</w:t>
      </w:r>
      <w:r>
        <w:rPr>
          <w:rFonts w:ascii="Times New Roman" w:hAnsi="Times New Roman" w:cs="Times New Roman"/>
          <w:sz w:val="24"/>
          <w:szCs w:val="24"/>
        </w:rPr>
        <w:t xml:space="preserve"> not opposed to the order sought by the applicant. </w:t>
      </w:r>
    </w:p>
    <w:p w:rsidR="007E653B" w:rsidRDefault="007400B6" w:rsidP="009E1A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commencement of the hearing, Mr </w:t>
      </w:r>
      <w:proofErr w:type="spellStart"/>
      <w:r w:rsidRPr="007E653B">
        <w:rPr>
          <w:rFonts w:ascii="Times New Roman" w:hAnsi="Times New Roman" w:cs="Times New Roman"/>
          <w:i/>
          <w:sz w:val="24"/>
          <w:szCs w:val="24"/>
        </w:rPr>
        <w:t>Mwonzora</w:t>
      </w:r>
      <w:proofErr w:type="spellEnd"/>
      <w:r>
        <w:rPr>
          <w:rFonts w:ascii="Times New Roman" w:hAnsi="Times New Roman" w:cs="Times New Roman"/>
          <w:sz w:val="24"/>
          <w:szCs w:val="24"/>
        </w:rPr>
        <w:t xml:space="preserve"> for the first respondent objected to Mr </w:t>
      </w:r>
      <w:proofErr w:type="spellStart"/>
      <w:r w:rsidRPr="007E653B">
        <w:rPr>
          <w:rFonts w:ascii="Times New Roman" w:hAnsi="Times New Roman" w:cs="Times New Roman"/>
          <w:i/>
          <w:sz w:val="24"/>
          <w:szCs w:val="24"/>
        </w:rPr>
        <w:t>Zishiri</w:t>
      </w:r>
      <w:proofErr w:type="spellEnd"/>
      <w:r>
        <w:rPr>
          <w:rFonts w:ascii="Times New Roman" w:hAnsi="Times New Roman" w:cs="Times New Roman"/>
          <w:sz w:val="24"/>
          <w:szCs w:val="24"/>
        </w:rPr>
        <w:t xml:space="preserve">, counsel for the applicant appearing as counsel on the grounds that he deposed to a supporting affidavit to the application. </w:t>
      </w:r>
      <w:r w:rsidR="007E653B">
        <w:rPr>
          <w:rFonts w:ascii="Times New Roman" w:hAnsi="Times New Roman" w:cs="Times New Roman"/>
          <w:sz w:val="24"/>
          <w:szCs w:val="24"/>
        </w:rPr>
        <w:t xml:space="preserve">The objection was that he cannot be counsel and witness as the same time. Mr </w:t>
      </w:r>
      <w:proofErr w:type="spellStart"/>
      <w:r w:rsidR="007E653B" w:rsidRPr="007E653B">
        <w:rPr>
          <w:rFonts w:ascii="Times New Roman" w:hAnsi="Times New Roman" w:cs="Times New Roman"/>
          <w:i/>
          <w:sz w:val="24"/>
          <w:szCs w:val="24"/>
        </w:rPr>
        <w:t>Zishiri</w:t>
      </w:r>
      <w:proofErr w:type="spellEnd"/>
      <w:r w:rsidR="00D311AE">
        <w:rPr>
          <w:rFonts w:ascii="Times New Roman" w:hAnsi="Times New Roman" w:cs="Times New Roman"/>
          <w:i/>
          <w:sz w:val="24"/>
          <w:szCs w:val="24"/>
        </w:rPr>
        <w:t xml:space="preserve"> </w:t>
      </w:r>
      <w:r w:rsidR="007E653B" w:rsidRPr="007E653B">
        <w:rPr>
          <w:rFonts w:ascii="Times New Roman" w:hAnsi="Times New Roman" w:cs="Times New Roman"/>
          <w:sz w:val="24"/>
          <w:szCs w:val="24"/>
        </w:rPr>
        <w:t xml:space="preserve">conceded </w:t>
      </w:r>
      <w:r w:rsidR="007E653B">
        <w:rPr>
          <w:rFonts w:ascii="Times New Roman" w:hAnsi="Times New Roman" w:cs="Times New Roman"/>
          <w:sz w:val="24"/>
          <w:szCs w:val="24"/>
        </w:rPr>
        <w:t xml:space="preserve">the point and asked the court to expunge the supporting affidavit he deposed to. Mr </w:t>
      </w:r>
      <w:proofErr w:type="spellStart"/>
      <w:r w:rsidR="007E653B" w:rsidRPr="007E653B">
        <w:rPr>
          <w:rFonts w:ascii="Times New Roman" w:hAnsi="Times New Roman" w:cs="Times New Roman"/>
          <w:i/>
          <w:sz w:val="24"/>
          <w:szCs w:val="24"/>
        </w:rPr>
        <w:t>Mwonzora</w:t>
      </w:r>
      <w:proofErr w:type="spellEnd"/>
      <w:r w:rsidR="00D311AE">
        <w:rPr>
          <w:rFonts w:ascii="Times New Roman" w:hAnsi="Times New Roman" w:cs="Times New Roman"/>
          <w:i/>
          <w:sz w:val="24"/>
          <w:szCs w:val="24"/>
        </w:rPr>
        <w:t xml:space="preserve"> </w:t>
      </w:r>
      <w:r w:rsidR="007E653B">
        <w:rPr>
          <w:rFonts w:ascii="Times New Roman" w:hAnsi="Times New Roman" w:cs="Times New Roman"/>
          <w:sz w:val="24"/>
          <w:szCs w:val="24"/>
        </w:rPr>
        <w:t xml:space="preserve">accepted that once the offending affidavit was expunged, he will have no objection in Mr </w:t>
      </w:r>
      <w:proofErr w:type="spellStart"/>
      <w:r w:rsidR="007E653B" w:rsidRPr="007E653B">
        <w:rPr>
          <w:rFonts w:ascii="Times New Roman" w:hAnsi="Times New Roman" w:cs="Times New Roman"/>
          <w:i/>
          <w:sz w:val="24"/>
          <w:szCs w:val="24"/>
        </w:rPr>
        <w:t>Zishiri</w:t>
      </w:r>
      <w:proofErr w:type="spellEnd"/>
      <w:r w:rsidR="007E653B">
        <w:rPr>
          <w:rFonts w:ascii="Times New Roman" w:hAnsi="Times New Roman" w:cs="Times New Roman"/>
          <w:sz w:val="24"/>
          <w:szCs w:val="24"/>
        </w:rPr>
        <w:t xml:space="preserve"> continuing to represent the applicant. </w:t>
      </w:r>
      <w:r w:rsidR="009E1A0C">
        <w:rPr>
          <w:rFonts w:ascii="Times New Roman" w:hAnsi="Times New Roman" w:cs="Times New Roman"/>
          <w:sz w:val="24"/>
          <w:szCs w:val="24"/>
        </w:rPr>
        <w:t>Therefore, b</w:t>
      </w:r>
      <w:r w:rsidR="007E653B">
        <w:rPr>
          <w:rFonts w:ascii="Times New Roman" w:hAnsi="Times New Roman" w:cs="Times New Roman"/>
          <w:sz w:val="24"/>
          <w:szCs w:val="24"/>
        </w:rPr>
        <w:t>y consent of the parties</w:t>
      </w:r>
      <w:r w:rsidR="00356714">
        <w:rPr>
          <w:rFonts w:ascii="Times New Roman" w:hAnsi="Times New Roman" w:cs="Times New Roman"/>
          <w:sz w:val="24"/>
          <w:szCs w:val="24"/>
        </w:rPr>
        <w:t>,</w:t>
      </w:r>
      <w:r w:rsidR="007E653B">
        <w:rPr>
          <w:rFonts w:ascii="Times New Roman" w:hAnsi="Times New Roman" w:cs="Times New Roman"/>
          <w:sz w:val="24"/>
          <w:szCs w:val="24"/>
        </w:rPr>
        <w:t xml:space="preserve"> I expunged the supporting affidavit deposed by Mr </w:t>
      </w:r>
      <w:proofErr w:type="spellStart"/>
      <w:r w:rsidR="007E653B" w:rsidRPr="007E653B">
        <w:rPr>
          <w:rFonts w:ascii="Times New Roman" w:hAnsi="Times New Roman" w:cs="Times New Roman"/>
          <w:i/>
          <w:sz w:val="24"/>
          <w:szCs w:val="24"/>
        </w:rPr>
        <w:t>Zishiri</w:t>
      </w:r>
      <w:proofErr w:type="spellEnd"/>
      <w:r w:rsidR="00D311AE">
        <w:rPr>
          <w:rFonts w:ascii="Times New Roman" w:hAnsi="Times New Roman" w:cs="Times New Roman"/>
          <w:i/>
          <w:sz w:val="24"/>
          <w:szCs w:val="24"/>
        </w:rPr>
        <w:t xml:space="preserve"> </w:t>
      </w:r>
      <w:r w:rsidR="007E653B">
        <w:rPr>
          <w:rFonts w:ascii="Times New Roman" w:hAnsi="Times New Roman" w:cs="Times New Roman"/>
          <w:sz w:val="24"/>
          <w:szCs w:val="24"/>
        </w:rPr>
        <w:t xml:space="preserve">and no further reference shall be made to it. </w:t>
      </w:r>
      <w:r w:rsidR="003B7D73">
        <w:rPr>
          <w:rFonts w:ascii="Times New Roman" w:hAnsi="Times New Roman" w:cs="Times New Roman"/>
          <w:sz w:val="24"/>
          <w:szCs w:val="24"/>
        </w:rPr>
        <w:t xml:space="preserve">As a result he continued to represent the applicant in this matter. </w:t>
      </w:r>
    </w:p>
    <w:p w:rsidR="003B7D73" w:rsidRPr="007E653B" w:rsidRDefault="003B7D73" w:rsidP="009E1A0C">
      <w:pPr>
        <w:spacing w:after="0" w:line="360" w:lineRule="auto"/>
        <w:ind w:firstLine="720"/>
        <w:jc w:val="both"/>
        <w:rPr>
          <w:rFonts w:ascii="Times New Roman" w:hAnsi="Times New Roman" w:cs="Times New Roman"/>
          <w:sz w:val="24"/>
          <w:szCs w:val="24"/>
        </w:rPr>
      </w:pPr>
    </w:p>
    <w:p w:rsidR="007C6E5F" w:rsidRPr="0044285E" w:rsidRDefault="007C6E5F" w:rsidP="007C6E5F">
      <w:pPr>
        <w:spacing w:line="360" w:lineRule="auto"/>
        <w:jc w:val="both"/>
        <w:rPr>
          <w:rFonts w:ascii="Times New Roman" w:hAnsi="Times New Roman" w:cs="Times New Roman"/>
          <w:sz w:val="24"/>
          <w:szCs w:val="24"/>
        </w:rPr>
      </w:pPr>
      <w:r w:rsidRPr="007C6E5F">
        <w:rPr>
          <w:rFonts w:ascii="Times New Roman" w:hAnsi="Times New Roman" w:cs="Times New Roman"/>
          <w:b/>
          <w:sz w:val="24"/>
          <w:szCs w:val="24"/>
        </w:rPr>
        <w:t xml:space="preserve">The background </w:t>
      </w:r>
    </w:p>
    <w:p w:rsidR="00B53BAA" w:rsidRDefault="0044285E" w:rsidP="0044285E">
      <w:pPr>
        <w:spacing w:line="360" w:lineRule="auto"/>
        <w:ind w:firstLine="720"/>
        <w:jc w:val="both"/>
        <w:rPr>
          <w:rFonts w:ascii="Times New Roman" w:hAnsi="Times New Roman" w:cs="Times New Roman"/>
          <w:sz w:val="24"/>
          <w:szCs w:val="24"/>
        </w:rPr>
      </w:pPr>
      <w:r w:rsidRPr="0044285E">
        <w:rPr>
          <w:rFonts w:ascii="Times New Roman" w:hAnsi="Times New Roman" w:cs="Times New Roman"/>
          <w:sz w:val="24"/>
          <w:szCs w:val="24"/>
        </w:rPr>
        <w:t xml:space="preserve">On </w:t>
      </w:r>
      <w:r w:rsidR="00356714">
        <w:rPr>
          <w:rFonts w:ascii="Times New Roman" w:hAnsi="Times New Roman" w:cs="Times New Roman"/>
          <w:sz w:val="24"/>
          <w:szCs w:val="24"/>
        </w:rPr>
        <w:t>the 26 July 20</w:t>
      </w:r>
      <w:r>
        <w:rPr>
          <w:rFonts w:ascii="Times New Roman" w:hAnsi="Times New Roman" w:cs="Times New Roman"/>
          <w:sz w:val="24"/>
          <w:szCs w:val="24"/>
        </w:rPr>
        <w:t>16</w:t>
      </w:r>
      <w:r w:rsidR="003B7D73">
        <w:rPr>
          <w:rFonts w:ascii="Times New Roman" w:hAnsi="Times New Roman" w:cs="Times New Roman"/>
          <w:sz w:val="24"/>
          <w:szCs w:val="24"/>
        </w:rPr>
        <w:t>,</w:t>
      </w:r>
      <w:r>
        <w:rPr>
          <w:rFonts w:ascii="Times New Roman" w:hAnsi="Times New Roman" w:cs="Times New Roman"/>
          <w:sz w:val="24"/>
          <w:szCs w:val="24"/>
        </w:rPr>
        <w:t xml:space="preserve"> applicant </w:t>
      </w:r>
      <w:r w:rsidR="00F522C8">
        <w:rPr>
          <w:rFonts w:ascii="Times New Roman" w:hAnsi="Times New Roman" w:cs="Times New Roman"/>
          <w:sz w:val="24"/>
          <w:szCs w:val="24"/>
        </w:rPr>
        <w:t>is</w:t>
      </w:r>
      <w:r>
        <w:rPr>
          <w:rFonts w:ascii="Times New Roman" w:hAnsi="Times New Roman" w:cs="Times New Roman"/>
          <w:sz w:val="24"/>
          <w:szCs w:val="24"/>
        </w:rPr>
        <w:t xml:space="preserve">sued out a court application for review against three respondents, being Ronald </w:t>
      </w:r>
      <w:proofErr w:type="spellStart"/>
      <w:r>
        <w:rPr>
          <w:rFonts w:ascii="Times New Roman" w:hAnsi="Times New Roman" w:cs="Times New Roman"/>
          <w:sz w:val="24"/>
          <w:szCs w:val="24"/>
        </w:rPr>
        <w:t>Mugangavari</w:t>
      </w:r>
      <w:proofErr w:type="spellEnd"/>
      <w:r w:rsidR="009E44A0">
        <w:rPr>
          <w:rFonts w:ascii="Times New Roman" w:hAnsi="Times New Roman" w:cs="Times New Roman"/>
          <w:sz w:val="24"/>
          <w:szCs w:val="24"/>
        </w:rPr>
        <w:t xml:space="preserve"> (first respondent in this application)</w:t>
      </w:r>
      <w:r>
        <w:rPr>
          <w:rFonts w:ascii="Times New Roman" w:hAnsi="Times New Roman" w:cs="Times New Roman"/>
          <w:sz w:val="24"/>
          <w:szCs w:val="24"/>
        </w:rPr>
        <w:t xml:space="preserve">, Provincial Mining Director </w:t>
      </w:r>
      <w:r w:rsidR="003B7D73">
        <w:rPr>
          <w:rFonts w:ascii="Times New Roman" w:hAnsi="Times New Roman" w:cs="Times New Roman"/>
          <w:sz w:val="24"/>
          <w:szCs w:val="24"/>
        </w:rPr>
        <w:t xml:space="preserve">- </w:t>
      </w:r>
      <w:r>
        <w:rPr>
          <w:rFonts w:ascii="Times New Roman" w:hAnsi="Times New Roman" w:cs="Times New Roman"/>
          <w:sz w:val="24"/>
          <w:szCs w:val="24"/>
        </w:rPr>
        <w:t>Midlands and the Ministry of Mining and Mining Development N.O. The application was heard on the 1</w:t>
      </w:r>
      <w:r w:rsidR="003B7D73" w:rsidRPr="003B7D73">
        <w:rPr>
          <w:rFonts w:ascii="Times New Roman" w:hAnsi="Times New Roman" w:cs="Times New Roman"/>
          <w:sz w:val="24"/>
          <w:szCs w:val="24"/>
          <w:vertAlign w:val="superscript"/>
        </w:rPr>
        <w:t>st</w:t>
      </w:r>
      <w:r>
        <w:rPr>
          <w:rFonts w:ascii="Times New Roman" w:hAnsi="Times New Roman" w:cs="Times New Roman"/>
          <w:sz w:val="24"/>
          <w:szCs w:val="24"/>
        </w:rPr>
        <w:t xml:space="preserve">February 2017 and a judgment </w:t>
      </w:r>
      <w:r w:rsidR="009E44A0">
        <w:rPr>
          <w:rFonts w:ascii="Times New Roman" w:hAnsi="Times New Roman" w:cs="Times New Roman"/>
          <w:sz w:val="24"/>
          <w:szCs w:val="24"/>
        </w:rPr>
        <w:t xml:space="preserve">under cover of HB 131/17 </w:t>
      </w:r>
      <w:r>
        <w:rPr>
          <w:rFonts w:ascii="Times New Roman" w:hAnsi="Times New Roman" w:cs="Times New Roman"/>
          <w:sz w:val="24"/>
          <w:szCs w:val="24"/>
        </w:rPr>
        <w:t>was handed down on the 1</w:t>
      </w:r>
      <w:r w:rsidR="003B7D73" w:rsidRPr="003B7D73">
        <w:rPr>
          <w:rFonts w:ascii="Times New Roman" w:hAnsi="Times New Roman" w:cs="Times New Roman"/>
          <w:sz w:val="24"/>
          <w:szCs w:val="24"/>
          <w:vertAlign w:val="superscript"/>
        </w:rPr>
        <w:t>st</w:t>
      </w:r>
      <w:r>
        <w:rPr>
          <w:rFonts w:ascii="Times New Roman" w:hAnsi="Times New Roman" w:cs="Times New Roman"/>
          <w:sz w:val="24"/>
          <w:szCs w:val="24"/>
        </w:rPr>
        <w:t xml:space="preserve">June 2017. </w:t>
      </w:r>
      <w:r w:rsidR="009E44A0">
        <w:rPr>
          <w:rFonts w:ascii="Times New Roman" w:hAnsi="Times New Roman" w:cs="Times New Roman"/>
          <w:sz w:val="24"/>
          <w:szCs w:val="24"/>
        </w:rPr>
        <w:t>The operative p</w:t>
      </w:r>
      <w:r w:rsidR="003B7D73">
        <w:rPr>
          <w:rFonts w:ascii="Times New Roman" w:hAnsi="Times New Roman" w:cs="Times New Roman"/>
          <w:sz w:val="24"/>
          <w:szCs w:val="24"/>
        </w:rPr>
        <w:t>art of that</w:t>
      </w:r>
      <w:r w:rsidR="009E44A0">
        <w:rPr>
          <w:rFonts w:ascii="Times New Roman" w:hAnsi="Times New Roman" w:cs="Times New Roman"/>
          <w:sz w:val="24"/>
          <w:szCs w:val="24"/>
        </w:rPr>
        <w:t xml:space="preserve"> judgment reads as follows: in the result, it is ordered that:</w:t>
      </w:r>
    </w:p>
    <w:p w:rsidR="009E44A0" w:rsidRDefault="009E44A0" w:rsidP="009E44A0">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determination by the 3</w:t>
      </w:r>
      <w:r w:rsidRPr="009E44A0">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dated 17 July 2015 cancelling Midway 21 Mining registration certificate held by applicant be and is hereby set-aside.</w:t>
      </w:r>
    </w:p>
    <w:p w:rsidR="009E44A0" w:rsidRPr="00472B2D" w:rsidRDefault="009E44A0" w:rsidP="00472B2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respondent to pay costs of suit. </w:t>
      </w:r>
    </w:p>
    <w:p w:rsidR="009E44A0" w:rsidRPr="0044285E" w:rsidRDefault="009E44A0" w:rsidP="00472B2D">
      <w:pPr>
        <w:spacing w:line="360" w:lineRule="auto"/>
        <w:ind w:firstLine="720"/>
        <w:jc w:val="both"/>
        <w:rPr>
          <w:rFonts w:ascii="Times New Roman" w:hAnsi="Times New Roman" w:cs="Times New Roman"/>
          <w:sz w:val="24"/>
          <w:szCs w:val="24"/>
        </w:rPr>
      </w:pPr>
      <w:r w:rsidRPr="009E44A0">
        <w:rPr>
          <w:rFonts w:ascii="Times New Roman" w:hAnsi="Times New Roman" w:cs="Times New Roman"/>
          <w:sz w:val="24"/>
          <w:szCs w:val="24"/>
        </w:rPr>
        <w:t>Applicant launched this application to substitute</w:t>
      </w:r>
      <w:r w:rsidR="00472B2D">
        <w:rPr>
          <w:rFonts w:ascii="Times New Roman" w:hAnsi="Times New Roman" w:cs="Times New Roman"/>
          <w:sz w:val="24"/>
          <w:szCs w:val="24"/>
        </w:rPr>
        <w:t xml:space="preserve"> the</w:t>
      </w:r>
      <w:r w:rsidRPr="009E44A0">
        <w:rPr>
          <w:rFonts w:ascii="Times New Roman" w:hAnsi="Times New Roman" w:cs="Times New Roman"/>
          <w:sz w:val="24"/>
          <w:szCs w:val="24"/>
        </w:rPr>
        <w:t xml:space="preserve"> Ministry of Mining and Mining Development N.O.</w:t>
      </w:r>
      <w:r>
        <w:rPr>
          <w:rFonts w:ascii="Times New Roman" w:hAnsi="Times New Roman" w:cs="Times New Roman"/>
          <w:sz w:val="24"/>
          <w:szCs w:val="24"/>
        </w:rPr>
        <w:t xml:space="preserve"> with the Minister of Mining and Mining Development N.O.</w:t>
      </w:r>
      <w:r w:rsidR="00472B2D">
        <w:rPr>
          <w:rFonts w:ascii="Times New Roman" w:hAnsi="Times New Roman" w:cs="Times New Roman"/>
          <w:sz w:val="24"/>
          <w:szCs w:val="24"/>
        </w:rPr>
        <w:t xml:space="preserve"> The net effect of the applicant’s argument is that the substitution sought is merely a matter of form, not substance. As alluded to above the application is opposed by the first respondent. </w:t>
      </w:r>
    </w:p>
    <w:p w:rsidR="009E44A0" w:rsidRPr="009E44A0" w:rsidRDefault="009E44A0" w:rsidP="009E44A0">
      <w:pPr>
        <w:spacing w:after="0" w:line="360" w:lineRule="auto"/>
        <w:jc w:val="both"/>
        <w:rPr>
          <w:rFonts w:ascii="Times New Roman" w:hAnsi="Times New Roman" w:cs="Times New Roman"/>
          <w:b/>
          <w:sz w:val="24"/>
          <w:szCs w:val="24"/>
        </w:rPr>
      </w:pPr>
      <w:r w:rsidRPr="009E44A0">
        <w:rPr>
          <w:rFonts w:ascii="Times New Roman" w:hAnsi="Times New Roman" w:cs="Times New Roman"/>
          <w:b/>
          <w:sz w:val="24"/>
          <w:szCs w:val="24"/>
        </w:rPr>
        <w:t xml:space="preserve">The law and the facts </w:t>
      </w:r>
    </w:p>
    <w:p w:rsidR="00AC1577" w:rsidRDefault="00472B2D" w:rsidP="00B53B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general principle now established in our law</w:t>
      </w:r>
      <w:r w:rsidR="001E45B0">
        <w:rPr>
          <w:rFonts w:ascii="Times New Roman" w:hAnsi="Times New Roman" w:cs="Times New Roman"/>
          <w:sz w:val="24"/>
          <w:szCs w:val="24"/>
        </w:rPr>
        <w:t xml:space="preserve"> is that once a court has duly pronounced a final judgment or order, it has itself no authority to correct, alter or supplement it. The reason is that the court thereupon becomes </w:t>
      </w:r>
      <w:proofErr w:type="spellStart"/>
      <w:r w:rsidR="001E45B0" w:rsidRPr="001E45B0">
        <w:rPr>
          <w:rFonts w:ascii="Times New Roman" w:hAnsi="Times New Roman" w:cs="Times New Roman"/>
          <w:i/>
          <w:sz w:val="24"/>
          <w:szCs w:val="24"/>
        </w:rPr>
        <w:t>functus</w:t>
      </w:r>
      <w:proofErr w:type="spellEnd"/>
      <w:r w:rsidR="001E45B0" w:rsidRPr="001E45B0">
        <w:rPr>
          <w:rFonts w:ascii="Times New Roman" w:hAnsi="Times New Roman" w:cs="Times New Roman"/>
          <w:i/>
          <w:sz w:val="24"/>
          <w:szCs w:val="24"/>
        </w:rPr>
        <w:t xml:space="preserve"> officio;</w:t>
      </w:r>
      <w:r w:rsidR="001E45B0">
        <w:rPr>
          <w:rFonts w:ascii="Times New Roman" w:hAnsi="Times New Roman" w:cs="Times New Roman"/>
          <w:sz w:val="24"/>
          <w:szCs w:val="24"/>
        </w:rPr>
        <w:t xml:space="preserve"> its jurisdiction in the case </w:t>
      </w:r>
      <w:r w:rsidR="001E45B0">
        <w:rPr>
          <w:rFonts w:ascii="Times New Roman" w:hAnsi="Times New Roman" w:cs="Times New Roman"/>
          <w:sz w:val="24"/>
          <w:szCs w:val="24"/>
        </w:rPr>
        <w:lastRenderedPageBreak/>
        <w:t xml:space="preserve">having been fully and finally </w:t>
      </w:r>
      <w:proofErr w:type="gramStart"/>
      <w:r w:rsidR="001E45B0">
        <w:rPr>
          <w:rFonts w:ascii="Times New Roman" w:hAnsi="Times New Roman" w:cs="Times New Roman"/>
          <w:sz w:val="24"/>
          <w:szCs w:val="24"/>
        </w:rPr>
        <w:t>exercised,</w:t>
      </w:r>
      <w:proofErr w:type="gramEnd"/>
      <w:r w:rsidR="001E45B0">
        <w:rPr>
          <w:rFonts w:ascii="Times New Roman" w:hAnsi="Times New Roman" w:cs="Times New Roman"/>
          <w:sz w:val="24"/>
          <w:szCs w:val="24"/>
        </w:rPr>
        <w:t xml:space="preserve"> its authority over the subject matter ceases. The other equally important consideration is the public interest in bringing litigation </w:t>
      </w:r>
      <w:r w:rsidR="00BF0EB3">
        <w:rPr>
          <w:rFonts w:ascii="Times New Roman" w:hAnsi="Times New Roman" w:cs="Times New Roman"/>
          <w:sz w:val="24"/>
          <w:szCs w:val="24"/>
        </w:rPr>
        <w:t xml:space="preserve">to finality. The parties must be assured that once an order of court has been made, it is final and they can arrange their affairs in accordance with that order. </w:t>
      </w:r>
      <w:r w:rsidR="00356714">
        <w:rPr>
          <w:rFonts w:ascii="Times New Roman" w:hAnsi="Times New Roman" w:cs="Times New Roman"/>
          <w:sz w:val="24"/>
          <w:szCs w:val="24"/>
        </w:rPr>
        <w:t xml:space="preserve">See </w:t>
      </w:r>
      <w:proofErr w:type="spellStart"/>
      <w:r w:rsidR="00356714">
        <w:rPr>
          <w:rFonts w:ascii="Times New Roman" w:hAnsi="Times New Roman" w:cs="Times New Roman"/>
          <w:sz w:val="24"/>
          <w:szCs w:val="24"/>
        </w:rPr>
        <w:t>Herbstein</w:t>
      </w:r>
      <w:proofErr w:type="spellEnd"/>
      <w:r w:rsidR="00356714">
        <w:rPr>
          <w:rFonts w:ascii="Times New Roman" w:hAnsi="Times New Roman" w:cs="Times New Roman"/>
          <w:sz w:val="24"/>
          <w:szCs w:val="24"/>
        </w:rPr>
        <w:t xml:space="preserve"> and Van </w:t>
      </w:r>
      <w:proofErr w:type="spellStart"/>
      <w:r w:rsidR="00356714">
        <w:rPr>
          <w:rFonts w:ascii="Times New Roman" w:hAnsi="Times New Roman" w:cs="Times New Roman"/>
          <w:sz w:val="24"/>
          <w:szCs w:val="24"/>
        </w:rPr>
        <w:t>Winsen</w:t>
      </w:r>
      <w:proofErr w:type="spellEnd"/>
      <w:r w:rsidR="00356714">
        <w:rPr>
          <w:rFonts w:ascii="Times New Roman" w:hAnsi="Times New Roman" w:cs="Times New Roman"/>
          <w:sz w:val="24"/>
          <w:szCs w:val="24"/>
        </w:rPr>
        <w:t xml:space="preserve"> </w:t>
      </w:r>
      <w:proofErr w:type="gramStart"/>
      <w:r w:rsidR="00356714" w:rsidRPr="00015CC3">
        <w:rPr>
          <w:rFonts w:ascii="Times New Roman" w:hAnsi="Times New Roman" w:cs="Times New Roman"/>
          <w:i/>
          <w:sz w:val="24"/>
          <w:szCs w:val="24"/>
        </w:rPr>
        <w:t>The</w:t>
      </w:r>
      <w:proofErr w:type="gramEnd"/>
      <w:r w:rsidR="00356714" w:rsidRPr="00015CC3">
        <w:rPr>
          <w:rFonts w:ascii="Times New Roman" w:hAnsi="Times New Roman" w:cs="Times New Roman"/>
          <w:i/>
          <w:sz w:val="24"/>
          <w:szCs w:val="24"/>
        </w:rPr>
        <w:t xml:space="preserve"> Civil practice of the High Courts and the </w:t>
      </w:r>
      <w:r w:rsidR="00015CC3" w:rsidRPr="00015CC3">
        <w:rPr>
          <w:rFonts w:ascii="Times New Roman" w:hAnsi="Times New Roman" w:cs="Times New Roman"/>
          <w:i/>
          <w:sz w:val="24"/>
          <w:szCs w:val="24"/>
        </w:rPr>
        <w:t xml:space="preserve">Supreme Court of Appeal of South Africa </w:t>
      </w:r>
      <w:r w:rsidR="00015CC3">
        <w:rPr>
          <w:rFonts w:ascii="Times New Roman" w:hAnsi="Times New Roman" w:cs="Times New Roman"/>
          <w:sz w:val="24"/>
          <w:szCs w:val="24"/>
        </w:rPr>
        <w:t>(</w:t>
      </w:r>
      <w:proofErr w:type="spellStart"/>
      <w:r w:rsidR="00015CC3">
        <w:rPr>
          <w:rFonts w:ascii="Times New Roman" w:hAnsi="Times New Roman" w:cs="Times New Roman"/>
          <w:sz w:val="24"/>
          <w:szCs w:val="24"/>
        </w:rPr>
        <w:t>Juta</w:t>
      </w:r>
      <w:proofErr w:type="spellEnd"/>
      <w:r w:rsidR="00015CC3">
        <w:rPr>
          <w:rFonts w:ascii="Times New Roman" w:hAnsi="Times New Roman" w:cs="Times New Roman"/>
          <w:sz w:val="24"/>
          <w:szCs w:val="24"/>
        </w:rPr>
        <w:t>) 5</w:t>
      </w:r>
      <w:r w:rsidR="00015CC3" w:rsidRPr="00015CC3">
        <w:rPr>
          <w:rFonts w:ascii="Times New Roman" w:hAnsi="Times New Roman" w:cs="Times New Roman"/>
          <w:sz w:val="24"/>
          <w:szCs w:val="24"/>
          <w:vertAlign w:val="superscript"/>
        </w:rPr>
        <w:t>th</w:t>
      </w:r>
      <w:r w:rsidR="00015CC3">
        <w:rPr>
          <w:rFonts w:ascii="Times New Roman" w:hAnsi="Times New Roman" w:cs="Times New Roman"/>
          <w:sz w:val="24"/>
          <w:szCs w:val="24"/>
        </w:rPr>
        <w:t xml:space="preserve"> ed. 926. </w:t>
      </w:r>
    </w:p>
    <w:p w:rsidR="00BF0EB3" w:rsidRPr="00BF0EB3" w:rsidRDefault="00BF0EB3" w:rsidP="00B53BAA">
      <w:pPr>
        <w:autoSpaceDE w:val="0"/>
        <w:autoSpaceDN w:val="0"/>
        <w:adjustRightInd w:val="0"/>
        <w:spacing w:after="0" w:line="360" w:lineRule="auto"/>
        <w:ind w:firstLine="720"/>
        <w:jc w:val="both"/>
        <w:rPr>
          <w:rFonts w:ascii="Times New Roman" w:hAnsi="Times New Roman" w:cs="Times New Roman"/>
          <w:b/>
          <w:bCs/>
          <w:i/>
          <w:iCs/>
          <w:sz w:val="24"/>
          <w:szCs w:val="24"/>
        </w:rPr>
      </w:pPr>
      <w:r w:rsidRPr="00BF0EB3">
        <w:rPr>
          <w:rFonts w:ascii="Times New Roman" w:hAnsi="Times New Roman" w:cs="Times New Roman"/>
          <w:bCs/>
          <w:iCs/>
          <w:sz w:val="24"/>
          <w:szCs w:val="24"/>
        </w:rPr>
        <w:t xml:space="preserve">Rule </w:t>
      </w:r>
      <w:r>
        <w:rPr>
          <w:rFonts w:ascii="Times New Roman" w:hAnsi="Times New Roman" w:cs="Times New Roman"/>
          <w:bCs/>
          <w:iCs/>
          <w:sz w:val="24"/>
          <w:szCs w:val="24"/>
        </w:rPr>
        <w:t>449 of the High Court Rules, 1971, on c</w:t>
      </w:r>
      <w:r w:rsidRPr="00BF0EB3">
        <w:rPr>
          <w:rFonts w:ascii="Times New Roman" w:hAnsi="Times New Roman" w:cs="Times New Roman"/>
          <w:bCs/>
          <w:iCs/>
          <w:sz w:val="24"/>
          <w:szCs w:val="24"/>
        </w:rPr>
        <w:t>orrection, variation and resci</w:t>
      </w:r>
      <w:r w:rsidR="00472B2D">
        <w:rPr>
          <w:rFonts w:ascii="Times New Roman" w:hAnsi="Times New Roman" w:cs="Times New Roman"/>
          <w:bCs/>
          <w:iCs/>
          <w:sz w:val="24"/>
          <w:szCs w:val="24"/>
        </w:rPr>
        <w:t>ssion of judgments and orders provides</w:t>
      </w:r>
      <w:r w:rsidRPr="00BF0EB3">
        <w:rPr>
          <w:rFonts w:ascii="Times New Roman" w:hAnsi="Times New Roman" w:cs="Times New Roman"/>
          <w:bCs/>
          <w:iCs/>
          <w:sz w:val="24"/>
          <w:szCs w:val="24"/>
        </w:rPr>
        <w:t xml:space="preserve"> an exception to the general rule</w:t>
      </w:r>
      <w:r w:rsidR="00D311AE">
        <w:rPr>
          <w:rFonts w:ascii="Times New Roman" w:hAnsi="Times New Roman" w:cs="Times New Roman"/>
          <w:bCs/>
          <w:iCs/>
          <w:sz w:val="24"/>
          <w:szCs w:val="24"/>
        </w:rPr>
        <w:t xml:space="preserve">, </w:t>
      </w:r>
      <w:r w:rsidRPr="00BF0EB3">
        <w:rPr>
          <w:rFonts w:ascii="Times New Roman" w:hAnsi="Times New Roman" w:cs="Times New Roman"/>
          <w:bCs/>
          <w:iCs/>
          <w:sz w:val="24"/>
          <w:szCs w:val="24"/>
        </w:rPr>
        <w:t>.Rule 449 provides that:</w:t>
      </w:r>
    </w:p>
    <w:p w:rsidR="00BF0EB3" w:rsidRPr="00BF0EB3" w:rsidRDefault="00BF0EB3" w:rsidP="00BF0EB3">
      <w:pPr>
        <w:autoSpaceDE w:val="0"/>
        <w:autoSpaceDN w:val="0"/>
        <w:adjustRightInd w:val="0"/>
        <w:spacing w:after="0" w:line="276" w:lineRule="auto"/>
        <w:ind w:left="720"/>
        <w:jc w:val="both"/>
        <w:rPr>
          <w:rFonts w:ascii="Times New Roman" w:hAnsi="Times New Roman" w:cs="Times New Roman"/>
        </w:rPr>
      </w:pPr>
      <w:r w:rsidRPr="00BF0EB3">
        <w:rPr>
          <w:rFonts w:ascii="Times New Roman" w:hAnsi="Times New Roman" w:cs="Times New Roman"/>
        </w:rPr>
        <w:t xml:space="preserve">(1) The court or a judge may, in addition to any other power it or he may </w:t>
      </w:r>
      <w:proofErr w:type="gramStart"/>
      <w:r w:rsidRPr="00BF0EB3">
        <w:rPr>
          <w:rFonts w:ascii="Times New Roman" w:hAnsi="Times New Roman" w:cs="Times New Roman"/>
        </w:rPr>
        <w:t>have,</w:t>
      </w:r>
      <w:proofErr w:type="gramEnd"/>
      <w:r w:rsidRPr="00BF0EB3">
        <w:rPr>
          <w:rFonts w:ascii="Times New Roman" w:hAnsi="Times New Roman" w:cs="Times New Roman"/>
        </w:rPr>
        <w:t xml:space="preserve"> </w:t>
      </w:r>
      <w:proofErr w:type="spellStart"/>
      <w:r w:rsidRPr="00BF0EB3">
        <w:rPr>
          <w:rFonts w:ascii="Times New Roman" w:hAnsi="Times New Roman" w:cs="Times New Roman"/>
          <w:i/>
          <w:iCs/>
        </w:rPr>
        <w:t>mero</w:t>
      </w:r>
      <w:proofErr w:type="spellEnd"/>
      <w:r w:rsidRPr="00BF0EB3">
        <w:rPr>
          <w:rFonts w:ascii="Times New Roman" w:hAnsi="Times New Roman" w:cs="Times New Roman"/>
          <w:i/>
          <w:iCs/>
        </w:rPr>
        <w:t xml:space="preserve"> </w:t>
      </w:r>
      <w:proofErr w:type="spellStart"/>
      <w:r w:rsidRPr="00BF0EB3">
        <w:rPr>
          <w:rFonts w:ascii="Times New Roman" w:hAnsi="Times New Roman" w:cs="Times New Roman"/>
          <w:i/>
          <w:iCs/>
        </w:rPr>
        <w:t>motu</w:t>
      </w:r>
      <w:proofErr w:type="spellEnd"/>
      <w:r w:rsidRPr="00BF0EB3">
        <w:rPr>
          <w:rFonts w:ascii="Times New Roman" w:hAnsi="Times New Roman" w:cs="Times New Roman"/>
          <w:i/>
          <w:iCs/>
        </w:rPr>
        <w:t xml:space="preserve"> </w:t>
      </w:r>
      <w:r w:rsidRPr="00BF0EB3">
        <w:rPr>
          <w:rFonts w:ascii="Times New Roman" w:hAnsi="Times New Roman" w:cs="Times New Roman"/>
        </w:rPr>
        <w:t>or upon the application of any party affected, correct, rescind, or vary any judgment or order—</w:t>
      </w:r>
    </w:p>
    <w:p w:rsidR="00BF0EB3" w:rsidRPr="00BF0EB3" w:rsidRDefault="00BF0EB3" w:rsidP="00BF0EB3">
      <w:pPr>
        <w:autoSpaceDE w:val="0"/>
        <w:autoSpaceDN w:val="0"/>
        <w:adjustRightInd w:val="0"/>
        <w:spacing w:after="0" w:line="276" w:lineRule="auto"/>
        <w:ind w:left="720"/>
        <w:jc w:val="both"/>
        <w:rPr>
          <w:rFonts w:ascii="Times New Roman" w:hAnsi="Times New Roman" w:cs="Times New Roman"/>
        </w:rPr>
      </w:pPr>
      <w:r w:rsidRPr="00BF0EB3">
        <w:rPr>
          <w:rFonts w:ascii="Times New Roman" w:hAnsi="Times New Roman" w:cs="Times New Roman"/>
        </w:rPr>
        <w:t>(</w:t>
      </w:r>
      <w:r w:rsidRPr="00BF0EB3">
        <w:rPr>
          <w:rFonts w:ascii="Times New Roman" w:hAnsi="Times New Roman" w:cs="Times New Roman"/>
          <w:i/>
          <w:iCs/>
        </w:rPr>
        <w:t>a</w:t>
      </w:r>
      <w:r w:rsidRPr="00BF0EB3">
        <w:rPr>
          <w:rFonts w:ascii="Times New Roman" w:hAnsi="Times New Roman" w:cs="Times New Roman"/>
        </w:rPr>
        <w:t xml:space="preserve">) </w:t>
      </w:r>
      <w:proofErr w:type="gramStart"/>
      <w:r w:rsidRPr="00BF0EB3">
        <w:rPr>
          <w:rFonts w:ascii="Times New Roman" w:hAnsi="Times New Roman" w:cs="Times New Roman"/>
        </w:rPr>
        <w:t>that</w:t>
      </w:r>
      <w:proofErr w:type="gramEnd"/>
      <w:r w:rsidRPr="00BF0EB3">
        <w:rPr>
          <w:rFonts w:ascii="Times New Roman" w:hAnsi="Times New Roman" w:cs="Times New Roman"/>
        </w:rPr>
        <w:t xml:space="preserve"> was erroneously sought or erroneously granted in the absence of any party affected thereby; or</w:t>
      </w:r>
    </w:p>
    <w:p w:rsidR="00BF0EB3" w:rsidRPr="00BF0EB3" w:rsidRDefault="00BF0EB3" w:rsidP="00BF0EB3">
      <w:pPr>
        <w:autoSpaceDE w:val="0"/>
        <w:autoSpaceDN w:val="0"/>
        <w:adjustRightInd w:val="0"/>
        <w:spacing w:after="0" w:line="276" w:lineRule="auto"/>
        <w:ind w:left="720"/>
        <w:jc w:val="both"/>
        <w:rPr>
          <w:rFonts w:ascii="Times New Roman" w:hAnsi="Times New Roman" w:cs="Times New Roman"/>
        </w:rPr>
      </w:pPr>
      <w:r w:rsidRPr="00BF0EB3">
        <w:rPr>
          <w:rFonts w:ascii="Times New Roman" w:hAnsi="Times New Roman" w:cs="Times New Roman"/>
        </w:rPr>
        <w:t>(</w:t>
      </w:r>
      <w:r w:rsidRPr="00BF0EB3">
        <w:rPr>
          <w:rFonts w:ascii="Times New Roman" w:hAnsi="Times New Roman" w:cs="Times New Roman"/>
          <w:i/>
          <w:iCs/>
        </w:rPr>
        <w:t>b</w:t>
      </w:r>
      <w:r w:rsidRPr="00BF0EB3">
        <w:rPr>
          <w:rFonts w:ascii="Times New Roman" w:hAnsi="Times New Roman" w:cs="Times New Roman"/>
        </w:rPr>
        <w:t xml:space="preserve">) </w:t>
      </w:r>
      <w:proofErr w:type="gramStart"/>
      <w:r w:rsidRPr="00BF0EB3">
        <w:rPr>
          <w:rFonts w:ascii="Times New Roman" w:hAnsi="Times New Roman" w:cs="Times New Roman"/>
        </w:rPr>
        <w:t>in</w:t>
      </w:r>
      <w:proofErr w:type="gramEnd"/>
      <w:r w:rsidRPr="00BF0EB3">
        <w:rPr>
          <w:rFonts w:ascii="Times New Roman" w:hAnsi="Times New Roman" w:cs="Times New Roman"/>
        </w:rPr>
        <w:t xml:space="preserve"> which there is an ambiguity or a patent error or omission, but only to the extent of such ambiguity, error or omission; or</w:t>
      </w:r>
    </w:p>
    <w:p w:rsidR="00BF0EB3" w:rsidRPr="00BF0EB3" w:rsidRDefault="00BF0EB3" w:rsidP="00BF0EB3">
      <w:pPr>
        <w:autoSpaceDE w:val="0"/>
        <w:autoSpaceDN w:val="0"/>
        <w:adjustRightInd w:val="0"/>
        <w:spacing w:after="0" w:line="276" w:lineRule="auto"/>
        <w:ind w:firstLine="720"/>
        <w:jc w:val="both"/>
        <w:rPr>
          <w:rFonts w:ascii="Times New Roman" w:hAnsi="Times New Roman" w:cs="Times New Roman"/>
        </w:rPr>
      </w:pPr>
      <w:r w:rsidRPr="00BF0EB3">
        <w:rPr>
          <w:rFonts w:ascii="Times New Roman" w:hAnsi="Times New Roman" w:cs="Times New Roman"/>
        </w:rPr>
        <w:t>(</w:t>
      </w:r>
      <w:r w:rsidRPr="00BF0EB3">
        <w:rPr>
          <w:rFonts w:ascii="Times New Roman" w:hAnsi="Times New Roman" w:cs="Times New Roman"/>
          <w:i/>
          <w:iCs/>
        </w:rPr>
        <w:t>c</w:t>
      </w:r>
      <w:r w:rsidRPr="00BF0EB3">
        <w:rPr>
          <w:rFonts w:ascii="Times New Roman" w:hAnsi="Times New Roman" w:cs="Times New Roman"/>
        </w:rPr>
        <w:t xml:space="preserve">) </w:t>
      </w:r>
      <w:proofErr w:type="gramStart"/>
      <w:r w:rsidRPr="00BF0EB3">
        <w:rPr>
          <w:rFonts w:ascii="Times New Roman" w:hAnsi="Times New Roman" w:cs="Times New Roman"/>
        </w:rPr>
        <w:t>that</w:t>
      </w:r>
      <w:proofErr w:type="gramEnd"/>
      <w:r w:rsidRPr="00BF0EB3">
        <w:rPr>
          <w:rFonts w:ascii="Times New Roman" w:hAnsi="Times New Roman" w:cs="Times New Roman"/>
        </w:rPr>
        <w:t xml:space="preserve"> was granted as the result of a mistake common to the parties.</w:t>
      </w:r>
    </w:p>
    <w:p w:rsidR="00BF0EB3" w:rsidRDefault="00BF0EB3" w:rsidP="00BF0EB3">
      <w:pPr>
        <w:autoSpaceDE w:val="0"/>
        <w:autoSpaceDN w:val="0"/>
        <w:adjustRightInd w:val="0"/>
        <w:spacing w:after="0" w:line="276" w:lineRule="auto"/>
        <w:ind w:left="720"/>
        <w:jc w:val="both"/>
        <w:rPr>
          <w:rFonts w:ascii="Times New Roman" w:hAnsi="Times New Roman" w:cs="Times New Roman"/>
        </w:rPr>
      </w:pPr>
      <w:r w:rsidRPr="00BF0EB3">
        <w:rPr>
          <w:rFonts w:ascii="Times New Roman" w:hAnsi="Times New Roman" w:cs="Times New Roman"/>
        </w:rPr>
        <w:t>(2) The court or a judge shall not make any order correcting, rescinding or varying a judgment or order unless satisfied that all parties whose interests may be affected have had notice of the order proposed.</w:t>
      </w:r>
    </w:p>
    <w:p w:rsidR="009521AA" w:rsidRDefault="009521AA" w:rsidP="009521AA">
      <w:pPr>
        <w:autoSpaceDE w:val="0"/>
        <w:autoSpaceDN w:val="0"/>
        <w:adjustRightInd w:val="0"/>
        <w:spacing w:after="0" w:line="276" w:lineRule="auto"/>
        <w:jc w:val="both"/>
        <w:rPr>
          <w:rFonts w:ascii="Times New Roman" w:hAnsi="Times New Roman" w:cs="Times New Roman"/>
        </w:rPr>
      </w:pPr>
    </w:p>
    <w:p w:rsidR="009521AA" w:rsidRDefault="00472B2D" w:rsidP="009521A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w:t>
      </w:r>
      <w:r w:rsidR="009521AA" w:rsidRPr="009521AA">
        <w:rPr>
          <w:rFonts w:ascii="Times New Roman" w:hAnsi="Times New Roman" w:cs="Times New Roman"/>
          <w:sz w:val="24"/>
          <w:szCs w:val="24"/>
        </w:rPr>
        <w:t xml:space="preserve"> application is anchored on the </w:t>
      </w:r>
      <w:r>
        <w:rPr>
          <w:rFonts w:ascii="Times New Roman" w:hAnsi="Times New Roman" w:cs="Times New Roman"/>
          <w:sz w:val="24"/>
          <w:szCs w:val="24"/>
        </w:rPr>
        <w:t xml:space="preserve">basis that the </w:t>
      </w:r>
      <w:r w:rsidR="009521AA" w:rsidRPr="009521AA">
        <w:rPr>
          <w:rFonts w:ascii="Times New Roman" w:hAnsi="Times New Roman" w:cs="Times New Roman"/>
          <w:sz w:val="24"/>
          <w:szCs w:val="24"/>
        </w:rPr>
        <w:t>judgment sought to be corrected was granted as the result of a mistake common to the parties.</w:t>
      </w:r>
      <w:r w:rsidR="009521AA">
        <w:rPr>
          <w:rFonts w:ascii="Times New Roman" w:hAnsi="Times New Roman" w:cs="Times New Roman"/>
          <w:sz w:val="24"/>
          <w:szCs w:val="24"/>
        </w:rPr>
        <w:t xml:space="preserve"> When a correction is sought on the ground of a mistake common to the parties two broad requirements must be satisfied: first there must have been what would in the law of contract be termed a common mistake, which occurs when both parties are of one mind and share the same mistake (usually a mistake of fact) and, secondly, there must be a causative link between the mistake </w:t>
      </w:r>
      <w:r w:rsidR="00CA532B">
        <w:rPr>
          <w:rFonts w:ascii="Times New Roman" w:hAnsi="Times New Roman" w:cs="Times New Roman"/>
          <w:sz w:val="24"/>
          <w:szCs w:val="24"/>
        </w:rPr>
        <w:t>and the granting of the order or</w:t>
      </w:r>
      <w:r w:rsidR="009521AA">
        <w:rPr>
          <w:rFonts w:ascii="Times New Roman" w:hAnsi="Times New Roman" w:cs="Times New Roman"/>
          <w:sz w:val="24"/>
          <w:szCs w:val="24"/>
        </w:rPr>
        <w:t xml:space="preserve"> judgment. </w:t>
      </w:r>
      <w:r w:rsidR="00CA532B">
        <w:rPr>
          <w:rFonts w:ascii="Times New Roman" w:hAnsi="Times New Roman" w:cs="Times New Roman"/>
          <w:sz w:val="24"/>
          <w:szCs w:val="24"/>
        </w:rPr>
        <w:t xml:space="preserve">This requires that the mistake relate to and be based on something relevant to the question to be decided by the court at the time. These requirements will be satisfied when evidence that becomes available to the parties after judgment shows that the factual material on which the court’s decision was based was, contrary to the parties’ assumption, incorrect. </w:t>
      </w:r>
    </w:p>
    <w:p w:rsidR="001B350A" w:rsidRDefault="001B350A" w:rsidP="009521A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its founding affidavit, applicants makes a number of contentions, in particular it avers that: </w:t>
      </w:r>
    </w:p>
    <w:p w:rsidR="001B350A" w:rsidRDefault="001B350A" w:rsidP="001B350A">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Bearing the aforesaid in mid, applicant sought to execute the court’s judgment under case number HC 2031/15 but realised that there was an anomaly in the citation of the third respondent cited as Ministry instead of Minister. </w:t>
      </w:r>
    </w:p>
    <w:p w:rsidR="00297C8C" w:rsidRDefault="001B350A" w:rsidP="001B350A">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face of the application filed by applicant under case number HC 2031/15 cited the third respondent as “Ministry of Mines and Mining Development N.O.” but however, in the founding affidavit on paragraph 4, he was described as, “Minister of Mines.”</w:t>
      </w:r>
    </w:p>
    <w:p w:rsidR="001B350A" w:rsidRDefault="001B350A" w:rsidP="001B350A">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am advised that in terms of the State Liabilities Act, it is improper to cite a ministry. One </w:t>
      </w:r>
      <w:r w:rsidR="000C4473">
        <w:rPr>
          <w:rFonts w:ascii="Times New Roman" w:hAnsi="Times New Roman" w:cs="Times New Roman"/>
          <w:sz w:val="24"/>
          <w:szCs w:val="24"/>
        </w:rPr>
        <w:t>must cite the Minister</w:t>
      </w:r>
      <w:r>
        <w:rPr>
          <w:rFonts w:ascii="Times New Roman" w:hAnsi="Times New Roman" w:cs="Times New Roman"/>
          <w:sz w:val="24"/>
          <w:szCs w:val="24"/>
        </w:rPr>
        <w:t xml:space="preserve">. A perusal of the court application filed under case number HC 2031/15 reveals that there was a mistake </w:t>
      </w:r>
      <w:r w:rsidR="005A55E8">
        <w:rPr>
          <w:rFonts w:ascii="Times New Roman" w:hAnsi="Times New Roman" w:cs="Times New Roman"/>
          <w:sz w:val="24"/>
          <w:szCs w:val="24"/>
        </w:rPr>
        <w:t xml:space="preserve">on the face of the application where it ought to have read Minister of Mines and Mining Development N.O. instead of Ministry of Mines and Mining Development N.O. </w:t>
      </w:r>
    </w:p>
    <w:p w:rsidR="005A55E8" w:rsidRDefault="005A55E8" w:rsidP="001B350A">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 that as it may, this mistake was never picked up by any of the parties. All parties were working under the impression that third respondent referred therein was the Minister of Mines and Mining Development N.O. </w:t>
      </w:r>
    </w:p>
    <w:p w:rsidR="005A55E8" w:rsidRDefault="005A55E8" w:rsidP="001B350A">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 a result of the anomaly highlighted above and also the need to enforce the judgment in case number HC 2031/15, it has become necessary to file this application. </w:t>
      </w:r>
    </w:p>
    <w:p w:rsidR="005A55E8" w:rsidRDefault="005A55E8" w:rsidP="001B350A">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am advised that in terms of rule 449 of this court’s rules, this court is clothed with jurisdiction to correct or vary its own orders if such order was granted as a result of a mistake common to both parties. </w:t>
      </w:r>
    </w:p>
    <w:p w:rsidR="005A55E8" w:rsidRDefault="005A55E8" w:rsidP="001B350A">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verily believe that this mistake as is apparent on the face of the application under case number HC 2031/15 was common to both parties. </w:t>
      </w:r>
    </w:p>
    <w:p w:rsidR="005A55E8" w:rsidRPr="001B350A" w:rsidRDefault="005A55E8" w:rsidP="00E77087">
      <w:pPr>
        <w:pStyle w:val="ListParagraph"/>
        <w:autoSpaceDE w:val="0"/>
        <w:autoSpaceDN w:val="0"/>
        <w:adjustRightInd w:val="0"/>
        <w:spacing w:after="0" w:line="360" w:lineRule="auto"/>
        <w:ind w:left="1080"/>
        <w:jc w:val="both"/>
        <w:rPr>
          <w:rFonts w:ascii="Times New Roman" w:hAnsi="Times New Roman" w:cs="Times New Roman"/>
          <w:sz w:val="24"/>
          <w:szCs w:val="24"/>
        </w:rPr>
      </w:pPr>
    </w:p>
    <w:p w:rsidR="000C4473" w:rsidRDefault="00472B2D" w:rsidP="004F563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contends that in case HC 2031/15 the </w:t>
      </w:r>
      <w:r w:rsidR="000C4473">
        <w:rPr>
          <w:rFonts w:ascii="Times New Roman" w:hAnsi="Times New Roman" w:cs="Times New Roman"/>
          <w:sz w:val="24"/>
          <w:szCs w:val="24"/>
        </w:rPr>
        <w:t xml:space="preserve">citation of the Ministry, and not the Minister was a mistake common to all the parties. The outside cover cites the third respondent as the Ministry of Mines and Mining Development N.O., the court application itself cites third respondent as Ministry of Mines and Mining Development N.O. In the founding affidavit, it is averred that the third respondent is the Minister of Mines. </w:t>
      </w:r>
    </w:p>
    <w:p w:rsidR="0002312D" w:rsidRDefault="00472B2D" w:rsidP="004F563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argued that</w:t>
      </w:r>
      <w:r w:rsidR="0002312D">
        <w:rPr>
          <w:rFonts w:ascii="Times New Roman" w:hAnsi="Times New Roman" w:cs="Times New Roman"/>
          <w:sz w:val="24"/>
          <w:szCs w:val="24"/>
        </w:rPr>
        <w:t xml:space="preserve"> the citation of the Ministry was a typographical error on the face of the application. It anchors it</w:t>
      </w:r>
      <w:r w:rsidR="00483C30">
        <w:rPr>
          <w:rFonts w:ascii="Times New Roman" w:hAnsi="Times New Roman" w:cs="Times New Roman"/>
          <w:sz w:val="24"/>
          <w:szCs w:val="24"/>
        </w:rPr>
        <w:t>s</w:t>
      </w:r>
      <w:r w:rsidR="0002312D">
        <w:rPr>
          <w:rFonts w:ascii="Times New Roman" w:hAnsi="Times New Roman" w:cs="Times New Roman"/>
          <w:sz w:val="24"/>
          <w:szCs w:val="24"/>
        </w:rPr>
        <w:t xml:space="preserve"> argument on the fact that the founding affidavit in case number HC2031/15 refers to the Minister, and not the Ministry. It is argue</w:t>
      </w:r>
      <w:r>
        <w:rPr>
          <w:rFonts w:ascii="Times New Roman" w:hAnsi="Times New Roman" w:cs="Times New Roman"/>
          <w:sz w:val="24"/>
          <w:szCs w:val="24"/>
        </w:rPr>
        <w:t>d that what matters is</w:t>
      </w:r>
      <w:r w:rsidR="0002312D">
        <w:rPr>
          <w:rFonts w:ascii="Times New Roman" w:hAnsi="Times New Roman" w:cs="Times New Roman"/>
          <w:sz w:val="24"/>
          <w:szCs w:val="24"/>
        </w:rPr>
        <w:t xml:space="preserve"> what is in the </w:t>
      </w:r>
      <w:r>
        <w:rPr>
          <w:rFonts w:ascii="Times New Roman" w:hAnsi="Times New Roman" w:cs="Times New Roman"/>
          <w:sz w:val="24"/>
          <w:szCs w:val="24"/>
        </w:rPr>
        <w:t xml:space="preserve">founding </w:t>
      </w:r>
      <w:r w:rsidR="0002312D">
        <w:rPr>
          <w:rFonts w:ascii="Times New Roman" w:hAnsi="Times New Roman" w:cs="Times New Roman"/>
          <w:sz w:val="24"/>
          <w:szCs w:val="24"/>
        </w:rPr>
        <w:t xml:space="preserve">affidavit, not in the court application </w:t>
      </w:r>
      <w:r w:rsidR="00F522C8">
        <w:rPr>
          <w:rFonts w:ascii="Times New Roman" w:hAnsi="Times New Roman" w:cs="Times New Roman"/>
          <w:sz w:val="24"/>
          <w:szCs w:val="24"/>
        </w:rPr>
        <w:t>f</w:t>
      </w:r>
      <w:r w:rsidR="0002312D">
        <w:rPr>
          <w:rFonts w:ascii="Times New Roman" w:hAnsi="Times New Roman" w:cs="Times New Roman"/>
          <w:sz w:val="24"/>
          <w:szCs w:val="24"/>
        </w:rPr>
        <w:t>orm</w:t>
      </w:r>
      <w:r w:rsidR="002940A5">
        <w:rPr>
          <w:rFonts w:ascii="Times New Roman" w:hAnsi="Times New Roman" w:cs="Times New Roman"/>
          <w:sz w:val="24"/>
          <w:szCs w:val="24"/>
        </w:rPr>
        <w:t xml:space="preserve"> 29</w:t>
      </w:r>
      <w:r w:rsidR="0002312D">
        <w:rPr>
          <w:rFonts w:ascii="Times New Roman" w:hAnsi="Times New Roman" w:cs="Times New Roman"/>
          <w:sz w:val="24"/>
          <w:szCs w:val="24"/>
        </w:rPr>
        <w:t xml:space="preserve">. Applicant contends that an application stands or falls on its founding affidavit. </w:t>
      </w:r>
      <w:r w:rsidR="00D0281C">
        <w:rPr>
          <w:rFonts w:ascii="Times New Roman" w:hAnsi="Times New Roman" w:cs="Times New Roman"/>
          <w:sz w:val="24"/>
          <w:szCs w:val="24"/>
        </w:rPr>
        <w:t>So it is the affidavit that</w:t>
      </w:r>
      <w:r w:rsidR="006666CD">
        <w:rPr>
          <w:rFonts w:ascii="Times New Roman" w:hAnsi="Times New Roman" w:cs="Times New Roman"/>
          <w:sz w:val="24"/>
          <w:szCs w:val="24"/>
        </w:rPr>
        <w:t xml:space="preserve"> matters. It is </w:t>
      </w:r>
      <w:r w:rsidR="006666CD">
        <w:rPr>
          <w:rFonts w:ascii="Times New Roman" w:hAnsi="Times New Roman" w:cs="Times New Roman"/>
          <w:sz w:val="24"/>
          <w:szCs w:val="24"/>
        </w:rPr>
        <w:lastRenderedPageBreak/>
        <w:t>argued that the reference of the Ministry and not the Minister</w:t>
      </w:r>
      <w:r w:rsidR="00D0281C">
        <w:rPr>
          <w:rFonts w:ascii="Times New Roman" w:hAnsi="Times New Roman" w:cs="Times New Roman"/>
          <w:sz w:val="24"/>
          <w:szCs w:val="24"/>
        </w:rPr>
        <w:t xml:space="preserve"> is an error that should be corrected in terms of rule 449 of the rules. </w:t>
      </w:r>
    </w:p>
    <w:p w:rsidR="00D0281C" w:rsidRDefault="00D0281C" w:rsidP="004F563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 respondent contends that</w:t>
      </w:r>
      <w:r w:rsidR="006666CD">
        <w:rPr>
          <w:rFonts w:ascii="Times New Roman" w:hAnsi="Times New Roman" w:cs="Times New Roman"/>
          <w:sz w:val="24"/>
          <w:szCs w:val="24"/>
        </w:rPr>
        <w:t xml:space="preserve"> what applicants </w:t>
      </w:r>
      <w:proofErr w:type="gramStart"/>
      <w:r w:rsidR="006666CD">
        <w:rPr>
          <w:rFonts w:ascii="Times New Roman" w:hAnsi="Times New Roman" w:cs="Times New Roman"/>
          <w:sz w:val="24"/>
          <w:szCs w:val="24"/>
        </w:rPr>
        <w:t>calls</w:t>
      </w:r>
      <w:proofErr w:type="gramEnd"/>
      <w:r w:rsidR="006666CD">
        <w:rPr>
          <w:rFonts w:ascii="Times New Roman" w:hAnsi="Times New Roman" w:cs="Times New Roman"/>
          <w:sz w:val="24"/>
          <w:szCs w:val="24"/>
        </w:rPr>
        <w:t xml:space="preserve"> an error, </w:t>
      </w:r>
      <w:r>
        <w:rPr>
          <w:rFonts w:ascii="Times New Roman" w:hAnsi="Times New Roman" w:cs="Times New Roman"/>
          <w:sz w:val="24"/>
          <w:szCs w:val="24"/>
        </w:rPr>
        <w:t xml:space="preserve">is not </w:t>
      </w:r>
      <w:r w:rsidR="006666CD">
        <w:rPr>
          <w:rFonts w:ascii="Times New Roman" w:hAnsi="Times New Roman" w:cs="Times New Roman"/>
          <w:sz w:val="24"/>
          <w:szCs w:val="24"/>
        </w:rPr>
        <w:t>an error that</w:t>
      </w:r>
      <w:r>
        <w:rPr>
          <w:rFonts w:ascii="Times New Roman" w:hAnsi="Times New Roman" w:cs="Times New Roman"/>
          <w:sz w:val="24"/>
          <w:szCs w:val="24"/>
        </w:rPr>
        <w:t xml:space="preserve"> is e</w:t>
      </w:r>
      <w:r w:rsidR="006666CD">
        <w:rPr>
          <w:rFonts w:ascii="Times New Roman" w:hAnsi="Times New Roman" w:cs="Times New Roman"/>
          <w:sz w:val="24"/>
          <w:szCs w:val="24"/>
        </w:rPr>
        <w:t>nvisaged by rule 449. It is argued that</w:t>
      </w:r>
      <w:r>
        <w:rPr>
          <w:rFonts w:ascii="Times New Roman" w:hAnsi="Times New Roman" w:cs="Times New Roman"/>
          <w:sz w:val="24"/>
          <w:szCs w:val="24"/>
        </w:rPr>
        <w:t xml:space="preserve"> what applicant seeks is not a correction but a substitution of a party. It is argued that rule 449 cannot be invoked in </w:t>
      </w:r>
      <w:r w:rsidR="00B84468">
        <w:rPr>
          <w:rFonts w:ascii="Times New Roman" w:hAnsi="Times New Roman" w:cs="Times New Roman"/>
          <w:sz w:val="24"/>
          <w:szCs w:val="24"/>
        </w:rPr>
        <w:t xml:space="preserve">instances where a party out of its own design and failure to follow strict provisions of the law </w:t>
      </w:r>
      <w:r w:rsidR="006666CD">
        <w:rPr>
          <w:rFonts w:ascii="Times New Roman" w:hAnsi="Times New Roman" w:cs="Times New Roman"/>
          <w:sz w:val="24"/>
          <w:szCs w:val="24"/>
        </w:rPr>
        <w:t xml:space="preserve">seeks to </w:t>
      </w:r>
      <w:r w:rsidR="00B84468">
        <w:rPr>
          <w:rFonts w:ascii="Times New Roman" w:hAnsi="Times New Roman" w:cs="Times New Roman"/>
          <w:sz w:val="24"/>
          <w:szCs w:val="24"/>
        </w:rPr>
        <w:t>introduce a totally new party to concluded proceedings. It is argued that rule 449 can only be properly construed to correct an error involving only the parties that were before court w</w:t>
      </w:r>
      <w:r w:rsidR="006666CD">
        <w:rPr>
          <w:rFonts w:ascii="Times New Roman" w:hAnsi="Times New Roman" w:cs="Times New Roman"/>
          <w:sz w:val="24"/>
          <w:szCs w:val="24"/>
        </w:rPr>
        <w:t>hen the judgment was given</w:t>
      </w:r>
      <w:r w:rsidR="00B84468">
        <w:rPr>
          <w:rFonts w:ascii="Times New Roman" w:hAnsi="Times New Roman" w:cs="Times New Roman"/>
          <w:sz w:val="24"/>
          <w:szCs w:val="24"/>
        </w:rPr>
        <w:t>. Not to introdu</w:t>
      </w:r>
      <w:r w:rsidR="006666CD">
        <w:rPr>
          <w:rFonts w:ascii="Times New Roman" w:hAnsi="Times New Roman" w:cs="Times New Roman"/>
          <w:sz w:val="24"/>
          <w:szCs w:val="24"/>
        </w:rPr>
        <w:t>ce a new party to concluded proceedings</w:t>
      </w:r>
      <w:r w:rsidR="00B84468">
        <w:rPr>
          <w:rFonts w:ascii="Times New Roman" w:hAnsi="Times New Roman" w:cs="Times New Roman"/>
          <w:sz w:val="24"/>
          <w:szCs w:val="24"/>
        </w:rPr>
        <w:t xml:space="preserve">. </w:t>
      </w:r>
    </w:p>
    <w:p w:rsidR="00B84468" w:rsidRDefault="00B84468" w:rsidP="004F563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Furthermore, third respondent argues that the citation of the Ministry, which is not a </w:t>
      </w:r>
      <w:r w:rsidRPr="00B84468">
        <w:rPr>
          <w:rFonts w:ascii="Times New Roman" w:hAnsi="Times New Roman" w:cs="Times New Roman"/>
          <w:i/>
          <w:sz w:val="24"/>
          <w:szCs w:val="24"/>
        </w:rPr>
        <w:t>legal persona,</w:t>
      </w:r>
      <w:r>
        <w:rPr>
          <w:rFonts w:ascii="Times New Roman" w:hAnsi="Times New Roman" w:cs="Times New Roman"/>
          <w:sz w:val="24"/>
          <w:szCs w:val="24"/>
        </w:rPr>
        <w:t xml:space="preserve"> instead of the Minister who made the decision </w:t>
      </w:r>
      <w:r w:rsidR="005367C2">
        <w:rPr>
          <w:rFonts w:ascii="Times New Roman" w:hAnsi="Times New Roman" w:cs="Times New Roman"/>
          <w:sz w:val="24"/>
          <w:szCs w:val="24"/>
        </w:rPr>
        <w:t xml:space="preserve">was fatal to the application. It is said all applicant attempts to do is to smuggle in a party to completed proceedings, without a affording that party, i.e. the Minister an opportunity to be heard. It is argued that the relief contemplated by rule 449 is the one which is procedural, meant to restore the parties to the position they were prior to an order being erroneously granted. It said the Minister was never a party to the proceedings, </w:t>
      </w:r>
      <w:r w:rsidR="002940A5">
        <w:rPr>
          <w:rFonts w:ascii="Times New Roman" w:hAnsi="Times New Roman" w:cs="Times New Roman"/>
          <w:sz w:val="24"/>
          <w:szCs w:val="24"/>
        </w:rPr>
        <w:t xml:space="preserve">and </w:t>
      </w:r>
      <w:r w:rsidR="005367C2">
        <w:rPr>
          <w:rFonts w:ascii="Times New Roman" w:hAnsi="Times New Roman" w:cs="Times New Roman"/>
          <w:sz w:val="24"/>
          <w:szCs w:val="24"/>
        </w:rPr>
        <w:t xml:space="preserve">cannot be a party now when the matter has been concluded. It is contended that this application was filed after a realisation by applicant that it could not execute against a non-existent party, hence the need to substitute the Minister. </w:t>
      </w:r>
    </w:p>
    <w:p w:rsidR="00483C30" w:rsidRDefault="00483C30" w:rsidP="00483C30">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cs="Times New Roman"/>
          <w:sz w:val="24"/>
          <w:szCs w:val="24"/>
        </w:rPr>
        <w:t xml:space="preserve">Is the Ministry of Mines and Mining Development a </w:t>
      </w:r>
      <w:r w:rsidRPr="00F162B6">
        <w:rPr>
          <w:rFonts w:ascii="Times New Roman" w:hAnsi="Times New Roman" w:cs="Times New Roman"/>
          <w:i/>
          <w:sz w:val="24"/>
          <w:szCs w:val="24"/>
        </w:rPr>
        <w:t>legal persona</w:t>
      </w:r>
      <w:r>
        <w:rPr>
          <w:rFonts w:ascii="Times New Roman" w:hAnsi="Times New Roman" w:cs="Times New Roman"/>
          <w:sz w:val="24"/>
          <w:szCs w:val="24"/>
        </w:rPr>
        <w:t xml:space="preserve">? </w:t>
      </w:r>
      <w:r w:rsidR="00F162B6" w:rsidRPr="004F563F">
        <w:rPr>
          <w:rFonts w:ascii="Times New Roman" w:hAnsi="Times New Roman" w:cs="Times New Roman"/>
          <w:bCs/>
          <w:sz w:val="24"/>
          <w:szCs w:val="24"/>
        </w:rPr>
        <w:t xml:space="preserve">In terms of section 3 of the </w:t>
      </w:r>
      <w:r w:rsidR="00F162B6" w:rsidRPr="004F563F">
        <w:rPr>
          <w:rFonts w:ascii="Times New Roman" w:hAnsi="Times New Roman" w:cs="Times New Roman"/>
          <w:sz w:val="24"/>
          <w:szCs w:val="24"/>
        </w:rPr>
        <w:t>State Liabilities Act [</w:t>
      </w:r>
      <w:r w:rsidR="00F162B6" w:rsidRPr="004F563F">
        <w:rPr>
          <w:rFonts w:ascii="Times New Roman" w:hAnsi="Times New Roman" w:cs="Times New Roman"/>
          <w:i/>
          <w:iCs/>
          <w:sz w:val="24"/>
          <w:szCs w:val="24"/>
        </w:rPr>
        <w:t>Chapter 8:14</w:t>
      </w:r>
      <w:r w:rsidR="00F162B6" w:rsidRPr="004F563F">
        <w:rPr>
          <w:rFonts w:ascii="Times New Roman" w:hAnsi="Times New Roman" w:cs="Times New Roman"/>
          <w:sz w:val="24"/>
          <w:szCs w:val="24"/>
        </w:rPr>
        <w:t xml:space="preserve">] in any action or other proceedings which are instituted by virtue of section </w:t>
      </w:r>
      <w:r w:rsidR="00F162B6" w:rsidRPr="002940A5">
        <w:rPr>
          <w:rFonts w:ascii="Times New Roman" w:hAnsi="Times New Roman" w:cs="Times New Roman"/>
          <w:iCs/>
          <w:sz w:val="24"/>
          <w:szCs w:val="24"/>
        </w:rPr>
        <w:t>two</w:t>
      </w:r>
      <w:r w:rsidR="00F162B6" w:rsidRPr="004F563F">
        <w:rPr>
          <w:rFonts w:ascii="Times New Roman" w:hAnsi="Times New Roman" w:cs="Times New Roman"/>
          <w:sz w:val="24"/>
          <w:szCs w:val="24"/>
        </w:rPr>
        <w:t>, the plaintiff, the applicant or</w:t>
      </w:r>
      <w:r w:rsidR="00D311AE">
        <w:rPr>
          <w:rFonts w:ascii="Times New Roman" w:hAnsi="Times New Roman" w:cs="Times New Roman"/>
          <w:sz w:val="24"/>
          <w:szCs w:val="24"/>
        </w:rPr>
        <w:t xml:space="preserve"> </w:t>
      </w:r>
      <w:r w:rsidR="00F162B6" w:rsidRPr="004F563F">
        <w:rPr>
          <w:rFonts w:ascii="Times New Roman" w:hAnsi="Times New Roman" w:cs="Times New Roman"/>
          <w:sz w:val="24"/>
          <w:szCs w:val="24"/>
        </w:rPr>
        <w:t>the petitioner, as the case may be, may make the Minister to whom the headship of the Ministry or department</w:t>
      </w:r>
      <w:r w:rsidR="00D311AE">
        <w:rPr>
          <w:rFonts w:ascii="Times New Roman" w:hAnsi="Times New Roman" w:cs="Times New Roman"/>
          <w:sz w:val="24"/>
          <w:szCs w:val="24"/>
        </w:rPr>
        <w:t xml:space="preserve"> </w:t>
      </w:r>
      <w:r w:rsidR="00F162B6" w:rsidRPr="004F563F">
        <w:rPr>
          <w:rFonts w:ascii="Times New Roman" w:hAnsi="Times New Roman" w:cs="Times New Roman"/>
          <w:sz w:val="24"/>
          <w:szCs w:val="24"/>
        </w:rPr>
        <w:t xml:space="preserve">concerned has been assigned </w:t>
      </w:r>
      <w:r w:rsidR="00F162B6">
        <w:rPr>
          <w:rFonts w:ascii="Times New Roman" w:hAnsi="Times New Roman" w:cs="Times New Roman"/>
          <w:sz w:val="24"/>
          <w:szCs w:val="24"/>
        </w:rPr>
        <w:t xml:space="preserve">nominal defendant or respondent. Applicant </w:t>
      </w:r>
      <w:r>
        <w:rPr>
          <w:rFonts w:ascii="Times New Roman" w:hAnsi="Times New Roman" w:cs="Times New Roman"/>
          <w:sz w:val="24"/>
          <w:szCs w:val="24"/>
        </w:rPr>
        <w:t>concedes</w:t>
      </w:r>
      <w:r w:rsidR="006666CD">
        <w:rPr>
          <w:rFonts w:ascii="Times New Roman" w:hAnsi="Times New Roman" w:cs="Times New Roman"/>
          <w:sz w:val="24"/>
          <w:szCs w:val="24"/>
        </w:rPr>
        <w:t xml:space="preserve"> that in terms of this provision</w:t>
      </w:r>
      <w:r w:rsidR="00F162B6">
        <w:rPr>
          <w:rFonts w:ascii="Times New Roman" w:hAnsi="Times New Roman" w:cs="Times New Roman"/>
          <w:sz w:val="24"/>
          <w:szCs w:val="24"/>
        </w:rPr>
        <w:t xml:space="preserve">, it is incorrect to cite the Ministry, the proper third respondent in case HC 2031/15 must have been the Minister, not the Ministry. </w:t>
      </w:r>
      <w:r>
        <w:rPr>
          <w:rFonts w:ascii="Times New Roman" w:hAnsi="Times New Roman" w:cs="Times New Roman"/>
          <w:sz w:val="24"/>
          <w:szCs w:val="24"/>
        </w:rPr>
        <w:t>The Ministry is</w:t>
      </w:r>
      <w:r w:rsidRPr="00D70BDF">
        <w:rPr>
          <w:rFonts w:ascii="Times New Roman" w:hAnsi="Times New Roman"/>
          <w:sz w:val="24"/>
          <w:szCs w:val="24"/>
        </w:rPr>
        <w:t xml:space="preserve"> not a legal </w:t>
      </w:r>
      <w:r w:rsidRPr="00D70BDF">
        <w:rPr>
          <w:rFonts w:ascii="Times New Roman" w:hAnsi="Times New Roman"/>
          <w:i/>
          <w:sz w:val="24"/>
          <w:szCs w:val="24"/>
        </w:rPr>
        <w:t>persona</w:t>
      </w:r>
      <w:r w:rsidRPr="00D70BDF">
        <w:rPr>
          <w:rFonts w:ascii="Times New Roman" w:hAnsi="Times New Roman"/>
          <w:sz w:val="24"/>
          <w:szCs w:val="24"/>
        </w:rPr>
        <w:t>, capable of being sued.</w:t>
      </w:r>
    </w:p>
    <w:p w:rsidR="00483C30" w:rsidRDefault="00483C30" w:rsidP="00483C30">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Applicant argues that </w:t>
      </w:r>
      <w:r w:rsidR="002249BD">
        <w:rPr>
          <w:rFonts w:ascii="Times New Roman" w:hAnsi="Times New Roman"/>
          <w:sz w:val="24"/>
          <w:szCs w:val="24"/>
        </w:rPr>
        <w:t>what is important is that the founding affidavit refers to the Minister and not the Ministry. My view is that this argument does not solve applicant’s problem. The citation of the parties is not to be found in the founding affidavit, but in the application i.e. Form 29.  I</w:t>
      </w:r>
      <w:r w:rsidR="006666CD">
        <w:rPr>
          <w:rFonts w:ascii="Times New Roman" w:hAnsi="Times New Roman"/>
          <w:sz w:val="24"/>
          <w:szCs w:val="24"/>
        </w:rPr>
        <w:t xml:space="preserve"> will use an example</w:t>
      </w:r>
      <w:r w:rsidR="002249BD">
        <w:rPr>
          <w:rFonts w:ascii="Times New Roman" w:hAnsi="Times New Roman"/>
          <w:sz w:val="24"/>
          <w:szCs w:val="24"/>
        </w:rPr>
        <w:t xml:space="preserve"> of a s</w:t>
      </w:r>
      <w:r w:rsidR="006666CD">
        <w:rPr>
          <w:rFonts w:ascii="Times New Roman" w:hAnsi="Times New Roman"/>
          <w:sz w:val="24"/>
          <w:szCs w:val="24"/>
        </w:rPr>
        <w:t>ummons to illustrate this point,</w:t>
      </w:r>
      <w:r w:rsidR="00D311AE">
        <w:rPr>
          <w:rFonts w:ascii="Times New Roman" w:hAnsi="Times New Roman"/>
          <w:sz w:val="24"/>
          <w:szCs w:val="24"/>
        </w:rPr>
        <w:t xml:space="preserve"> </w:t>
      </w:r>
      <w:r w:rsidR="006666CD">
        <w:rPr>
          <w:rFonts w:ascii="Times New Roman" w:hAnsi="Times New Roman"/>
          <w:sz w:val="24"/>
          <w:szCs w:val="24"/>
        </w:rPr>
        <w:t>in a summons t</w:t>
      </w:r>
      <w:r w:rsidR="002249BD">
        <w:rPr>
          <w:rFonts w:ascii="Times New Roman" w:hAnsi="Times New Roman"/>
          <w:sz w:val="24"/>
          <w:szCs w:val="24"/>
        </w:rPr>
        <w:t>he</w:t>
      </w:r>
      <w:r w:rsidR="006666CD">
        <w:rPr>
          <w:rFonts w:ascii="Times New Roman" w:hAnsi="Times New Roman"/>
          <w:sz w:val="24"/>
          <w:szCs w:val="24"/>
        </w:rPr>
        <w:t xml:space="preserve"> identities of the </w:t>
      </w:r>
      <w:r w:rsidR="002249BD">
        <w:rPr>
          <w:rFonts w:ascii="Times New Roman" w:hAnsi="Times New Roman"/>
          <w:sz w:val="24"/>
          <w:szCs w:val="24"/>
        </w:rPr>
        <w:t xml:space="preserve">parties must appear </w:t>
      </w:r>
      <w:r w:rsidR="002249BD" w:rsidRPr="002249BD">
        <w:rPr>
          <w:rFonts w:ascii="Times New Roman" w:hAnsi="Times New Roman"/>
          <w:i/>
          <w:sz w:val="24"/>
          <w:szCs w:val="24"/>
        </w:rPr>
        <w:t>ex facie</w:t>
      </w:r>
      <w:r w:rsidR="002249BD">
        <w:rPr>
          <w:rFonts w:ascii="Times New Roman" w:hAnsi="Times New Roman"/>
          <w:sz w:val="24"/>
          <w:szCs w:val="24"/>
        </w:rPr>
        <w:t xml:space="preserve"> the </w:t>
      </w:r>
      <w:r w:rsidR="006666CD">
        <w:rPr>
          <w:rFonts w:ascii="Times New Roman" w:hAnsi="Times New Roman"/>
          <w:sz w:val="24"/>
          <w:szCs w:val="24"/>
        </w:rPr>
        <w:t>face of the summons.  A</w:t>
      </w:r>
      <w:r w:rsidR="002249BD">
        <w:rPr>
          <w:rFonts w:ascii="Times New Roman" w:hAnsi="Times New Roman"/>
          <w:sz w:val="24"/>
          <w:szCs w:val="24"/>
        </w:rPr>
        <w:t xml:space="preserve"> party cannot </w:t>
      </w:r>
      <w:r w:rsidR="006666CD">
        <w:rPr>
          <w:rFonts w:ascii="Times New Roman" w:hAnsi="Times New Roman"/>
          <w:sz w:val="24"/>
          <w:szCs w:val="24"/>
        </w:rPr>
        <w:t xml:space="preserve">be heard to argue that it </w:t>
      </w:r>
      <w:r w:rsidR="002249BD">
        <w:rPr>
          <w:rFonts w:ascii="Times New Roman" w:hAnsi="Times New Roman"/>
          <w:sz w:val="24"/>
          <w:szCs w:val="24"/>
        </w:rPr>
        <w:t xml:space="preserve">did not cite the correct </w:t>
      </w:r>
      <w:r w:rsidR="002249BD" w:rsidRPr="002249BD">
        <w:rPr>
          <w:rFonts w:ascii="Times New Roman" w:hAnsi="Times New Roman"/>
          <w:i/>
          <w:sz w:val="24"/>
          <w:szCs w:val="24"/>
        </w:rPr>
        <w:t>legal persona</w:t>
      </w:r>
      <w:r w:rsidR="005F4B21">
        <w:rPr>
          <w:rFonts w:ascii="Times New Roman" w:hAnsi="Times New Roman"/>
          <w:sz w:val="24"/>
          <w:szCs w:val="24"/>
        </w:rPr>
        <w:t xml:space="preserve"> on the summons, but</w:t>
      </w:r>
      <w:r w:rsidR="002249BD">
        <w:rPr>
          <w:rFonts w:ascii="Times New Roman" w:hAnsi="Times New Roman"/>
          <w:sz w:val="24"/>
          <w:szCs w:val="24"/>
        </w:rPr>
        <w:t xml:space="preserve"> </w:t>
      </w:r>
      <w:r w:rsidR="002249BD">
        <w:rPr>
          <w:rFonts w:ascii="Times New Roman" w:hAnsi="Times New Roman"/>
          <w:sz w:val="24"/>
          <w:szCs w:val="24"/>
        </w:rPr>
        <w:lastRenderedPageBreak/>
        <w:t>referred it correctly in t</w:t>
      </w:r>
      <w:r w:rsidR="005F4B21">
        <w:rPr>
          <w:rFonts w:ascii="Times New Roman" w:hAnsi="Times New Roman"/>
          <w:sz w:val="24"/>
          <w:szCs w:val="24"/>
        </w:rPr>
        <w:t>he declaration. Such an argument is unattainable and</w:t>
      </w:r>
      <w:r w:rsidR="002249BD">
        <w:rPr>
          <w:rFonts w:ascii="Times New Roman" w:hAnsi="Times New Roman"/>
          <w:sz w:val="24"/>
          <w:szCs w:val="24"/>
        </w:rPr>
        <w:t xml:space="preserve"> cannot avail such a party. </w:t>
      </w:r>
      <w:r w:rsidR="005F4B21">
        <w:rPr>
          <w:rFonts w:ascii="Times New Roman" w:hAnsi="Times New Roman"/>
          <w:sz w:val="24"/>
          <w:szCs w:val="24"/>
        </w:rPr>
        <w:t xml:space="preserve">Like in an application the identities of the parties must appear </w:t>
      </w:r>
      <w:r w:rsidR="005F4B21" w:rsidRPr="005F4B21">
        <w:rPr>
          <w:rFonts w:ascii="Times New Roman" w:hAnsi="Times New Roman"/>
          <w:i/>
          <w:sz w:val="24"/>
          <w:szCs w:val="24"/>
        </w:rPr>
        <w:t>ex facie</w:t>
      </w:r>
      <w:r w:rsidR="005F4B21">
        <w:rPr>
          <w:rFonts w:ascii="Times New Roman" w:hAnsi="Times New Roman"/>
          <w:sz w:val="24"/>
          <w:szCs w:val="24"/>
        </w:rPr>
        <w:t xml:space="preserve"> on the face of the application. </w:t>
      </w:r>
    </w:p>
    <w:p w:rsidR="00957AF7" w:rsidRDefault="00957AF7" w:rsidP="00E45314">
      <w:pPr>
        <w:pStyle w:val="Default"/>
        <w:spacing w:line="360" w:lineRule="auto"/>
        <w:ind w:firstLine="720"/>
        <w:jc w:val="both"/>
      </w:pPr>
      <w:r w:rsidRPr="00957AF7">
        <w:rPr>
          <w:i/>
          <w:iCs/>
        </w:rPr>
        <w:t xml:space="preserve">In </w:t>
      </w:r>
      <w:proofErr w:type="spellStart"/>
      <w:r w:rsidRPr="00957AF7">
        <w:rPr>
          <w:i/>
          <w:iCs/>
        </w:rPr>
        <w:t>Fadzai</w:t>
      </w:r>
      <w:proofErr w:type="spellEnd"/>
      <w:r w:rsidRPr="00957AF7">
        <w:rPr>
          <w:i/>
          <w:iCs/>
        </w:rPr>
        <w:t xml:space="preserve"> John </w:t>
      </w:r>
      <w:r w:rsidRPr="00957AF7">
        <w:t xml:space="preserve">v </w:t>
      </w:r>
      <w:r w:rsidRPr="00957AF7">
        <w:rPr>
          <w:i/>
          <w:iCs/>
        </w:rPr>
        <w:t xml:space="preserve">Delta Beverages </w:t>
      </w:r>
      <w:r w:rsidRPr="00957AF7">
        <w:t xml:space="preserve">SC 40/17 the court observed at page 4 that:  “In </w:t>
      </w:r>
      <w:proofErr w:type="spellStart"/>
      <w:r w:rsidRPr="00957AF7">
        <w:rPr>
          <w:i/>
          <w:iCs/>
        </w:rPr>
        <w:t>Gariya</w:t>
      </w:r>
      <w:proofErr w:type="spellEnd"/>
      <w:r w:rsidRPr="00957AF7">
        <w:rPr>
          <w:i/>
          <w:iCs/>
        </w:rPr>
        <w:t xml:space="preserve"> Safaris (Pvt) Ltd </w:t>
      </w:r>
      <w:r w:rsidRPr="00957AF7">
        <w:t xml:space="preserve">v </w:t>
      </w:r>
      <w:r w:rsidRPr="00957AF7">
        <w:rPr>
          <w:i/>
          <w:iCs/>
        </w:rPr>
        <w:t xml:space="preserve">van </w:t>
      </w:r>
      <w:proofErr w:type="spellStart"/>
      <w:r w:rsidRPr="00957AF7">
        <w:rPr>
          <w:i/>
          <w:iCs/>
        </w:rPr>
        <w:t>Wyk</w:t>
      </w:r>
      <w:proofErr w:type="spellEnd"/>
      <w:r w:rsidRPr="00957AF7">
        <w:rPr>
          <w:i/>
          <w:iCs/>
        </w:rPr>
        <w:t xml:space="preserve"> </w:t>
      </w:r>
      <w:r w:rsidRPr="00957AF7">
        <w:t xml:space="preserve">1996 (2) ZLR 246 (H) it was stated as follows: ‘A summons has legal force and effect when it is issued by the plaintiff against an existing legal or natural person. If there is no legal or natural person answering to the names written in the summons as being those of the defendant, the summons is null and void </w:t>
      </w:r>
      <w:proofErr w:type="spellStart"/>
      <w:r w:rsidRPr="00957AF7">
        <w:rPr>
          <w:i/>
          <w:iCs/>
        </w:rPr>
        <w:t>ab</w:t>
      </w:r>
      <w:proofErr w:type="spellEnd"/>
      <w:r w:rsidRPr="00957AF7">
        <w:rPr>
          <w:i/>
          <w:iCs/>
        </w:rPr>
        <w:t xml:space="preserve"> initio.</w:t>
      </w:r>
      <w:r w:rsidRPr="00957AF7">
        <w:t xml:space="preserve">” </w:t>
      </w:r>
      <w:r>
        <w:rPr>
          <w:sz w:val="23"/>
          <w:szCs w:val="23"/>
        </w:rPr>
        <w:t xml:space="preserve">In this case number HC 2031/15 the applicant cited a non-existent third respondent. See </w:t>
      </w:r>
      <w:r w:rsidR="00E45314" w:rsidRPr="00E45314">
        <w:rPr>
          <w:i/>
          <w:sz w:val="23"/>
          <w:szCs w:val="23"/>
        </w:rPr>
        <w:t xml:space="preserve">Amos </w:t>
      </w:r>
      <w:proofErr w:type="spellStart"/>
      <w:r w:rsidR="00E45314" w:rsidRPr="00E45314">
        <w:rPr>
          <w:i/>
          <w:sz w:val="23"/>
          <w:szCs w:val="23"/>
        </w:rPr>
        <w:t>Makono</w:t>
      </w:r>
      <w:proofErr w:type="spellEnd"/>
      <w:r w:rsidR="00E45314" w:rsidRPr="00E45314">
        <w:rPr>
          <w:i/>
          <w:sz w:val="23"/>
          <w:szCs w:val="23"/>
        </w:rPr>
        <w:t xml:space="preserve"> &amp; 32 Others v Freda Rebecca Gold Mine</w:t>
      </w:r>
      <w:r w:rsidR="00E45314">
        <w:rPr>
          <w:sz w:val="23"/>
          <w:szCs w:val="23"/>
        </w:rPr>
        <w:t xml:space="preserve"> HH 400 / 18, </w:t>
      </w:r>
      <w:proofErr w:type="spellStart"/>
      <w:r w:rsidRPr="00957AF7">
        <w:rPr>
          <w:i/>
          <w:iCs/>
        </w:rPr>
        <w:t>Masuka</w:t>
      </w:r>
      <w:proofErr w:type="spellEnd"/>
      <w:r w:rsidRPr="00957AF7">
        <w:rPr>
          <w:i/>
          <w:iCs/>
        </w:rPr>
        <w:t xml:space="preserve"> </w:t>
      </w:r>
      <w:r w:rsidRPr="00957AF7">
        <w:t xml:space="preserve">v </w:t>
      </w:r>
      <w:r w:rsidRPr="00957AF7">
        <w:rPr>
          <w:i/>
          <w:iCs/>
        </w:rPr>
        <w:t xml:space="preserve">Delta </w:t>
      </w:r>
      <w:proofErr w:type="spellStart"/>
      <w:r w:rsidRPr="00957AF7">
        <w:rPr>
          <w:i/>
          <w:iCs/>
        </w:rPr>
        <w:t>Belverages</w:t>
      </w:r>
      <w:proofErr w:type="spellEnd"/>
      <w:r w:rsidRPr="00957AF7">
        <w:rPr>
          <w:i/>
          <w:iCs/>
        </w:rPr>
        <w:t xml:space="preserve"> </w:t>
      </w:r>
      <w:r w:rsidRPr="00957AF7">
        <w:t xml:space="preserve">HB 2012 (1) ZLR 112, </w:t>
      </w:r>
      <w:proofErr w:type="spellStart"/>
      <w:r w:rsidRPr="00957AF7">
        <w:rPr>
          <w:i/>
          <w:iCs/>
        </w:rPr>
        <w:t>Masukume</w:t>
      </w:r>
      <w:proofErr w:type="spellEnd"/>
      <w:r w:rsidRPr="00957AF7">
        <w:rPr>
          <w:i/>
          <w:iCs/>
        </w:rPr>
        <w:t xml:space="preserve"> </w:t>
      </w:r>
      <w:r w:rsidRPr="00957AF7">
        <w:t xml:space="preserve">v </w:t>
      </w:r>
      <w:proofErr w:type="spellStart"/>
      <w:r w:rsidRPr="00957AF7">
        <w:rPr>
          <w:i/>
          <w:iCs/>
        </w:rPr>
        <w:t>Treston</w:t>
      </w:r>
      <w:proofErr w:type="spellEnd"/>
      <w:r w:rsidRPr="00957AF7">
        <w:rPr>
          <w:i/>
          <w:iCs/>
        </w:rPr>
        <w:t xml:space="preserve"> Enterprise (Pvt) Ltd </w:t>
      </w:r>
      <w:r w:rsidRPr="00957AF7">
        <w:t xml:space="preserve">HH 416/15, </w:t>
      </w:r>
      <w:proofErr w:type="spellStart"/>
      <w:r w:rsidRPr="00957AF7">
        <w:rPr>
          <w:i/>
          <w:iCs/>
        </w:rPr>
        <w:t>Nuvert</w:t>
      </w:r>
      <w:proofErr w:type="spellEnd"/>
      <w:r w:rsidRPr="00957AF7">
        <w:rPr>
          <w:i/>
          <w:iCs/>
        </w:rPr>
        <w:t xml:space="preserve"> Trading (Pvt) Ltd </w:t>
      </w:r>
      <w:r w:rsidRPr="00957AF7">
        <w:t xml:space="preserve">v </w:t>
      </w:r>
      <w:proofErr w:type="spellStart"/>
      <w:r w:rsidRPr="00957AF7">
        <w:rPr>
          <w:i/>
          <w:iCs/>
        </w:rPr>
        <w:t>Hwange</w:t>
      </w:r>
      <w:proofErr w:type="spellEnd"/>
      <w:r w:rsidRPr="00957AF7">
        <w:rPr>
          <w:i/>
          <w:iCs/>
        </w:rPr>
        <w:t xml:space="preserve"> Colliery </w:t>
      </w:r>
      <w:r w:rsidRPr="00957AF7">
        <w:t xml:space="preserve">HH 791/15, </w:t>
      </w:r>
      <w:r w:rsidRPr="00957AF7">
        <w:rPr>
          <w:i/>
          <w:iCs/>
        </w:rPr>
        <w:t xml:space="preserve">CT Bolts (Pvt) Ltd </w:t>
      </w:r>
      <w:r w:rsidRPr="00957AF7">
        <w:t xml:space="preserve">v </w:t>
      </w:r>
      <w:r w:rsidRPr="00957AF7">
        <w:rPr>
          <w:i/>
          <w:iCs/>
        </w:rPr>
        <w:t xml:space="preserve">Workers’ Committee </w:t>
      </w:r>
      <w:r w:rsidRPr="00957AF7">
        <w:t xml:space="preserve">2012 (1) ZLR 363 (S), </w:t>
      </w:r>
      <w:proofErr w:type="spellStart"/>
      <w:r w:rsidRPr="00957AF7">
        <w:rPr>
          <w:i/>
          <w:iCs/>
        </w:rPr>
        <w:t>Gariya</w:t>
      </w:r>
      <w:proofErr w:type="spellEnd"/>
      <w:r w:rsidRPr="00957AF7">
        <w:rPr>
          <w:i/>
          <w:iCs/>
        </w:rPr>
        <w:t xml:space="preserve"> Safaris (Pvt) Ltd </w:t>
      </w:r>
      <w:r w:rsidRPr="00957AF7">
        <w:t xml:space="preserve">v </w:t>
      </w:r>
      <w:r w:rsidRPr="00957AF7">
        <w:rPr>
          <w:i/>
          <w:iCs/>
        </w:rPr>
        <w:t xml:space="preserve">van </w:t>
      </w:r>
      <w:proofErr w:type="spellStart"/>
      <w:r w:rsidRPr="00957AF7">
        <w:rPr>
          <w:i/>
          <w:iCs/>
        </w:rPr>
        <w:t>Wyk</w:t>
      </w:r>
      <w:proofErr w:type="spellEnd"/>
      <w:r w:rsidRPr="00957AF7">
        <w:rPr>
          <w:i/>
          <w:iCs/>
        </w:rPr>
        <w:t xml:space="preserve"> </w:t>
      </w:r>
      <w:r w:rsidRPr="00957AF7">
        <w:t xml:space="preserve">1996 (2) ZLR 246 (H) all referred to by the applicant; </w:t>
      </w:r>
      <w:proofErr w:type="spellStart"/>
      <w:r w:rsidRPr="00957AF7">
        <w:rPr>
          <w:i/>
          <w:iCs/>
        </w:rPr>
        <w:t>Marange</w:t>
      </w:r>
      <w:proofErr w:type="spellEnd"/>
      <w:r w:rsidRPr="00957AF7">
        <w:rPr>
          <w:i/>
          <w:iCs/>
        </w:rPr>
        <w:t xml:space="preserve"> Resources (Private) Limited </w:t>
      </w:r>
      <w:r w:rsidRPr="00957AF7">
        <w:t xml:space="preserve">v </w:t>
      </w:r>
      <w:r w:rsidRPr="00957AF7">
        <w:rPr>
          <w:i/>
          <w:iCs/>
        </w:rPr>
        <w:t xml:space="preserve">Core Mining &amp; Minerals (Private) Limited (in liquidation) &amp; Ors </w:t>
      </w:r>
      <w:r w:rsidRPr="00957AF7">
        <w:t xml:space="preserve">SC 37/16 and </w:t>
      </w:r>
      <w:r w:rsidRPr="00957AF7">
        <w:rPr>
          <w:i/>
          <w:iCs/>
        </w:rPr>
        <w:t xml:space="preserve">Stewart Scott Kennedy </w:t>
      </w:r>
      <w:r w:rsidRPr="00957AF7">
        <w:t xml:space="preserve">v </w:t>
      </w:r>
      <w:proofErr w:type="spellStart"/>
      <w:r w:rsidRPr="00957AF7">
        <w:rPr>
          <w:i/>
          <w:iCs/>
        </w:rPr>
        <w:t>Mazongororo</w:t>
      </w:r>
      <w:proofErr w:type="spellEnd"/>
      <w:r w:rsidRPr="00957AF7">
        <w:rPr>
          <w:i/>
          <w:iCs/>
        </w:rPr>
        <w:t xml:space="preserve"> Syringes (Pvt) Ltd </w:t>
      </w:r>
      <w:r w:rsidRPr="00957AF7">
        <w:t>1996 (2) ZLR 565 (S).)</w:t>
      </w:r>
    </w:p>
    <w:p w:rsidR="00E45314" w:rsidRDefault="00E45314" w:rsidP="00E45314">
      <w:pPr>
        <w:pStyle w:val="Default"/>
        <w:spacing w:line="360" w:lineRule="auto"/>
        <w:ind w:firstLine="720"/>
        <w:jc w:val="both"/>
      </w:pPr>
      <w:r>
        <w:t xml:space="preserve">In case number HC 2031 / 15 </w:t>
      </w:r>
      <w:proofErr w:type="gramStart"/>
      <w:r>
        <w:t>applicant</w:t>
      </w:r>
      <w:proofErr w:type="gramEnd"/>
      <w:r>
        <w:t xml:space="preserve"> cited a non-existent third respondent. Can it now deploy or invoke rule 449 to substitute that non-existent third respondent with a </w:t>
      </w:r>
      <w:r w:rsidRPr="00E45314">
        <w:rPr>
          <w:i/>
        </w:rPr>
        <w:t xml:space="preserve">legal persona </w:t>
      </w:r>
      <w:r>
        <w:t xml:space="preserve">in the form of the Minister of Mines and Mining Development. </w:t>
      </w:r>
      <w:r w:rsidR="00094FCE">
        <w:t xml:space="preserve">If something is void </w:t>
      </w:r>
      <w:proofErr w:type="spellStart"/>
      <w:r w:rsidR="00356714">
        <w:rPr>
          <w:i/>
        </w:rPr>
        <w:t>ab</w:t>
      </w:r>
      <w:proofErr w:type="spellEnd"/>
      <w:r w:rsidR="00094FCE" w:rsidRPr="00094FCE">
        <w:rPr>
          <w:i/>
        </w:rPr>
        <w:t xml:space="preserve"> initio </w:t>
      </w:r>
      <w:r w:rsidR="00094FCE">
        <w:t xml:space="preserve">it is in law a nullity. It is not only bad but incurably bad. See </w:t>
      </w:r>
      <w:proofErr w:type="spellStart"/>
      <w:r w:rsidR="00094FCE" w:rsidRPr="00094FCE">
        <w:rPr>
          <w:i/>
        </w:rPr>
        <w:t>MacFoy</w:t>
      </w:r>
      <w:proofErr w:type="spellEnd"/>
      <w:r w:rsidR="00094FCE" w:rsidRPr="00094FCE">
        <w:rPr>
          <w:i/>
        </w:rPr>
        <w:t xml:space="preserve"> v United Africa Co. Ltd </w:t>
      </w:r>
      <w:r w:rsidR="00094FCE">
        <w:t xml:space="preserve">(1961) 3 All ER 1169 at 1172 and </w:t>
      </w:r>
      <w:proofErr w:type="spellStart"/>
      <w:r w:rsidR="00094FCE" w:rsidRPr="00094FCE">
        <w:rPr>
          <w:i/>
        </w:rPr>
        <w:t>Muchakata</w:t>
      </w:r>
      <w:proofErr w:type="spellEnd"/>
      <w:r w:rsidR="00094FCE" w:rsidRPr="00094FCE">
        <w:rPr>
          <w:i/>
        </w:rPr>
        <w:t xml:space="preserve"> v </w:t>
      </w:r>
      <w:proofErr w:type="spellStart"/>
      <w:r w:rsidR="00094FCE" w:rsidRPr="00094FCE">
        <w:rPr>
          <w:i/>
        </w:rPr>
        <w:t>Nertherrbum</w:t>
      </w:r>
      <w:proofErr w:type="spellEnd"/>
      <w:r w:rsidR="00094FCE" w:rsidRPr="00094FCE">
        <w:rPr>
          <w:i/>
        </w:rPr>
        <w:t xml:space="preserve"> Mine</w:t>
      </w:r>
      <w:r w:rsidR="00094FCE">
        <w:t xml:space="preserve"> 1996 (2) ZLR 153(S). Applicant cannot attempt to use rule 449 to turn a nothing to a something. Rule 449 is not for that purpose. Whether the citation of the Ministry of Mines and Mining Development instead of the Minister of Mines and Mining development was a typographical mistake makes no difference. The point is that applicant in case number HC 2031/15 cited a non-existent third respondent. That non-existent third respondent cannot be substituted for a </w:t>
      </w:r>
      <w:r w:rsidR="005F4B21">
        <w:rPr>
          <w:i/>
        </w:rPr>
        <w:t xml:space="preserve">legal persona, </w:t>
      </w:r>
      <w:r w:rsidR="005F4B21" w:rsidRPr="005F4B21">
        <w:t xml:space="preserve">i.e. </w:t>
      </w:r>
      <w:r w:rsidR="005F4B21">
        <w:t xml:space="preserve">the Minister of Mines and Mining Development. The Minister was not a party at the commencement of the proceedings and cannot be a party after the proceedings have been concluded. </w:t>
      </w:r>
    </w:p>
    <w:p w:rsidR="005F4B21" w:rsidRDefault="005F4B21" w:rsidP="00E45314">
      <w:pPr>
        <w:pStyle w:val="Default"/>
        <w:spacing w:line="360" w:lineRule="auto"/>
        <w:ind w:firstLine="720"/>
        <w:jc w:val="both"/>
        <w:rPr>
          <w:i/>
        </w:rPr>
      </w:pPr>
      <w:r>
        <w:t xml:space="preserve">I do not accept that the citation of the Ministry of Mines and Mining Development was a mistake common to all parties. If it was a mistake, it was a mistake made by the applicant and it must live with it. </w:t>
      </w:r>
      <w:r w:rsidR="00015CC3">
        <w:t>The substitution applicant is</w:t>
      </w:r>
      <w:bookmarkStart w:id="0" w:name="_GoBack"/>
      <w:bookmarkEnd w:id="0"/>
      <w:r w:rsidR="00915E3B">
        <w:t xml:space="preserve"> seeking is not a matter of form, </w:t>
      </w:r>
      <w:r w:rsidR="00915E3B">
        <w:lastRenderedPageBreak/>
        <w:t xml:space="preserve">but a matter of substance. Such a substitution of a party cannot be achieved through the vehicle of rule 449. </w:t>
      </w:r>
    </w:p>
    <w:p w:rsidR="007400B6" w:rsidRDefault="00B53BAA" w:rsidP="007400B6">
      <w:pPr>
        <w:pStyle w:val="Default"/>
        <w:spacing w:line="360" w:lineRule="auto"/>
        <w:ind w:firstLine="720"/>
        <w:jc w:val="both"/>
      </w:pPr>
      <w:r>
        <w:t>I take the view that not</w:t>
      </w:r>
      <w:r w:rsidR="005F4B21">
        <w:t>hing turns on the fact that</w:t>
      </w:r>
      <w:r>
        <w:t xml:space="preserve"> the second and third respondents herein do not oppose the relief sought by the applicant in this application. On the facts of this case, this court cannot invoke rule 449 for the purposes sought by the applicant, even if second and third respondent are not opposed to the order sought. A party cannot confer jurisdiction to this court which it does not have. The </w:t>
      </w:r>
      <w:r w:rsidRPr="00B53BAA">
        <w:rPr>
          <w:i/>
        </w:rPr>
        <w:t>onus</w:t>
      </w:r>
      <w:r>
        <w:t xml:space="preserve"> is on the applicant to make a case for the order it seeks. The applicant has failed to discharge such </w:t>
      </w:r>
      <w:r w:rsidRPr="00B53BAA">
        <w:rPr>
          <w:i/>
        </w:rPr>
        <w:t>onus</w:t>
      </w:r>
      <w:r>
        <w:t xml:space="preserve"> in this case. </w:t>
      </w:r>
    </w:p>
    <w:p w:rsidR="00B53BAA" w:rsidRPr="00B53BAA" w:rsidRDefault="00B53BAA" w:rsidP="00E45314">
      <w:pPr>
        <w:pStyle w:val="Default"/>
        <w:spacing w:line="360" w:lineRule="auto"/>
        <w:ind w:firstLine="720"/>
        <w:jc w:val="both"/>
        <w:rPr>
          <w:sz w:val="23"/>
          <w:szCs w:val="23"/>
        </w:rPr>
      </w:pPr>
      <w:r>
        <w:rPr>
          <w:sz w:val="23"/>
          <w:szCs w:val="23"/>
        </w:rPr>
        <w:t>The applicant has failed to obtain the relief it sought from this court. There are no special reasons warranting a departure from the general rule that costs should follow the result. The first respondent is therefore entitled to his costs of suit.</w:t>
      </w:r>
    </w:p>
    <w:p w:rsidR="00F162B6" w:rsidRPr="00957AF7" w:rsidRDefault="00F162B6" w:rsidP="00F162B6">
      <w:pPr>
        <w:autoSpaceDE w:val="0"/>
        <w:autoSpaceDN w:val="0"/>
        <w:adjustRightInd w:val="0"/>
        <w:spacing w:after="0" w:line="360" w:lineRule="auto"/>
        <w:ind w:firstLine="720"/>
        <w:jc w:val="both"/>
        <w:rPr>
          <w:rFonts w:ascii="Times New Roman" w:hAnsi="Times New Roman" w:cs="Times New Roman"/>
          <w:sz w:val="24"/>
          <w:szCs w:val="24"/>
        </w:rPr>
      </w:pPr>
    </w:p>
    <w:p w:rsidR="00F162B6" w:rsidRDefault="00277B49" w:rsidP="00483C30">
      <w:pPr>
        <w:autoSpaceDE w:val="0"/>
        <w:autoSpaceDN w:val="0"/>
        <w:adjustRightInd w:val="0"/>
        <w:spacing w:after="0" w:line="360" w:lineRule="auto"/>
        <w:jc w:val="both"/>
        <w:rPr>
          <w:rFonts w:ascii="Times New Roman" w:hAnsi="Times New Roman" w:cs="Times New Roman"/>
          <w:b/>
          <w:sz w:val="24"/>
          <w:szCs w:val="24"/>
        </w:rPr>
      </w:pPr>
      <w:r w:rsidRPr="00277B49">
        <w:rPr>
          <w:rFonts w:ascii="Times New Roman" w:hAnsi="Times New Roman" w:cs="Times New Roman"/>
          <w:b/>
          <w:sz w:val="24"/>
          <w:szCs w:val="24"/>
        </w:rPr>
        <w:t xml:space="preserve">Disposition </w:t>
      </w:r>
    </w:p>
    <w:p w:rsidR="0044285E" w:rsidRDefault="0044285E" w:rsidP="0044285E">
      <w:pPr>
        <w:autoSpaceDE w:val="0"/>
        <w:autoSpaceDN w:val="0"/>
        <w:adjustRightInd w:val="0"/>
        <w:spacing w:after="0" w:line="360" w:lineRule="auto"/>
        <w:ind w:firstLine="720"/>
        <w:jc w:val="both"/>
        <w:rPr>
          <w:rFonts w:ascii="Times New Roman" w:hAnsi="Times New Roman" w:cs="Times New Roman"/>
          <w:sz w:val="24"/>
          <w:szCs w:val="24"/>
        </w:rPr>
      </w:pPr>
      <w:r w:rsidRPr="0044285E">
        <w:rPr>
          <w:rFonts w:ascii="Times New Roman" w:hAnsi="Times New Roman" w:cs="Times New Roman"/>
          <w:sz w:val="24"/>
          <w:szCs w:val="24"/>
        </w:rPr>
        <w:t xml:space="preserve">In result, I order as follows: the application is dismissed with costs of suit. </w:t>
      </w:r>
    </w:p>
    <w:p w:rsidR="007400B6" w:rsidRDefault="007400B6" w:rsidP="0044285E">
      <w:pPr>
        <w:autoSpaceDE w:val="0"/>
        <w:autoSpaceDN w:val="0"/>
        <w:adjustRightInd w:val="0"/>
        <w:spacing w:after="0" w:line="360" w:lineRule="auto"/>
        <w:ind w:firstLine="720"/>
        <w:jc w:val="both"/>
        <w:rPr>
          <w:rFonts w:ascii="Times New Roman" w:hAnsi="Times New Roman" w:cs="Times New Roman"/>
          <w:sz w:val="24"/>
          <w:szCs w:val="24"/>
        </w:rPr>
      </w:pPr>
    </w:p>
    <w:p w:rsidR="00D311AE" w:rsidRDefault="00D311AE" w:rsidP="0044285E">
      <w:pPr>
        <w:autoSpaceDE w:val="0"/>
        <w:autoSpaceDN w:val="0"/>
        <w:adjustRightInd w:val="0"/>
        <w:spacing w:after="0" w:line="360" w:lineRule="auto"/>
        <w:ind w:firstLine="720"/>
        <w:jc w:val="both"/>
        <w:rPr>
          <w:rFonts w:ascii="Times New Roman" w:hAnsi="Times New Roman" w:cs="Times New Roman"/>
          <w:sz w:val="24"/>
          <w:szCs w:val="24"/>
        </w:rPr>
      </w:pPr>
    </w:p>
    <w:p w:rsidR="00D311AE" w:rsidRDefault="00D311AE" w:rsidP="0044285E">
      <w:pPr>
        <w:autoSpaceDE w:val="0"/>
        <w:autoSpaceDN w:val="0"/>
        <w:adjustRightInd w:val="0"/>
        <w:spacing w:after="0" w:line="360" w:lineRule="auto"/>
        <w:ind w:firstLine="720"/>
        <w:jc w:val="both"/>
        <w:rPr>
          <w:rFonts w:ascii="Times New Roman" w:hAnsi="Times New Roman" w:cs="Times New Roman"/>
          <w:sz w:val="24"/>
          <w:szCs w:val="24"/>
        </w:rPr>
      </w:pPr>
    </w:p>
    <w:p w:rsidR="00D311AE" w:rsidRDefault="00D311AE" w:rsidP="0044285E">
      <w:pPr>
        <w:autoSpaceDE w:val="0"/>
        <w:autoSpaceDN w:val="0"/>
        <w:adjustRightInd w:val="0"/>
        <w:spacing w:after="0" w:line="360" w:lineRule="auto"/>
        <w:ind w:firstLine="720"/>
        <w:jc w:val="both"/>
        <w:rPr>
          <w:rFonts w:ascii="Times New Roman" w:hAnsi="Times New Roman" w:cs="Times New Roman"/>
          <w:sz w:val="24"/>
          <w:szCs w:val="24"/>
        </w:rPr>
      </w:pPr>
    </w:p>
    <w:p w:rsidR="00D311AE" w:rsidRDefault="00D311AE" w:rsidP="0044285E">
      <w:pPr>
        <w:autoSpaceDE w:val="0"/>
        <w:autoSpaceDN w:val="0"/>
        <w:adjustRightInd w:val="0"/>
        <w:spacing w:after="0" w:line="360" w:lineRule="auto"/>
        <w:ind w:firstLine="720"/>
        <w:jc w:val="both"/>
        <w:rPr>
          <w:rFonts w:ascii="Times New Roman" w:hAnsi="Times New Roman" w:cs="Times New Roman"/>
          <w:sz w:val="24"/>
          <w:szCs w:val="24"/>
        </w:rPr>
      </w:pPr>
    </w:p>
    <w:p w:rsidR="007400B6" w:rsidRPr="0012740F" w:rsidRDefault="007400B6" w:rsidP="007400B6">
      <w:pPr>
        <w:pStyle w:val="NoSpacing"/>
        <w:rPr>
          <w:rFonts w:ascii="Times New Roman" w:hAnsi="Times New Roman" w:cs="Times New Roman"/>
          <w:sz w:val="24"/>
          <w:szCs w:val="24"/>
        </w:rPr>
      </w:pPr>
      <w:proofErr w:type="spellStart"/>
      <w:r>
        <w:rPr>
          <w:rFonts w:ascii="Times New Roman" w:hAnsi="Times New Roman" w:cs="Times New Roman"/>
          <w:i/>
          <w:sz w:val="24"/>
          <w:szCs w:val="24"/>
        </w:rPr>
        <w:t>Garikayi</w:t>
      </w:r>
      <w:proofErr w:type="spellEnd"/>
      <w:r>
        <w:rPr>
          <w:rFonts w:ascii="Times New Roman" w:hAnsi="Times New Roman" w:cs="Times New Roman"/>
          <w:i/>
          <w:sz w:val="24"/>
          <w:szCs w:val="24"/>
        </w:rPr>
        <w:t xml:space="preserve"> &amp; Company, </w:t>
      </w:r>
      <w:r>
        <w:rPr>
          <w:rFonts w:ascii="Times New Roman" w:hAnsi="Times New Roman" w:cs="Times New Roman"/>
          <w:sz w:val="24"/>
          <w:szCs w:val="24"/>
        </w:rPr>
        <w:t xml:space="preserve">applicant’s </w:t>
      </w:r>
      <w:r w:rsidRPr="0012740F">
        <w:rPr>
          <w:rFonts w:ascii="Times New Roman" w:hAnsi="Times New Roman" w:cs="Times New Roman"/>
          <w:sz w:val="24"/>
          <w:szCs w:val="24"/>
        </w:rPr>
        <w:t>legal practitioners</w:t>
      </w:r>
    </w:p>
    <w:p w:rsidR="007400B6" w:rsidRPr="0012740F" w:rsidRDefault="007400B6" w:rsidP="007400B6">
      <w:pPr>
        <w:pStyle w:val="NoSpacing"/>
        <w:rPr>
          <w:rFonts w:ascii="Times New Roman" w:hAnsi="Times New Roman" w:cs="Times New Roman"/>
          <w:sz w:val="24"/>
          <w:szCs w:val="24"/>
        </w:rPr>
      </w:pPr>
      <w:proofErr w:type="spellStart"/>
      <w:r>
        <w:rPr>
          <w:rFonts w:ascii="Times New Roman" w:hAnsi="Times New Roman" w:cs="Times New Roman"/>
          <w:i/>
          <w:sz w:val="24"/>
          <w:szCs w:val="24"/>
        </w:rPr>
        <w:t>Mwonzora</w:t>
      </w:r>
      <w:proofErr w:type="spellEnd"/>
      <w:r>
        <w:rPr>
          <w:rFonts w:ascii="Times New Roman" w:hAnsi="Times New Roman" w:cs="Times New Roman"/>
          <w:i/>
          <w:sz w:val="24"/>
          <w:szCs w:val="24"/>
        </w:rPr>
        <w:t xml:space="preserve"> &amp; Associates, first </w:t>
      </w:r>
      <w:r w:rsidRPr="0013475C">
        <w:rPr>
          <w:rFonts w:ascii="Times New Roman" w:hAnsi="Times New Roman" w:cs="Times New Roman"/>
          <w:sz w:val="24"/>
          <w:szCs w:val="24"/>
        </w:rPr>
        <w:t>respondents’</w:t>
      </w:r>
      <w:r>
        <w:rPr>
          <w:rFonts w:ascii="Times New Roman" w:hAnsi="Times New Roman" w:cs="Times New Roman"/>
          <w:sz w:val="24"/>
          <w:szCs w:val="24"/>
        </w:rPr>
        <w:t xml:space="preserve"> legal practitioners</w:t>
      </w:r>
    </w:p>
    <w:p w:rsidR="007400B6" w:rsidRPr="0012740F" w:rsidRDefault="007400B6" w:rsidP="007400B6">
      <w:pPr>
        <w:rPr>
          <w:rFonts w:ascii="Times New Roman" w:hAnsi="Times New Roman" w:cs="Times New Roman"/>
          <w:sz w:val="24"/>
          <w:szCs w:val="24"/>
        </w:rPr>
      </w:pPr>
    </w:p>
    <w:p w:rsidR="007400B6" w:rsidRPr="0044285E" w:rsidRDefault="007400B6" w:rsidP="0044285E">
      <w:pPr>
        <w:autoSpaceDE w:val="0"/>
        <w:autoSpaceDN w:val="0"/>
        <w:adjustRightInd w:val="0"/>
        <w:spacing w:after="0" w:line="360" w:lineRule="auto"/>
        <w:ind w:firstLine="720"/>
        <w:jc w:val="both"/>
        <w:rPr>
          <w:rFonts w:ascii="Times New Roman" w:hAnsi="Times New Roman" w:cs="Times New Roman"/>
          <w:sz w:val="24"/>
          <w:szCs w:val="24"/>
        </w:rPr>
      </w:pPr>
    </w:p>
    <w:sectPr w:rsidR="007400B6" w:rsidRPr="0044285E" w:rsidSect="000C7B08">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11AE" w:rsidRDefault="00D311AE" w:rsidP="00D311AE">
      <w:pPr>
        <w:spacing w:after="0" w:line="240" w:lineRule="auto"/>
      </w:pPr>
      <w:r>
        <w:separator/>
      </w:r>
    </w:p>
  </w:endnote>
  <w:endnote w:type="continuationSeparator" w:id="1">
    <w:p w:rsidR="00D311AE" w:rsidRDefault="00D311AE" w:rsidP="00D311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11AE" w:rsidRDefault="00D311AE" w:rsidP="00D311AE">
      <w:pPr>
        <w:spacing w:after="0" w:line="240" w:lineRule="auto"/>
      </w:pPr>
      <w:r>
        <w:separator/>
      </w:r>
    </w:p>
  </w:footnote>
  <w:footnote w:type="continuationSeparator" w:id="1">
    <w:p w:rsidR="00D311AE" w:rsidRDefault="00D311AE" w:rsidP="00D311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69351"/>
      <w:docPartObj>
        <w:docPartGallery w:val="Page Numbers (Top of Page)"/>
        <w:docPartUnique/>
      </w:docPartObj>
    </w:sdtPr>
    <w:sdtContent>
      <w:p w:rsidR="00D311AE" w:rsidRDefault="00F63D1F">
        <w:pPr>
          <w:pStyle w:val="Header"/>
          <w:jc w:val="right"/>
        </w:pPr>
        <w:fldSimple w:instr=" PAGE   \* MERGEFORMAT ">
          <w:r w:rsidR="00F522C8">
            <w:rPr>
              <w:noProof/>
            </w:rPr>
            <w:t>5</w:t>
          </w:r>
        </w:fldSimple>
      </w:p>
      <w:p w:rsidR="00D311AE" w:rsidRDefault="00D311AE">
        <w:pPr>
          <w:pStyle w:val="Header"/>
          <w:jc w:val="right"/>
        </w:pPr>
        <w:r>
          <w:t>HB 159/20</w:t>
        </w:r>
      </w:p>
      <w:p w:rsidR="00D311AE" w:rsidRDefault="00D311AE">
        <w:pPr>
          <w:pStyle w:val="Header"/>
          <w:jc w:val="right"/>
        </w:pPr>
        <w:r>
          <w:t>HC 2764/17</w:t>
        </w:r>
      </w:p>
      <w:p w:rsidR="00D311AE" w:rsidRDefault="00D311AE">
        <w:pPr>
          <w:pStyle w:val="Header"/>
          <w:jc w:val="right"/>
        </w:pPr>
        <w:r>
          <w:t>X REF HC 2031/15</w:t>
        </w:r>
      </w:p>
    </w:sdtContent>
  </w:sdt>
  <w:p w:rsidR="00D311AE" w:rsidRDefault="00D311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7AA3"/>
    <w:multiLevelType w:val="hybridMultilevel"/>
    <w:tmpl w:val="885CD178"/>
    <w:lvl w:ilvl="0" w:tplc="918AE61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A241353"/>
    <w:multiLevelType w:val="hybridMultilevel"/>
    <w:tmpl w:val="DB946DF6"/>
    <w:lvl w:ilvl="0" w:tplc="DD5495E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76D3400E"/>
    <w:multiLevelType w:val="hybridMultilevel"/>
    <w:tmpl w:val="ECE0CBE2"/>
    <w:lvl w:ilvl="0" w:tplc="8C02B4C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966490"/>
    <w:rsid w:val="00015CC3"/>
    <w:rsid w:val="0002312D"/>
    <w:rsid w:val="00094FCE"/>
    <w:rsid w:val="000C4473"/>
    <w:rsid w:val="000C7B08"/>
    <w:rsid w:val="001251E2"/>
    <w:rsid w:val="001B350A"/>
    <w:rsid w:val="001E45B0"/>
    <w:rsid w:val="002249BD"/>
    <w:rsid w:val="00277B49"/>
    <w:rsid w:val="002940A5"/>
    <w:rsid w:val="00297C8C"/>
    <w:rsid w:val="00356714"/>
    <w:rsid w:val="003B7D73"/>
    <w:rsid w:val="0044285E"/>
    <w:rsid w:val="00472B2D"/>
    <w:rsid w:val="00483C30"/>
    <w:rsid w:val="004F563F"/>
    <w:rsid w:val="005367C2"/>
    <w:rsid w:val="005A55E8"/>
    <w:rsid w:val="005F4B21"/>
    <w:rsid w:val="005F53E9"/>
    <w:rsid w:val="006666CD"/>
    <w:rsid w:val="007400B6"/>
    <w:rsid w:val="007C6E5F"/>
    <w:rsid w:val="007E653B"/>
    <w:rsid w:val="008B498B"/>
    <w:rsid w:val="00915E3B"/>
    <w:rsid w:val="009521AA"/>
    <w:rsid w:val="00957AF7"/>
    <w:rsid w:val="00966490"/>
    <w:rsid w:val="009E1A0C"/>
    <w:rsid w:val="009E44A0"/>
    <w:rsid w:val="00AC1577"/>
    <w:rsid w:val="00B53BAA"/>
    <w:rsid w:val="00B84468"/>
    <w:rsid w:val="00BF0EB3"/>
    <w:rsid w:val="00CA532B"/>
    <w:rsid w:val="00D0281C"/>
    <w:rsid w:val="00D311AE"/>
    <w:rsid w:val="00E45314"/>
    <w:rsid w:val="00E77087"/>
    <w:rsid w:val="00F162B6"/>
    <w:rsid w:val="00F522C8"/>
    <w:rsid w:val="00F63D1F"/>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B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50A"/>
    <w:pPr>
      <w:ind w:left="720"/>
      <w:contextualSpacing/>
    </w:pPr>
  </w:style>
  <w:style w:type="paragraph" w:customStyle="1" w:styleId="Default">
    <w:name w:val="Default"/>
    <w:rsid w:val="008B498B"/>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9E44A0"/>
    <w:pPr>
      <w:spacing w:after="0" w:line="240" w:lineRule="auto"/>
    </w:pPr>
  </w:style>
  <w:style w:type="paragraph" w:styleId="Header">
    <w:name w:val="header"/>
    <w:basedOn w:val="Normal"/>
    <w:link w:val="HeaderChar"/>
    <w:uiPriority w:val="99"/>
    <w:unhideWhenUsed/>
    <w:rsid w:val="00D31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1AE"/>
  </w:style>
  <w:style w:type="paragraph" w:styleId="Footer">
    <w:name w:val="footer"/>
    <w:basedOn w:val="Normal"/>
    <w:link w:val="FooterChar"/>
    <w:uiPriority w:val="99"/>
    <w:semiHidden/>
    <w:unhideWhenUsed/>
    <w:rsid w:val="00D311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311A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394</TotalTime>
  <Pages>7</Pages>
  <Words>2255</Words>
  <Characters>12859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sabawu</cp:lastModifiedBy>
  <cp:revision>24</cp:revision>
  <cp:lastPrinted>2020-07-29T12:03:00Z</cp:lastPrinted>
  <dcterms:created xsi:type="dcterms:W3CDTF">2020-07-24T10:08:00Z</dcterms:created>
  <dcterms:modified xsi:type="dcterms:W3CDTF">2020-07-29T12:06:00Z</dcterms:modified>
</cp:coreProperties>
</file>