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26" w:rsidRPr="00FF0DB4" w:rsidRDefault="00243892" w:rsidP="00FF0DB4">
      <w:pPr>
        <w:pStyle w:val="NoSpacing"/>
        <w:jc w:val="both"/>
        <w:rPr>
          <w:b/>
          <w:sz w:val="24"/>
          <w:szCs w:val="24"/>
          <w:lang w:val="en-US"/>
        </w:rPr>
      </w:pPr>
      <w:r w:rsidRPr="00FF0DB4">
        <w:rPr>
          <w:b/>
          <w:sz w:val="24"/>
          <w:szCs w:val="24"/>
          <w:lang w:val="en-US"/>
        </w:rPr>
        <w:t>K &amp; G MINING SYNDICATE</w:t>
      </w:r>
    </w:p>
    <w:p w:rsidR="00243892" w:rsidRPr="00FF0DB4" w:rsidRDefault="00243892" w:rsidP="00FF0DB4">
      <w:pPr>
        <w:pStyle w:val="NoSpacing"/>
        <w:jc w:val="both"/>
        <w:rPr>
          <w:b/>
          <w:sz w:val="24"/>
          <w:szCs w:val="24"/>
          <w:lang w:val="en-US"/>
        </w:rPr>
      </w:pPr>
    </w:p>
    <w:p w:rsidR="00243892" w:rsidRPr="00FF0DB4" w:rsidRDefault="00243892" w:rsidP="00FF0DB4">
      <w:pPr>
        <w:pStyle w:val="NoSpacing"/>
        <w:jc w:val="both"/>
        <w:rPr>
          <w:b/>
          <w:sz w:val="24"/>
          <w:szCs w:val="24"/>
          <w:lang w:val="en-US"/>
        </w:rPr>
      </w:pPr>
      <w:r w:rsidRPr="00FF0DB4">
        <w:rPr>
          <w:b/>
          <w:sz w:val="24"/>
          <w:szCs w:val="24"/>
          <w:lang w:val="en-US"/>
        </w:rPr>
        <w:t>Versus</w:t>
      </w:r>
    </w:p>
    <w:p w:rsidR="00243892" w:rsidRPr="00FF0DB4" w:rsidRDefault="00243892" w:rsidP="00FF0DB4">
      <w:pPr>
        <w:pStyle w:val="NoSpacing"/>
        <w:jc w:val="both"/>
        <w:rPr>
          <w:b/>
          <w:sz w:val="24"/>
          <w:szCs w:val="24"/>
          <w:lang w:val="en-US"/>
        </w:rPr>
      </w:pPr>
    </w:p>
    <w:p w:rsidR="00243892" w:rsidRPr="00FF0DB4" w:rsidRDefault="00243892" w:rsidP="00FF0DB4">
      <w:pPr>
        <w:pStyle w:val="NoSpacing"/>
        <w:jc w:val="both"/>
        <w:rPr>
          <w:b/>
          <w:sz w:val="24"/>
          <w:szCs w:val="24"/>
          <w:lang w:val="en-US"/>
        </w:rPr>
      </w:pPr>
      <w:r w:rsidRPr="00FF0DB4">
        <w:rPr>
          <w:b/>
          <w:sz w:val="24"/>
          <w:szCs w:val="24"/>
          <w:lang w:val="en-US"/>
        </w:rPr>
        <w:t>RONALD MUGANGAVARI</w:t>
      </w:r>
    </w:p>
    <w:p w:rsidR="00243892" w:rsidRPr="00FF0DB4" w:rsidRDefault="00243892" w:rsidP="00FF0DB4">
      <w:pPr>
        <w:pStyle w:val="NoSpacing"/>
        <w:jc w:val="both"/>
        <w:rPr>
          <w:b/>
          <w:sz w:val="24"/>
          <w:szCs w:val="24"/>
          <w:lang w:val="en-US"/>
        </w:rPr>
      </w:pPr>
    </w:p>
    <w:p w:rsidR="00243892" w:rsidRPr="00FF0DB4" w:rsidRDefault="00243892" w:rsidP="00FF0DB4">
      <w:pPr>
        <w:pStyle w:val="NoSpacing"/>
        <w:jc w:val="both"/>
        <w:rPr>
          <w:b/>
          <w:sz w:val="24"/>
          <w:szCs w:val="24"/>
          <w:lang w:val="en-US"/>
        </w:rPr>
      </w:pPr>
      <w:r w:rsidRPr="00FF0DB4">
        <w:rPr>
          <w:b/>
          <w:sz w:val="24"/>
          <w:szCs w:val="24"/>
          <w:lang w:val="en-US"/>
        </w:rPr>
        <w:t>And</w:t>
      </w:r>
    </w:p>
    <w:p w:rsidR="00243892" w:rsidRPr="00FF0DB4" w:rsidRDefault="00243892" w:rsidP="00FF0DB4">
      <w:pPr>
        <w:pStyle w:val="NoSpacing"/>
        <w:jc w:val="both"/>
        <w:rPr>
          <w:b/>
          <w:sz w:val="24"/>
          <w:szCs w:val="24"/>
          <w:lang w:val="en-US"/>
        </w:rPr>
      </w:pPr>
    </w:p>
    <w:p w:rsidR="00243892" w:rsidRPr="00FF0DB4" w:rsidRDefault="00243892" w:rsidP="00FF0DB4">
      <w:pPr>
        <w:pStyle w:val="NoSpacing"/>
        <w:jc w:val="both"/>
        <w:rPr>
          <w:b/>
          <w:sz w:val="24"/>
          <w:szCs w:val="24"/>
          <w:lang w:val="en-US"/>
        </w:rPr>
      </w:pPr>
      <w:r w:rsidRPr="00FF0DB4">
        <w:rPr>
          <w:b/>
          <w:sz w:val="24"/>
          <w:szCs w:val="24"/>
          <w:lang w:val="en-US"/>
        </w:rPr>
        <w:t>PROVINCIAL MINING DIRECTOR, MIDLANDS</w:t>
      </w:r>
    </w:p>
    <w:p w:rsidR="00243892" w:rsidRPr="00FF0DB4" w:rsidRDefault="00243892" w:rsidP="00FF0DB4">
      <w:pPr>
        <w:pStyle w:val="NoSpacing"/>
        <w:jc w:val="both"/>
        <w:rPr>
          <w:b/>
          <w:sz w:val="24"/>
          <w:szCs w:val="24"/>
          <w:lang w:val="en-US"/>
        </w:rPr>
      </w:pPr>
    </w:p>
    <w:p w:rsidR="00243892" w:rsidRPr="00FF0DB4" w:rsidRDefault="00243892" w:rsidP="00FF0DB4">
      <w:pPr>
        <w:pStyle w:val="NoSpacing"/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IN THE HIGH COURT OF ZIMBABWE</w:t>
      </w:r>
    </w:p>
    <w:p w:rsidR="00243892" w:rsidRPr="00FF0DB4" w:rsidRDefault="00243892" w:rsidP="00FF0DB4">
      <w:pPr>
        <w:pStyle w:val="NoSpacing"/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KABASA J</w:t>
      </w:r>
    </w:p>
    <w:p w:rsidR="00243892" w:rsidRPr="00FF0DB4" w:rsidRDefault="00151E4F" w:rsidP="00FF0DB4">
      <w:pPr>
        <w:pStyle w:val="NoSpacing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BULAWAYO 27 JUNE &amp; 30</w:t>
      </w:r>
      <w:r w:rsidR="00243892" w:rsidRPr="00FF0DB4">
        <w:rPr>
          <w:sz w:val="24"/>
          <w:szCs w:val="24"/>
          <w:lang w:val="en-US"/>
        </w:rPr>
        <w:t xml:space="preserve"> JU</w:t>
      </w:r>
      <w:r w:rsidR="00AD7178">
        <w:rPr>
          <w:sz w:val="24"/>
          <w:szCs w:val="24"/>
          <w:lang w:val="en-US"/>
        </w:rPr>
        <w:t>NE</w:t>
      </w:r>
      <w:r w:rsidR="00243892" w:rsidRPr="00FF0DB4">
        <w:rPr>
          <w:sz w:val="24"/>
          <w:szCs w:val="24"/>
          <w:lang w:val="en-US"/>
        </w:rPr>
        <w:t xml:space="preserve"> 2022</w:t>
      </w:r>
    </w:p>
    <w:p w:rsidR="00243892" w:rsidRPr="00FF0DB4" w:rsidRDefault="00243892" w:rsidP="00FF0DB4">
      <w:pPr>
        <w:pStyle w:val="NoSpacing"/>
        <w:jc w:val="both"/>
        <w:rPr>
          <w:sz w:val="24"/>
          <w:szCs w:val="24"/>
          <w:lang w:val="en-US"/>
        </w:rPr>
      </w:pPr>
    </w:p>
    <w:p w:rsidR="00243892" w:rsidRPr="00FF0DB4" w:rsidRDefault="00243892" w:rsidP="00FF0DB4">
      <w:pPr>
        <w:pStyle w:val="NoSpacing"/>
        <w:jc w:val="both"/>
        <w:rPr>
          <w:b/>
          <w:sz w:val="24"/>
          <w:szCs w:val="24"/>
          <w:lang w:val="en-US"/>
        </w:rPr>
      </w:pPr>
      <w:r w:rsidRPr="00FF0DB4">
        <w:rPr>
          <w:b/>
          <w:sz w:val="24"/>
          <w:szCs w:val="24"/>
          <w:lang w:val="en-US"/>
        </w:rPr>
        <w:t>Opposed Application</w:t>
      </w:r>
    </w:p>
    <w:p w:rsidR="00243892" w:rsidRPr="00FF0DB4" w:rsidRDefault="00243892" w:rsidP="00FF0DB4">
      <w:pPr>
        <w:pStyle w:val="NoSpacing"/>
        <w:jc w:val="both"/>
        <w:rPr>
          <w:b/>
          <w:sz w:val="24"/>
          <w:szCs w:val="24"/>
          <w:lang w:val="en-US"/>
        </w:rPr>
      </w:pPr>
    </w:p>
    <w:p w:rsidR="00243892" w:rsidRPr="00FF0DB4" w:rsidRDefault="00243892" w:rsidP="00FF0DB4">
      <w:pPr>
        <w:pStyle w:val="NoSpacing"/>
        <w:jc w:val="both"/>
        <w:rPr>
          <w:sz w:val="24"/>
          <w:szCs w:val="24"/>
          <w:lang w:val="en-US"/>
        </w:rPr>
      </w:pPr>
      <w:r w:rsidRPr="00FF0DB4">
        <w:rPr>
          <w:i/>
          <w:sz w:val="24"/>
          <w:szCs w:val="24"/>
          <w:lang w:val="en-US"/>
        </w:rPr>
        <w:t>T. Zishiri</w:t>
      </w:r>
      <w:r w:rsidRPr="00FF0DB4">
        <w:rPr>
          <w:sz w:val="24"/>
          <w:szCs w:val="24"/>
          <w:lang w:val="en-US"/>
        </w:rPr>
        <w:t xml:space="preserve"> for the applicant</w:t>
      </w:r>
    </w:p>
    <w:p w:rsidR="00243892" w:rsidRPr="00FF0DB4" w:rsidRDefault="00243892" w:rsidP="00FF0DB4">
      <w:pPr>
        <w:pStyle w:val="NoSpacing"/>
        <w:jc w:val="both"/>
        <w:rPr>
          <w:sz w:val="24"/>
          <w:szCs w:val="24"/>
          <w:lang w:val="en-US"/>
        </w:rPr>
      </w:pPr>
      <w:r w:rsidRPr="00FF0DB4">
        <w:rPr>
          <w:i/>
          <w:sz w:val="24"/>
          <w:szCs w:val="24"/>
          <w:lang w:val="en-US"/>
        </w:rPr>
        <w:t xml:space="preserve">D. T. </w:t>
      </w:r>
      <w:proofErr w:type="spellStart"/>
      <w:r w:rsidRPr="00FF0DB4">
        <w:rPr>
          <w:i/>
          <w:sz w:val="24"/>
          <w:szCs w:val="24"/>
          <w:lang w:val="en-US"/>
        </w:rPr>
        <w:t>Mwonzora</w:t>
      </w:r>
      <w:proofErr w:type="spellEnd"/>
      <w:r w:rsidRPr="00FF0DB4">
        <w:rPr>
          <w:sz w:val="24"/>
          <w:szCs w:val="24"/>
          <w:lang w:val="en-US"/>
        </w:rPr>
        <w:t>, for the 1</w:t>
      </w:r>
      <w:r w:rsidRPr="00FF0DB4">
        <w:rPr>
          <w:sz w:val="24"/>
          <w:szCs w:val="24"/>
          <w:vertAlign w:val="superscript"/>
          <w:lang w:val="en-US"/>
        </w:rPr>
        <w:t>st</w:t>
      </w:r>
      <w:r w:rsidRPr="00FF0DB4">
        <w:rPr>
          <w:sz w:val="24"/>
          <w:szCs w:val="24"/>
          <w:lang w:val="en-US"/>
        </w:rPr>
        <w:t xml:space="preserve"> respondent</w:t>
      </w:r>
    </w:p>
    <w:p w:rsidR="00243892" w:rsidRPr="00FF0DB4" w:rsidRDefault="00243892" w:rsidP="00FF0DB4">
      <w:pPr>
        <w:pStyle w:val="NoSpacing"/>
        <w:jc w:val="both"/>
        <w:rPr>
          <w:sz w:val="24"/>
          <w:szCs w:val="24"/>
          <w:lang w:val="en-US"/>
        </w:rPr>
      </w:pPr>
      <w:r w:rsidRPr="00FF0DB4">
        <w:rPr>
          <w:i/>
          <w:sz w:val="24"/>
          <w:szCs w:val="24"/>
          <w:lang w:val="en-US"/>
        </w:rPr>
        <w:t>B. Moyo</w:t>
      </w:r>
      <w:r w:rsidRPr="00FF0DB4">
        <w:rPr>
          <w:sz w:val="24"/>
          <w:szCs w:val="24"/>
          <w:lang w:val="en-US"/>
        </w:rPr>
        <w:t>, for the 2</w:t>
      </w:r>
      <w:r w:rsidRPr="00FF0DB4">
        <w:rPr>
          <w:sz w:val="24"/>
          <w:szCs w:val="24"/>
          <w:vertAlign w:val="superscript"/>
          <w:lang w:val="en-US"/>
        </w:rPr>
        <w:t>nd</w:t>
      </w:r>
      <w:r w:rsidRPr="00FF0DB4">
        <w:rPr>
          <w:sz w:val="24"/>
          <w:szCs w:val="24"/>
          <w:lang w:val="en-US"/>
        </w:rPr>
        <w:t xml:space="preserve"> respondent</w:t>
      </w:r>
    </w:p>
    <w:p w:rsidR="00243892" w:rsidRPr="00FF0DB4" w:rsidRDefault="00243892" w:rsidP="00FF0DB4">
      <w:pPr>
        <w:pStyle w:val="NoSpacing"/>
        <w:jc w:val="both"/>
        <w:rPr>
          <w:sz w:val="24"/>
          <w:szCs w:val="24"/>
          <w:lang w:val="en-US"/>
        </w:rPr>
      </w:pPr>
    </w:p>
    <w:p w:rsidR="00243892" w:rsidRPr="00FF0DB4" w:rsidRDefault="00243892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</w:r>
      <w:r w:rsidRPr="00FF0DB4">
        <w:rPr>
          <w:b/>
          <w:sz w:val="24"/>
          <w:szCs w:val="24"/>
          <w:lang w:val="en-US"/>
        </w:rPr>
        <w:t>KABASA J:</w:t>
      </w:r>
      <w:r w:rsidRPr="00FF0DB4">
        <w:rPr>
          <w:b/>
          <w:sz w:val="24"/>
          <w:szCs w:val="24"/>
          <w:lang w:val="en-US"/>
        </w:rPr>
        <w:tab/>
      </w:r>
      <w:r w:rsidRPr="00FF0DB4">
        <w:rPr>
          <w:sz w:val="24"/>
          <w:szCs w:val="24"/>
          <w:lang w:val="en-US"/>
        </w:rPr>
        <w:t>The applicant and 1</w:t>
      </w:r>
      <w:r w:rsidRPr="00FF0DB4">
        <w:rPr>
          <w:sz w:val="24"/>
          <w:szCs w:val="24"/>
          <w:vertAlign w:val="superscript"/>
          <w:lang w:val="en-US"/>
        </w:rPr>
        <w:t>st</w:t>
      </w:r>
      <w:r w:rsidRPr="00FF0DB4">
        <w:rPr>
          <w:sz w:val="24"/>
          <w:szCs w:val="24"/>
          <w:lang w:val="en-US"/>
        </w:rPr>
        <w:t xml:space="preserve"> respondent have had a long standing mining dispute concerning m</w:t>
      </w:r>
      <w:r w:rsidR="00C868F5">
        <w:rPr>
          <w:sz w:val="24"/>
          <w:szCs w:val="24"/>
          <w:lang w:val="en-US"/>
        </w:rPr>
        <w:t>ining claims, Midway 21 and Clif</w:t>
      </w:r>
      <w:r w:rsidRPr="00FF0DB4">
        <w:rPr>
          <w:sz w:val="24"/>
          <w:szCs w:val="24"/>
          <w:lang w:val="en-US"/>
        </w:rPr>
        <w:t>ton 15.  The dispute was referred to the Provincial Mining Director of Masvingo who gave a determination in favour of the applicant.</w:t>
      </w:r>
    </w:p>
    <w:p w:rsidR="00243892" w:rsidRPr="00FF0DB4" w:rsidRDefault="00243892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 xml:space="preserve">The area in which the mining claim is </w:t>
      </w:r>
      <w:r w:rsidR="00A95C60" w:rsidRPr="00FF0DB4">
        <w:rPr>
          <w:sz w:val="24"/>
          <w:szCs w:val="24"/>
          <w:lang w:val="en-US"/>
        </w:rPr>
        <w:t>situated falls under Mberengwa.  Following the Masvingo Provincial Mining Director’s determination, the 1</w:t>
      </w:r>
      <w:r w:rsidR="00A95C60" w:rsidRPr="00FF0DB4">
        <w:rPr>
          <w:sz w:val="24"/>
          <w:szCs w:val="24"/>
          <w:vertAlign w:val="superscript"/>
          <w:lang w:val="en-US"/>
        </w:rPr>
        <w:t>st</w:t>
      </w:r>
      <w:r w:rsidR="00A95C60" w:rsidRPr="00FF0DB4">
        <w:rPr>
          <w:sz w:val="24"/>
          <w:szCs w:val="24"/>
          <w:lang w:val="en-US"/>
        </w:rPr>
        <w:t xml:space="preserve"> respondent took the matter to the Gweru Provincial Mining Director who also gave a determination in favour of the applicant.  Dissatisfied with the determination, the 1</w:t>
      </w:r>
      <w:r w:rsidR="00A95C60" w:rsidRPr="00FF0DB4">
        <w:rPr>
          <w:sz w:val="24"/>
          <w:szCs w:val="24"/>
          <w:vertAlign w:val="superscript"/>
          <w:lang w:val="en-US"/>
        </w:rPr>
        <w:t>st</w:t>
      </w:r>
      <w:r w:rsidR="00A95C60" w:rsidRPr="00FF0DB4">
        <w:rPr>
          <w:sz w:val="24"/>
          <w:szCs w:val="24"/>
          <w:lang w:val="en-US"/>
        </w:rPr>
        <w:t xml:space="preserve"> respondent appealed to the Minister of Mines and Mining Development and was successful.  The effect of the Minister’s determination was a cancellation of the registration certificate for Midway 21 which is the claim applicant contend</w:t>
      </w:r>
      <w:r w:rsidR="00C868F5">
        <w:rPr>
          <w:sz w:val="24"/>
          <w:szCs w:val="24"/>
          <w:lang w:val="en-US"/>
        </w:rPr>
        <w:t>s</w:t>
      </w:r>
      <w:r w:rsidR="00A95C60" w:rsidRPr="00FF0DB4">
        <w:rPr>
          <w:sz w:val="24"/>
          <w:szCs w:val="24"/>
          <w:lang w:val="en-US"/>
        </w:rPr>
        <w:t xml:space="preserve"> belongs to it.</w:t>
      </w:r>
    </w:p>
    <w:p w:rsidR="00A95C60" w:rsidRPr="00FF0DB4" w:rsidRDefault="00A95C60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>Aggrieved with the Minister’s decision, the applicant bro</w:t>
      </w:r>
      <w:r w:rsidR="00C868F5">
        <w:rPr>
          <w:sz w:val="24"/>
          <w:szCs w:val="24"/>
          <w:lang w:val="en-US"/>
        </w:rPr>
        <w:t>ught the matter on review to this</w:t>
      </w:r>
      <w:r w:rsidRPr="00FF0DB4">
        <w:rPr>
          <w:sz w:val="24"/>
          <w:szCs w:val="24"/>
          <w:lang w:val="en-US"/>
        </w:rPr>
        <w:t xml:space="preserve"> court.  In that application the applicant sought the following relief:</w:t>
      </w:r>
    </w:p>
    <w:p w:rsidR="00A95C60" w:rsidRPr="00FF0DB4" w:rsidRDefault="00A95C60" w:rsidP="00FF0DB4">
      <w:pPr>
        <w:pStyle w:val="NoSpacing"/>
        <w:ind w:left="720"/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“The determination by the 3</w:t>
      </w:r>
      <w:r w:rsidRPr="00FF0DB4">
        <w:rPr>
          <w:sz w:val="24"/>
          <w:szCs w:val="24"/>
          <w:vertAlign w:val="superscript"/>
          <w:lang w:val="en-US"/>
        </w:rPr>
        <w:t>rd</w:t>
      </w:r>
      <w:r w:rsidR="00C868F5">
        <w:rPr>
          <w:sz w:val="24"/>
          <w:szCs w:val="24"/>
          <w:lang w:val="en-US"/>
        </w:rPr>
        <w:t xml:space="preserve"> respondent</w:t>
      </w:r>
      <w:r w:rsidRPr="00FF0DB4">
        <w:rPr>
          <w:sz w:val="24"/>
          <w:szCs w:val="24"/>
          <w:lang w:val="en-US"/>
        </w:rPr>
        <w:t xml:space="preserve"> dated 17 July 2015 cancelling Midway 21 mining registration certificate held by applicant be and is hereby set aside.”</w:t>
      </w:r>
    </w:p>
    <w:p w:rsidR="00A95C60" w:rsidRPr="00FF0DB4" w:rsidRDefault="00A95C60" w:rsidP="00FF0DB4">
      <w:pPr>
        <w:jc w:val="both"/>
        <w:rPr>
          <w:sz w:val="24"/>
          <w:szCs w:val="24"/>
          <w:lang w:val="en-US"/>
        </w:rPr>
      </w:pPr>
    </w:p>
    <w:p w:rsidR="00A95C60" w:rsidRPr="00FF0DB4" w:rsidRDefault="00A95C60" w:rsidP="00FF0DB4">
      <w:pPr>
        <w:ind w:firstLine="720"/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In a judgment handed down on 1</w:t>
      </w:r>
      <w:r w:rsidRPr="00FF0DB4">
        <w:rPr>
          <w:sz w:val="24"/>
          <w:szCs w:val="24"/>
          <w:vertAlign w:val="superscript"/>
          <w:lang w:val="en-US"/>
        </w:rPr>
        <w:t>st</w:t>
      </w:r>
      <w:r w:rsidRPr="00FF0DB4">
        <w:rPr>
          <w:sz w:val="24"/>
          <w:szCs w:val="24"/>
          <w:lang w:val="en-US"/>
        </w:rPr>
        <w:t xml:space="preserve"> June 2017, T</w:t>
      </w:r>
      <w:r w:rsidRPr="00FF0DB4">
        <w:rPr>
          <w:sz w:val="20"/>
          <w:szCs w:val="20"/>
          <w:lang w:val="en-US"/>
        </w:rPr>
        <w:t>AKUVA</w:t>
      </w:r>
      <w:r w:rsidRPr="00FF0DB4">
        <w:rPr>
          <w:sz w:val="24"/>
          <w:szCs w:val="24"/>
          <w:lang w:val="en-US"/>
        </w:rPr>
        <w:t xml:space="preserve"> J granted the application, effectively reversing the Minister’s decision.  The 1</w:t>
      </w:r>
      <w:r w:rsidRPr="00FF0DB4">
        <w:rPr>
          <w:sz w:val="24"/>
          <w:szCs w:val="24"/>
          <w:vertAlign w:val="superscript"/>
          <w:lang w:val="en-US"/>
        </w:rPr>
        <w:t>st</w:t>
      </w:r>
      <w:r w:rsidRPr="00FF0DB4">
        <w:rPr>
          <w:sz w:val="24"/>
          <w:szCs w:val="24"/>
          <w:lang w:val="en-US"/>
        </w:rPr>
        <w:t xml:space="preserve"> respondent noted an appeal which was however</w:t>
      </w:r>
      <w:r w:rsidR="00A87D61" w:rsidRPr="00FF0DB4">
        <w:rPr>
          <w:sz w:val="24"/>
          <w:szCs w:val="24"/>
          <w:lang w:val="en-US"/>
        </w:rPr>
        <w:t xml:space="preserve"> aborted</w:t>
      </w:r>
      <w:r w:rsidR="00DA53AF" w:rsidRPr="00FF0DB4">
        <w:rPr>
          <w:sz w:val="24"/>
          <w:szCs w:val="24"/>
          <w:lang w:val="en-US"/>
        </w:rPr>
        <w:t>.</w:t>
      </w:r>
    </w:p>
    <w:p w:rsidR="00DA53AF" w:rsidRPr="00FF0DB4" w:rsidRDefault="00DA53AF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lastRenderedPageBreak/>
        <w:tab/>
        <w:t>The wrangle between the parties appeared not to have abated resulting in the 2</w:t>
      </w:r>
      <w:r w:rsidRPr="00FF0DB4">
        <w:rPr>
          <w:sz w:val="24"/>
          <w:szCs w:val="24"/>
          <w:vertAlign w:val="superscript"/>
          <w:lang w:val="en-US"/>
        </w:rPr>
        <w:t>nd</w:t>
      </w:r>
      <w:r w:rsidR="00C868F5">
        <w:rPr>
          <w:sz w:val="24"/>
          <w:szCs w:val="24"/>
          <w:lang w:val="en-US"/>
        </w:rPr>
        <w:t xml:space="preserve"> respondent</w:t>
      </w:r>
      <w:r w:rsidRPr="00FF0DB4">
        <w:rPr>
          <w:sz w:val="24"/>
          <w:szCs w:val="24"/>
          <w:lang w:val="en-US"/>
        </w:rPr>
        <w:t xml:space="preserve"> issui</w:t>
      </w:r>
      <w:r w:rsidR="009752FD" w:rsidRPr="00FF0DB4">
        <w:rPr>
          <w:sz w:val="24"/>
          <w:szCs w:val="24"/>
          <w:lang w:val="en-US"/>
        </w:rPr>
        <w:t>ng a directive suspending mining and a</w:t>
      </w:r>
      <w:r w:rsidR="00C868F5">
        <w:rPr>
          <w:sz w:val="24"/>
          <w:szCs w:val="24"/>
          <w:lang w:val="en-US"/>
        </w:rPr>
        <w:t>llied operations at the disputed</w:t>
      </w:r>
      <w:r w:rsidR="009752FD" w:rsidRPr="00FF0DB4">
        <w:rPr>
          <w:sz w:val="24"/>
          <w:szCs w:val="24"/>
          <w:lang w:val="en-US"/>
        </w:rPr>
        <w:t xml:space="preserve"> mining claim </w:t>
      </w:r>
      <w:r w:rsidR="00A87D61" w:rsidRPr="00FF0DB4">
        <w:rPr>
          <w:sz w:val="24"/>
          <w:szCs w:val="24"/>
          <w:lang w:val="en-US"/>
        </w:rPr>
        <w:t>until</w:t>
      </w:r>
      <w:r w:rsidR="009752FD" w:rsidRPr="00FF0DB4">
        <w:rPr>
          <w:sz w:val="24"/>
          <w:szCs w:val="24"/>
          <w:lang w:val="en-US"/>
        </w:rPr>
        <w:t xml:space="preserve"> the resolution of the matter.  The 1</w:t>
      </w:r>
      <w:r w:rsidR="009752FD" w:rsidRPr="00FF0DB4">
        <w:rPr>
          <w:sz w:val="24"/>
          <w:szCs w:val="24"/>
          <w:vertAlign w:val="superscript"/>
          <w:lang w:val="en-US"/>
        </w:rPr>
        <w:t>st</w:t>
      </w:r>
      <w:r w:rsidR="009752FD" w:rsidRPr="00FF0DB4">
        <w:rPr>
          <w:sz w:val="24"/>
          <w:szCs w:val="24"/>
          <w:lang w:val="en-US"/>
        </w:rPr>
        <w:t xml:space="preserve"> respondent was unhappy with the directive and filed an application for a declaratur seeking to nullify the 2</w:t>
      </w:r>
      <w:r w:rsidR="009752FD" w:rsidRPr="00FF0DB4">
        <w:rPr>
          <w:sz w:val="24"/>
          <w:szCs w:val="24"/>
          <w:vertAlign w:val="superscript"/>
          <w:lang w:val="en-US"/>
        </w:rPr>
        <w:t>nd</w:t>
      </w:r>
      <w:r w:rsidR="009752FD" w:rsidRPr="00FF0DB4">
        <w:rPr>
          <w:sz w:val="24"/>
          <w:szCs w:val="24"/>
          <w:lang w:val="en-US"/>
        </w:rPr>
        <w:t xml:space="preserve"> respondent’s decision.  In a judgment handed down on 11 May 2020 M</w:t>
      </w:r>
      <w:r w:rsidR="009752FD" w:rsidRPr="00FF0DB4">
        <w:rPr>
          <w:sz w:val="20"/>
          <w:szCs w:val="20"/>
          <w:lang w:val="en-US"/>
        </w:rPr>
        <w:t>AKONESE</w:t>
      </w:r>
      <w:r w:rsidR="009752FD" w:rsidRPr="00FF0DB4">
        <w:rPr>
          <w:sz w:val="24"/>
          <w:szCs w:val="24"/>
          <w:lang w:val="en-US"/>
        </w:rPr>
        <w:t xml:space="preserve"> J granted the application, declaring the 2</w:t>
      </w:r>
      <w:r w:rsidR="009752FD" w:rsidRPr="00FF0DB4">
        <w:rPr>
          <w:sz w:val="24"/>
          <w:szCs w:val="24"/>
          <w:vertAlign w:val="superscript"/>
          <w:lang w:val="en-US"/>
        </w:rPr>
        <w:t>nd</w:t>
      </w:r>
      <w:r w:rsidR="009752FD" w:rsidRPr="00FF0DB4">
        <w:rPr>
          <w:sz w:val="24"/>
          <w:szCs w:val="24"/>
          <w:lang w:val="en-US"/>
        </w:rPr>
        <w:t xml:space="preserve"> respondent’s order unlawful and invalid and allowing the 1</w:t>
      </w:r>
      <w:r w:rsidR="009752FD" w:rsidRPr="00FF0DB4">
        <w:rPr>
          <w:sz w:val="24"/>
          <w:szCs w:val="24"/>
          <w:vertAlign w:val="superscript"/>
          <w:lang w:val="en-US"/>
        </w:rPr>
        <w:t>st</w:t>
      </w:r>
      <w:r w:rsidR="009752FD" w:rsidRPr="00FF0DB4">
        <w:rPr>
          <w:sz w:val="24"/>
          <w:szCs w:val="24"/>
          <w:lang w:val="en-US"/>
        </w:rPr>
        <w:t xml:space="preserve"> respondent to </w:t>
      </w:r>
      <w:r w:rsidR="00A443A4">
        <w:rPr>
          <w:sz w:val="24"/>
          <w:szCs w:val="24"/>
          <w:lang w:val="en-US"/>
        </w:rPr>
        <w:t>resume mining operations at Clif</w:t>
      </w:r>
      <w:r w:rsidR="00530C69">
        <w:rPr>
          <w:sz w:val="24"/>
          <w:szCs w:val="24"/>
          <w:lang w:val="en-US"/>
        </w:rPr>
        <w:t>ton 15</w:t>
      </w:r>
      <w:r w:rsidR="009752FD" w:rsidRPr="00FF0DB4">
        <w:rPr>
          <w:sz w:val="24"/>
          <w:szCs w:val="24"/>
          <w:lang w:val="en-US"/>
        </w:rPr>
        <w:t>.</w:t>
      </w:r>
    </w:p>
    <w:p w:rsidR="009752FD" w:rsidRPr="00FF0DB4" w:rsidRDefault="009752FD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>The applicant was aggrieved by this decision and appealed to the Supreme Court.  An order by consent was subsequently granted, allowing the appeal.</w:t>
      </w:r>
    </w:p>
    <w:p w:rsidR="009752FD" w:rsidRPr="00FF0DB4" w:rsidRDefault="009752FD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 xml:space="preserve">The sum total of this endless litigation </w:t>
      </w:r>
      <w:r w:rsidR="00B30F9A" w:rsidRPr="00FF0DB4">
        <w:rPr>
          <w:sz w:val="24"/>
          <w:szCs w:val="24"/>
          <w:lang w:val="en-US"/>
        </w:rPr>
        <w:t>meant that T</w:t>
      </w:r>
      <w:r w:rsidR="00B30F9A" w:rsidRPr="00FF0DB4">
        <w:rPr>
          <w:sz w:val="20"/>
          <w:szCs w:val="20"/>
          <w:lang w:val="en-US"/>
        </w:rPr>
        <w:t>AKUVA</w:t>
      </w:r>
      <w:r w:rsidR="00B30F9A" w:rsidRPr="00FF0DB4">
        <w:rPr>
          <w:sz w:val="24"/>
          <w:szCs w:val="24"/>
          <w:lang w:val="en-US"/>
        </w:rPr>
        <w:t xml:space="preserve"> J’s jud</w:t>
      </w:r>
      <w:r w:rsidR="0084719D">
        <w:rPr>
          <w:sz w:val="24"/>
          <w:szCs w:val="24"/>
          <w:lang w:val="en-US"/>
        </w:rPr>
        <w:t>gment in HB-131-17 remained exta</w:t>
      </w:r>
      <w:r w:rsidR="00B30F9A" w:rsidRPr="00FF0DB4">
        <w:rPr>
          <w:sz w:val="24"/>
          <w:szCs w:val="24"/>
          <w:lang w:val="en-US"/>
        </w:rPr>
        <w:t>nt.  In essence applicant was successful in challenging the Minister’s decision cancelling its mining registration certificate to Midw</w:t>
      </w:r>
      <w:r w:rsidR="00542DCF" w:rsidRPr="00FF0DB4">
        <w:rPr>
          <w:sz w:val="24"/>
          <w:szCs w:val="24"/>
          <w:lang w:val="en-US"/>
        </w:rPr>
        <w:t>a</w:t>
      </w:r>
      <w:r w:rsidR="00B30F9A" w:rsidRPr="00FF0DB4">
        <w:rPr>
          <w:sz w:val="24"/>
          <w:szCs w:val="24"/>
          <w:lang w:val="en-US"/>
        </w:rPr>
        <w:t>y 21.  It is important to note that in that judgment T</w:t>
      </w:r>
      <w:r w:rsidR="00B30F9A" w:rsidRPr="00FF0DB4">
        <w:rPr>
          <w:sz w:val="20"/>
          <w:szCs w:val="20"/>
          <w:lang w:val="en-US"/>
        </w:rPr>
        <w:t>AKUVA</w:t>
      </w:r>
      <w:r w:rsidR="00B30F9A" w:rsidRPr="00FF0DB4">
        <w:rPr>
          <w:sz w:val="24"/>
          <w:szCs w:val="24"/>
          <w:lang w:val="en-US"/>
        </w:rPr>
        <w:t xml:space="preserve"> J made the following </w:t>
      </w:r>
      <w:r w:rsidR="00843536">
        <w:rPr>
          <w:sz w:val="24"/>
          <w:szCs w:val="24"/>
          <w:lang w:val="en-US"/>
        </w:rPr>
        <w:t>remark</w:t>
      </w:r>
      <w:r w:rsidR="00B30F9A" w:rsidRPr="00FF0DB4">
        <w:rPr>
          <w:sz w:val="24"/>
          <w:szCs w:val="24"/>
          <w:lang w:val="en-US"/>
        </w:rPr>
        <w:t>s:</w:t>
      </w:r>
    </w:p>
    <w:p w:rsidR="00B30F9A" w:rsidRPr="00FF0DB4" w:rsidRDefault="00B30F9A" w:rsidP="00FF0DB4">
      <w:pPr>
        <w:pStyle w:val="NoSpacing"/>
        <w:ind w:left="720"/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“The 1</w:t>
      </w:r>
      <w:r w:rsidRPr="00FF0DB4">
        <w:rPr>
          <w:sz w:val="24"/>
          <w:szCs w:val="24"/>
          <w:vertAlign w:val="superscript"/>
          <w:lang w:val="en-US"/>
        </w:rPr>
        <w:t>st</w:t>
      </w:r>
      <w:r w:rsidRPr="00FF0DB4">
        <w:rPr>
          <w:sz w:val="24"/>
          <w:szCs w:val="24"/>
          <w:lang w:val="en-US"/>
        </w:rPr>
        <w:t xml:space="preserve"> respondent argued quite strongly that this court should also</w:t>
      </w:r>
      <w:r w:rsidR="00542DCF" w:rsidRPr="00FF0DB4">
        <w:rPr>
          <w:sz w:val="24"/>
          <w:szCs w:val="24"/>
          <w:lang w:val="en-US"/>
        </w:rPr>
        <w:t xml:space="preserve"> simultaneously review 2</w:t>
      </w:r>
      <w:r w:rsidR="00542DCF" w:rsidRPr="00FF0DB4">
        <w:rPr>
          <w:sz w:val="24"/>
          <w:szCs w:val="24"/>
          <w:vertAlign w:val="superscript"/>
          <w:lang w:val="en-US"/>
        </w:rPr>
        <w:t>nd</w:t>
      </w:r>
      <w:r w:rsidR="00542DCF" w:rsidRPr="00FF0DB4">
        <w:rPr>
          <w:sz w:val="24"/>
          <w:szCs w:val="24"/>
          <w:lang w:val="en-US"/>
        </w:rPr>
        <w:t xml:space="preserve"> respondent’s decision which in his view, is </w:t>
      </w:r>
      <w:r w:rsidR="00FF0DB4" w:rsidRPr="00FF0DB4">
        <w:rPr>
          <w:sz w:val="24"/>
          <w:szCs w:val="24"/>
          <w:lang w:val="en-US"/>
        </w:rPr>
        <w:t>anomalous</w:t>
      </w:r>
      <w:r w:rsidR="00334B3C">
        <w:rPr>
          <w:sz w:val="24"/>
          <w:szCs w:val="24"/>
          <w:lang w:val="en-US"/>
        </w:rPr>
        <w:t xml:space="preserve"> in that Clif</w:t>
      </w:r>
      <w:r w:rsidR="00542DCF" w:rsidRPr="00FF0DB4">
        <w:rPr>
          <w:sz w:val="24"/>
          <w:szCs w:val="24"/>
          <w:lang w:val="en-US"/>
        </w:rPr>
        <w:t xml:space="preserve">ton 15 and Midway 21 are two different and distinct mining sites, which do not even share the same boundary.  First </w:t>
      </w:r>
      <w:r w:rsidR="0001040F">
        <w:rPr>
          <w:sz w:val="24"/>
          <w:szCs w:val="24"/>
          <w:lang w:val="en-US"/>
        </w:rPr>
        <w:t xml:space="preserve">respondent urged this court to </w:t>
      </w:r>
      <w:r w:rsidR="00542DCF" w:rsidRPr="00FF0DB4">
        <w:rPr>
          <w:sz w:val="24"/>
          <w:szCs w:val="24"/>
          <w:lang w:val="en-US"/>
        </w:rPr>
        <w:t>take a judicial notice of the anomaly highlighted above and proceed to make a substantive judgment that would put to rest the entire dispute between the two parties.</w:t>
      </w:r>
    </w:p>
    <w:p w:rsidR="00542DCF" w:rsidRPr="00FF0DB4" w:rsidRDefault="00542DCF" w:rsidP="00FF0DB4">
      <w:pPr>
        <w:pStyle w:val="NoSpacing"/>
        <w:jc w:val="both"/>
        <w:rPr>
          <w:sz w:val="24"/>
          <w:szCs w:val="24"/>
          <w:lang w:val="en-US"/>
        </w:rPr>
      </w:pPr>
    </w:p>
    <w:p w:rsidR="00542DCF" w:rsidRPr="00FF0DB4" w:rsidRDefault="00542DCF" w:rsidP="00FF0DB4">
      <w:pPr>
        <w:pStyle w:val="NoSpacing"/>
        <w:ind w:left="720"/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I am not persuaded by this invitation.  In my view, it would be improper to review proceedings in respect of the 2</w:t>
      </w:r>
      <w:r w:rsidRPr="00FF0DB4">
        <w:rPr>
          <w:sz w:val="24"/>
          <w:szCs w:val="24"/>
          <w:vertAlign w:val="superscript"/>
          <w:lang w:val="en-US"/>
        </w:rPr>
        <w:t>nd</w:t>
      </w:r>
      <w:r w:rsidRPr="00FF0DB4">
        <w:rPr>
          <w:sz w:val="24"/>
          <w:szCs w:val="24"/>
          <w:lang w:val="en-US"/>
        </w:rPr>
        <w:t xml:space="preserve"> respondent as they are not properly before me.  In any event, there is no basis to review these proceedings.  If 1</w:t>
      </w:r>
      <w:r w:rsidRPr="00FF0DB4">
        <w:rPr>
          <w:sz w:val="24"/>
          <w:szCs w:val="24"/>
          <w:vertAlign w:val="superscript"/>
          <w:lang w:val="en-US"/>
        </w:rPr>
        <w:t>st</w:t>
      </w:r>
      <w:r w:rsidRPr="00FF0DB4">
        <w:rPr>
          <w:sz w:val="24"/>
          <w:szCs w:val="24"/>
          <w:lang w:val="en-US"/>
        </w:rPr>
        <w:t xml:space="preserve"> respondent wanted proceedings by the 2</w:t>
      </w:r>
      <w:r w:rsidRPr="00FF0DB4">
        <w:rPr>
          <w:sz w:val="24"/>
          <w:szCs w:val="24"/>
          <w:vertAlign w:val="superscript"/>
          <w:lang w:val="en-US"/>
        </w:rPr>
        <w:t>nd</w:t>
      </w:r>
      <w:r w:rsidRPr="00FF0DB4">
        <w:rPr>
          <w:sz w:val="24"/>
          <w:szCs w:val="24"/>
          <w:lang w:val="en-US"/>
        </w:rPr>
        <w:t xml:space="preserve"> respondent reviewed, he should have done so before appealing to the Minister.”</w:t>
      </w:r>
    </w:p>
    <w:p w:rsidR="00542DCF" w:rsidRPr="00FF0DB4" w:rsidRDefault="00542DCF" w:rsidP="00FF0DB4">
      <w:pPr>
        <w:pStyle w:val="NoSpacing"/>
        <w:jc w:val="both"/>
        <w:rPr>
          <w:sz w:val="24"/>
          <w:szCs w:val="24"/>
          <w:lang w:val="en-US"/>
        </w:rPr>
      </w:pPr>
    </w:p>
    <w:p w:rsidR="00542DCF" w:rsidRPr="00FF0DB4" w:rsidRDefault="00542DCF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>The 1</w:t>
      </w:r>
      <w:r w:rsidRPr="00FF0DB4">
        <w:rPr>
          <w:sz w:val="24"/>
          <w:szCs w:val="24"/>
          <w:vertAlign w:val="superscript"/>
          <w:lang w:val="en-US"/>
        </w:rPr>
        <w:t>st</w:t>
      </w:r>
      <w:r w:rsidRPr="00FF0DB4">
        <w:rPr>
          <w:sz w:val="24"/>
          <w:szCs w:val="24"/>
          <w:lang w:val="en-US"/>
        </w:rPr>
        <w:t xml:space="preserve"> respondent therein is the 1</w:t>
      </w:r>
      <w:r w:rsidRPr="00FF0DB4">
        <w:rPr>
          <w:sz w:val="24"/>
          <w:szCs w:val="24"/>
          <w:vertAlign w:val="superscript"/>
          <w:lang w:val="en-US"/>
        </w:rPr>
        <w:t>st</w:t>
      </w:r>
      <w:r w:rsidRPr="00FF0DB4">
        <w:rPr>
          <w:sz w:val="24"/>
          <w:szCs w:val="24"/>
          <w:lang w:val="en-US"/>
        </w:rPr>
        <w:t xml:space="preserve"> respondent </w:t>
      </w:r>
      <w:r w:rsidRPr="00FF0DB4">
        <w:rPr>
          <w:i/>
          <w:sz w:val="24"/>
          <w:szCs w:val="24"/>
          <w:lang w:val="en-US"/>
        </w:rPr>
        <w:t>in casu</w:t>
      </w:r>
      <w:r w:rsidRPr="00FF0DB4">
        <w:rPr>
          <w:sz w:val="24"/>
          <w:szCs w:val="24"/>
          <w:lang w:val="en-US"/>
        </w:rPr>
        <w:t xml:space="preserve"> and the 2</w:t>
      </w:r>
      <w:r w:rsidRPr="00FF0DB4">
        <w:rPr>
          <w:sz w:val="24"/>
          <w:szCs w:val="24"/>
          <w:vertAlign w:val="superscript"/>
          <w:lang w:val="en-US"/>
        </w:rPr>
        <w:t>nd</w:t>
      </w:r>
      <w:r w:rsidRPr="00FF0DB4">
        <w:rPr>
          <w:sz w:val="24"/>
          <w:szCs w:val="24"/>
          <w:lang w:val="en-US"/>
        </w:rPr>
        <w:t xml:space="preserve"> respondent is</w:t>
      </w:r>
      <w:r w:rsidR="007C71A9">
        <w:rPr>
          <w:sz w:val="24"/>
          <w:szCs w:val="24"/>
          <w:lang w:val="en-US"/>
        </w:rPr>
        <w:t xml:space="preserve"> also</w:t>
      </w:r>
      <w:r w:rsidRPr="00FF0DB4">
        <w:rPr>
          <w:sz w:val="24"/>
          <w:szCs w:val="24"/>
          <w:lang w:val="en-US"/>
        </w:rPr>
        <w:t xml:space="preserve"> the 2</w:t>
      </w:r>
      <w:r w:rsidRPr="00FF0DB4">
        <w:rPr>
          <w:sz w:val="24"/>
          <w:szCs w:val="24"/>
          <w:vertAlign w:val="superscript"/>
          <w:lang w:val="en-US"/>
        </w:rPr>
        <w:t>nd</w:t>
      </w:r>
      <w:r w:rsidRPr="00FF0DB4">
        <w:rPr>
          <w:sz w:val="24"/>
          <w:szCs w:val="24"/>
          <w:lang w:val="en-US"/>
        </w:rPr>
        <w:t xml:space="preserve"> respondent </w:t>
      </w:r>
      <w:r w:rsidRPr="00FF0DB4">
        <w:rPr>
          <w:i/>
          <w:sz w:val="24"/>
          <w:szCs w:val="24"/>
          <w:lang w:val="en-US"/>
        </w:rPr>
        <w:t>in casu</w:t>
      </w:r>
      <w:r w:rsidRPr="00FF0DB4">
        <w:rPr>
          <w:sz w:val="24"/>
          <w:szCs w:val="24"/>
          <w:lang w:val="en-US"/>
        </w:rPr>
        <w:t>.  The 2</w:t>
      </w:r>
      <w:r w:rsidRPr="00FF0DB4">
        <w:rPr>
          <w:sz w:val="24"/>
          <w:szCs w:val="24"/>
          <w:vertAlign w:val="superscript"/>
          <w:lang w:val="en-US"/>
        </w:rPr>
        <w:t>nd</w:t>
      </w:r>
      <w:r w:rsidRPr="00FF0DB4">
        <w:rPr>
          <w:sz w:val="24"/>
          <w:szCs w:val="24"/>
          <w:lang w:val="en-US"/>
        </w:rPr>
        <w:t xml:space="preserve"> respondent’s decision that Midway 21 resu</w:t>
      </w:r>
      <w:r w:rsidR="00C77821">
        <w:rPr>
          <w:sz w:val="24"/>
          <w:szCs w:val="24"/>
          <w:lang w:val="en-US"/>
        </w:rPr>
        <w:t>me full mining operations becam</w:t>
      </w:r>
      <w:r w:rsidRPr="00FF0DB4">
        <w:rPr>
          <w:sz w:val="24"/>
          <w:szCs w:val="24"/>
          <w:lang w:val="en-US"/>
        </w:rPr>
        <w:t>e the operational order</w:t>
      </w:r>
      <w:r w:rsidR="002C35B3" w:rsidRPr="00FF0DB4">
        <w:rPr>
          <w:sz w:val="24"/>
          <w:szCs w:val="24"/>
          <w:lang w:val="en-US"/>
        </w:rPr>
        <w:t xml:space="preserve"> following the setting aside of the Minister’s decision by T</w:t>
      </w:r>
      <w:r w:rsidR="002C35B3" w:rsidRPr="00FF0DB4">
        <w:rPr>
          <w:sz w:val="20"/>
          <w:szCs w:val="20"/>
          <w:lang w:val="en-US"/>
        </w:rPr>
        <w:t>AKUVA</w:t>
      </w:r>
      <w:r w:rsidR="002C35B3" w:rsidRPr="00FF0DB4">
        <w:rPr>
          <w:sz w:val="24"/>
          <w:szCs w:val="24"/>
          <w:lang w:val="en-US"/>
        </w:rPr>
        <w:t xml:space="preserve"> J.</w:t>
      </w:r>
    </w:p>
    <w:p w:rsidR="00B5381A" w:rsidRDefault="002C35B3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>On 20</w:t>
      </w:r>
      <w:r w:rsidRPr="00FF0DB4">
        <w:rPr>
          <w:sz w:val="24"/>
          <w:szCs w:val="24"/>
          <w:vertAlign w:val="superscript"/>
          <w:lang w:val="en-US"/>
        </w:rPr>
        <w:t>th</w:t>
      </w:r>
      <w:r w:rsidRPr="00FF0DB4">
        <w:rPr>
          <w:sz w:val="24"/>
          <w:szCs w:val="24"/>
          <w:lang w:val="en-US"/>
        </w:rPr>
        <w:t xml:space="preserve"> April 2021 the applicant filed the present application in terms of section 14 of the High Court Act, Chapter 7:06 seeking a declaratur.</w:t>
      </w:r>
      <w:r w:rsidR="00B5381A">
        <w:rPr>
          <w:sz w:val="24"/>
          <w:szCs w:val="24"/>
          <w:lang w:val="en-US"/>
        </w:rPr>
        <w:t xml:space="preserve"> The applicant sought the following order:</w:t>
      </w:r>
    </w:p>
    <w:p w:rsidR="00B5381A" w:rsidRDefault="00B5381A" w:rsidP="00FF0DB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 The applicant be and is hereby declared to be the legitimate holder of title over the mining claim known by applicant as Midway 21 and known by 1</w:t>
      </w:r>
      <w:r w:rsidRPr="00B5381A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respondent as Clifton 15.</w:t>
      </w:r>
    </w:p>
    <w:p w:rsidR="00B5381A" w:rsidRDefault="00B5381A" w:rsidP="00FF0DB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1</w:t>
      </w:r>
      <w:r w:rsidRPr="00B5381A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respondent, his agents, proxies and anyone mining through him be and are hereby evicted from the mining claim known by applicant as Midway 21 and known by 1</w:t>
      </w:r>
      <w:r w:rsidRPr="00B5381A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respondent as Clifton 15”</w:t>
      </w:r>
    </w:p>
    <w:p w:rsidR="002C35B3" w:rsidRPr="00FF0DB4" w:rsidRDefault="002C35B3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 xml:space="preserve">  In his founding affidavit, Herbert Kwenzani who identified himself as a member of the applicant’s mining syndicate seeks the applicant to be declared the legitimate holder over the disputed claim on the basis of T</w:t>
      </w:r>
      <w:r w:rsidRPr="00AD7178">
        <w:rPr>
          <w:sz w:val="20"/>
          <w:szCs w:val="20"/>
          <w:lang w:val="en-US"/>
        </w:rPr>
        <w:t>AKUVA</w:t>
      </w:r>
      <w:r w:rsidRPr="00FF0DB4">
        <w:rPr>
          <w:sz w:val="24"/>
          <w:szCs w:val="24"/>
          <w:lang w:val="en-US"/>
        </w:rPr>
        <w:t xml:space="preserve"> J’s judgment and alternatively on the basis of the apparent irregularities in the decision of the Minister.</w:t>
      </w:r>
    </w:p>
    <w:p w:rsidR="002C35B3" w:rsidRPr="00FF0DB4" w:rsidRDefault="002C35B3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>In opposing the application the 1</w:t>
      </w:r>
      <w:r w:rsidRPr="00FF0DB4">
        <w:rPr>
          <w:sz w:val="24"/>
          <w:szCs w:val="24"/>
          <w:vertAlign w:val="superscript"/>
          <w:lang w:val="en-US"/>
        </w:rPr>
        <w:t>st</w:t>
      </w:r>
      <w:r w:rsidRPr="00FF0DB4">
        <w:rPr>
          <w:sz w:val="24"/>
          <w:szCs w:val="24"/>
          <w:lang w:val="en-US"/>
        </w:rPr>
        <w:t xml:space="preserve"> and 2</w:t>
      </w:r>
      <w:r w:rsidRPr="00FF0DB4">
        <w:rPr>
          <w:sz w:val="24"/>
          <w:szCs w:val="24"/>
          <w:vertAlign w:val="superscript"/>
          <w:lang w:val="en-US"/>
        </w:rPr>
        <w:t>nd</w:t>
      </w:r>
      <w:r w:rsidRPr="00FF0DB4">
        <w:rPr>
          <w:sz w:val="24"/>
          <w:szCs w:val="24"/>
          <w:lang w:val="en-US"/>
        </w:rPr>
        <w:t xml:space="preserve"> respondents raised preliminary points.  These are:-</w:t>
      </w:r>
    </w:p>
    <w:p w:rsidR="002C35B3" w:rsidRPr="00FF0DB4" w:rsidRDefault="002C35B3" w:rsidP="00FF0D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The application seeks to declare T</w:t>
      </w:r>
      <w:r w:rsidRPr="00FF0DB4">
        <w:rPr>
          <w:sz w:val="20"/>
          <w:szCs w:val="20"/>
          <w:lang w:val="en-US"/>
        </w:rPr>
        <w:t>AKUVA</w:t>
      </w:r>
      <w:r w:rsidR="00747EA4">
        <w:rPr>
          <w:sz w:val="24"/>
          <w:szCs w:val="24"/>
          <w:lang w:val="en-US"/>
        </w:rPr>
        <w:t xml:space="preserve"> J’s judgment exta</w:t>
      </w:r>
      <w:r w:rsidRPr="00FF0DB4">
        <w:rPr>
          <w:sz w:val="24"/>
          <w:szCs w:val="24"/>
          <w:lang w:val="en-US"/>
        </w:rPr>
        <w:t>nt and en</w:t>
      </w:r>
      <w:r w:rsidR="00FF0DB4" w:rsidRPr="00FF0DB4">
        <w:rPr>
          <w:sz w:val="24"/>
          <w:szCs w:val="24"/>
          <w:lang w:val="en-US"/>
        </w:rPr>
        <w:t>for</w:t>
      </w:r>
      <w:r w:rsidRPr="00FF0DB4">
        <w:rPr>
          <w:sz w:val="24"/>
          <w:szCs w:val="24"/>
          <w:lang w:val="en-US"/>
        </w:rPr>
        <w:t xml:space="preserve">ceable and this is untenable as that judgment does not require an </w:t>
      </w:r>
      <w:r w:rsidR="00747EA4">
        <w:rPr>
          <w:sz w:val="24"/>
          <w:szCs w:val="24"/>
          <w:lang w:val="en-US"/>
        </w:rPr>
        <w:t>accesso</w:t>
      </w:r>
      <w:r w:rsidR="00FF0DB4" w:rsidRPr="00FF0DB4">
        <w:rPr>
          <w:sz w:val="24"/>
          <w:szCs w:val="24"/>
          <w:lang w:val="en-US"/>
        </w:rPr>
        <w:t>ry</w:t>
      </w:r>
      <w:r w:rsidRPr="00FF0DB4">
        <w:rPr>
          <w:sz w:val="24"/>
          <w:szCs w:val="24"/>
          <w:lang w:val="en-US"/>
        </w:rPr>
        <w:t xml:space="preserve"> judgment for it to be enforceable.</w:t>
      </w:r>
    </w:p>
    <w:p w:rsidR="002C35B3" w:rsidRPr="00FF0DB4" w:rsidRDefault="002C35B3" w:rsidP="00FF0D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The application is an attempt to review the Minister of Mines an</w:t>
      </w:r>
      <w:r w:rsidR="00747EA4">
        <w:rPr>
          <w:sz w:val="24"/>
          <w:szCs w:val="24"/>
          <w:lang w:val="en-US"/>
        </w:rPr>
        <w:t>d Mining Development’s decision well out of time.</w:t>
      </w:r>
    </w:p>
    <w:p w:rsidR="002C35B3" w:rsidRPr="00FF0DB4" w:rsidRDefault="002C35B3" w:rsidP="00FF0D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The relief sought as consequential relief seeks the cancellation of 1</w:t>
      </w:r>
      <w:r w:rsidRPr="00FF0DB4">
        <w:rPr>
          <w:sz w:val="24"/>
          <w:szCs w:val="24"/>
          <w:vertAlign w:val="superscript"/>
          <w:lang w:val="en-US"/>
        </w:rPr>
        <w:t>st</w:t>
      </w:r>
      <w:r w:rsidRPr="00FF0DB4">
        <w:rPr>
          <w:sz w:val="24"/>
          <w:szCs w:val="24"/>
          <w:lang w:val="en-US"/>
        </w:rPr>
        <w:t xml:space="preserve"> respondent’s certificate</w:t>
      </w:r>
      <w:r w:rsidR="00F055C1" w:rsidRPr="00FF0DB4">
        <w:rPr>
          <w:sz w:val="24"/>
          <w:szCs w:val="24"/>
          <w:lang w:val="en-US"/>
        </w:rPr>
        <w:t xml:space="preserve"> of registratio</w:t>
      </w:r>
      <w:r w:rsidR="00747EA4">
        <w:rPr>
          <w:sz w:val="24"/>
          <w:szCs w:val="24"/>
          <w:lang w:val="en-US"/>
        </w:rPr>
        <w:t>n by this court and therefore improperly using the cou</w:t>
      </w:r>
      <w:r w:rsidR="00F055C1" w:rsidRPr="00FF0DB4">
        <w:rPr>
          <w:sz w:val="24"/>
          <w:szCs w:val="24"/>
          <w:lang w:val="en-US"/>
        </w:rPr>
        <w:t xml:space="preserve">rt as </w:t>
      </w:r>
      <w:r w:rsidR="00747EA4">
        <w:rPr>
          <w:sz w:val="24"/>
          <w:szCs w:val="24"/>
          <w:lang w:val="en-US"/>
        </w:rPr>
        <w:t>a court of first instance when such</w:t>
      </w:r>
      <w:r w:rsidR="00F055C1" w:rsidRPr="00FF0DB4">
        <w:rPr>
          <w:sz w:val="24"/>
          <w:szCs w:val="24"/>
          <w:lang w:val="en-US"/>
        </w:rPr>
        <w:t xml:space="preserve"> cancellation is within the purview of the 2</w:t>
      </w:r>
      <w:r w:rsidR="00F055C1" w:rsidRPr="00FF0DB4">
        <w:rPr>
          <w:sz w:val="24"/>
          <w:szCs w:val="24"/>
          <w:vertAlign w:val="superscript"/>
          <w:lang w:val="en-US"/>
        </w:rPr>
        <w:t>nd</w:t>
      </w:r>
      <w:r w:rsidR="00F055C1" w:rsidRPr="00FF0DB4">
        <w:rPr>
          <w:sz w:val="24"/>
          <w:szCs w:val="24"/>
          <w:lang w:val="en-US"/>
        </w:rPr>
        <w:t xml:space="preserve"> respondent.</w:t>
      </w:r>
    </w:p>
    <w:p w:rsidR="00F055C1" w:rsidRPr="00FF0DB4" w:rsidRDefault="00F055C1" w:rsidP="00FF0DB4">
      <w:pPr>
        <w:ind w:left="720"/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Counsel for the 2</w:t>
      </w:r>
      <w:r w:rsidRPr="00FF0DB4">
        <w:rPr>
          <w:sz w:val="24"/>
          <w:szCs w:val="24"/>
          <w:vertAlign w:val="superscript"/>
          <w:lang w:val="en-US"/>
        </w:rPr>
        <w:t>nd</w:t>
      </w:r>
      <w:r w:rsidRPr="00FF0DB4">
        <w:rPr>
          <w:sz w:val="24"/>
          <w:szCs w:val="24"/>
          <w:lang w:val="en-US"/>
        </w:rPr>
        <w:t xml:space="preserve"> respondent associated himself with </w:t>
      </w:r>
      <w:r w:rsidRPr="00FF0DB4">
        <w:rPr>
          <w:i/>
          <w:sz w:val="24"/>
          <w:szCs w:val="24"/>
          <w:lang w:val="en-US"/>
        </w:rPr>
        <w:t>Mr Mwonzora’s</w:t>
      </w:r>
      <w:r w:rsidRPr="00FF0DB4">
        <w:rPr>
          <w:sz w:val="24"/>
          <w:szCs w:val="24"/>
          <w:lang w:val="en-US"/>
        </w:rPr>
        <w:t xml:space="preserve"> submissions on these preliminary po</w:t>
      </w:r>
      <w:r w:rsidR="00593448" w:rsidRPr="00FF0DB4">
        <w:rPr>
          <w:sz w:val="24"/>
          <w:szCs w:val="24"/>
          <w:lang w:val="en-US"/>
        </w:rPr>
        <w:t>i</w:t>
      </w:r>
      <w:r w:rsidRPr="00FF0DB4">
        <w:rPr>
          <w:sz w:val="24"/>
          <w:szCs w:val="24"/>
          <w:lang w:val="en-US"/>
        </w:rPr>
        <w:t>nts.</w:t>
      </w:r>
    </w:p>
    <w:p w:rsidR="00F055C1" w:rsidRPr="00FF0DB4" w:rsidRDefault="00F055C1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>In response counsel for the applicant contended that he intended to withdraw the ground relating to the irregularities in the Minister’s decision and leave the ground anchored on the judgment by T</w:t>
      </w:r>
      <w:r w:rsidRPr="00FF0DB4">
        <w:rPr>
          <w:sz w:val="20"/>
          <w:szCs w:val="20"/>
          <w:lang w:val="en-US"/>
        </w:rPr>
        <w:t>AKUVA</w:t>
      </w:r>
      <w:r w:rsidRPr="00FF0DB4">
        <w:rPr>
          <w:sz w:val="24"/>
          <w:szCs w:val="24"/>
          <w:lang w:val="en-US"/>
        </w:rPr>
        <w:t xml:space="preserve"> J.</w:t>
      </w:r>
    </w:p>
    <w:p w:rsidR="00F055C1" w:rsidRPr="00FF0DB4" w:rsidRDefault="00F055C1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 xml:space="preserve">This judgment is concerned with the points </w:t>
      </w:r>
      <w:r w:rsidRPr="00FF0DB4">
        <w:rPr>
          <w:i/>
          <w:sz w:val="24"/>
          <w:szCs w:val="24"/>
          <w:lang w:val="en-US"/>
        </w:rPr>
        <w:t>in limine</w:t>
      </w:r>
      <w:r w:rsidRPr="00FF0DB4">
        <w:rPr>
          <w:sz w:val="24"/>
          <w:szCs w:val="24"/>
          <w:lang w:val="en-US"/>
        </w:rPr>
        <w:t xml:space="preserve"> as I consider them dispo</w:t>
      </w:r>
      <w:r w:rsidR="00A87D61" w:rsidRPr="00FF0DB4">
        <w:rPr>
          <w:sz w:val="24"/>
          <w:szCs w:val="24"/>
          <w:lang w:val="en-US"/>
        </w:rPr>
        <w:t>si</w:t>
      </w:r>
      <w:r w:rsidRPr="00FF0DB4">
        <w:rPr>
          <w:sz w:val="24"/>
          <w:szCs w:val="24"/>
          <w:lang w:val="en-US"/>
        </w:rPr>
        <w:t>tive of the matter</w:t>
      </w:r>
      <w:r w:rsidR="009B07DA" w:rsidRPr="00FF0DB4">
        <w:rPr>
          <w:sz w:val="24"/>
          <w:szCs w:val="24"/>
          <w:lang w:val="en-US"/>
        </w:rPr>
        <w:t>.  (</w:t>
      </w:r>
      <w:r w:rsidR="009B07DA" w:rsidRPr="00FF0DB4">
        <w:rPr>
          <w:i/>
          <w:sz w:val="24"/>
          <w:szCs w:val="24"/>
          <w:lang w:val="en-US"/>
        </w:rPr>
        <w:t>Mbatha</w:t>
      </w:r>
      <w:r w:rsidR="009B07DA" w:rsidRPr="00FF0DB4">
        <w:rPr>
          <w:sz w:val="24"/>
          <w:szCs w:val="24"/>
          <w:lang w:val="en-US"/>
        </w:rPr>
        <w:t xml:space="preserve"> v </w:t>
      </w:r>
      <w:r w:rsidR="009B07DA" w:rsidRPr="00FF0DB4">
        <w:rPr>
          <w:i/>
          <w:sz w:val="24"/>
          <w:szCs w:val="24"/>
          <w:lang w:val="en-US"/>
        </w:rPr>
        <w:t xml:space="preserve">Ncube &amp; </w:t>
      </w:r>
      <w:proofErr w:type="gramStart"/>
      <w:r w:rsidR="009B07DA" w:rsidRPr="00FF0DB4">
        <w:rPr>
          <w:i/>
          <w:sz w:val="24"/>
          <w:szCs w:val="24"/>
          <w:lang w:val="en-US"/>
        </w:rPr>
        <w:t>Another</w:t>
      </w:r>
      <w:proofErr w:type="gramEnd"/>
      <w:r w:rsidR="005F0073">
        <w:rPr>
          <w:sz w:val="24"/>
          <w:szCs w:val="24"/>
          <w:lang w:val="en-US"/>
        </w:rPr>
        <w:t xml:space="preserve"> HH-648-2021, </w:t>
      </w:r>
      <w:r w:rsidR="005F0073" w:rsidRPr="005F0073">
        <w:rPr>
          <w:i/>
          <w:sz w:val="24"/>
          <w:szCs w:val="24"/>
          <w:lang w:val="en-US"/>
        </w:rPr>
        <w:t xml:space="preserve">Telecel Zimbabwe (Pvt) Ltd v PORTRAZ and Others </w:t>
      </w:r>
      <w:r w:rsidR="005F0073" w:rsidRPr="00AD7178">
        <w:rPr>
          <w:sz w:val="24"/>
          <w:szCs w:val="24"/>
          <w:lang w:val="en-US"/>
        </w:rPr>
        <w:t>HH446-15</w:t>
      </w:r>
      <w:r w:rsidR="005F0073">
        <w:rPr>
          <w:i/>
          <w:sz w:val="24"/>
          <w:szCs w:val="24"/>
          <w:lang w:val="en-US"/>
        </w:rPr>
        <w:t>)</w:t>
      </w:r>
    </w:p>
    <w:p w:rsidR="009B07DA" w:rsidRPr="00FF0DB4" w:rsidRDefault="009B07DA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</w:r>
      <w:r w:rsidR="00E32CFA" w:rsidRPr="00FF0DB4">
        <w:rPr>
          <w:i/>
          <w:sz w:val="24"/>
          <w:szCs w:val="24"/>
          <w:lang w:val="en-US"/>
        </w:rPr>
        <w:t>Mr.</w:t>
      </w:r>
      <w:r w:rsidRPr="00FF0DB4">
        <w:rPr>
          <w:i/>
          <w:sz w:val="24"/>
          <w:szCs w:val="24"/>
          <w:lang w:val="en-US"/>
        </w:rPr>
        <w:t xml:space="preserve"> Mwonzora’s</w:t>
      </w:r>
      <w:r w:rsidRPr="00FF0DB4">
        <w:rPr>
          <w:sz w:val="24"/>
          <w:szCs w:val="24"/>
          <w:lang w:val="en-US"/>
        </w:rPr>
        <w:t xml:space="preserve"> argument that</w:t>
      </w:r>
      <w:r w:rsidR="00E32CFA">
        <w:rPr>
          <w:sz w:val="24"/>
          <w:szCs w:val="24"/>
          <w:lang w:val="en-US"/>
        </w:rPr>
        <w:t xml:space="preserve"> if</w:t>
      </w:r>
      <w:r w:rsidRPr="00FF0DB4">
        <w:rPr>
          <w:sz w:val="24"/>
          <w:szCs w:val="24"/>
          <w:lang w:val="en-US"/>
        </w:rPr>
        <w:t xml:space="preserve"> T</w:t>
      </w:r>
      <w:r w:rsidRPr="00FF0DB4">
        <w:rPr>
          <w:sz w:val="20"/>
          <w:szCs w:val="20"/>
          <w:lang w:val="en-US"/>
        </w:rPr>
        <w:t>AKUVA</w:t>
      </w:r>
      <w:r w:rsidR="001D76F1">
        <w:rPr>
          <w:sz w:val="24"/>
          <w:szCs w:val="24"/>
          <w:lang w:val="en-US"/>
        </w:rPr>
        <w:t xml:space="preserve"> J’s judgment is exta</w:t>
      </w:r>
      <w:r w:rsidRPr="00FF0DB4">
        <w:rPr>
          <w:sz w:val="24"/>
          <w:szCs w:val="24"/>
          <w:lang w:val="en-US"/>
        </w:rPr>
        <w:t>nt and</w:t>
      </w:r>
      <w:r w:rsidR="00E32CFA">
        <w:rPr>
          <w:sz w:val="24"/>
          <w:szCs w:val="24"/>
          <w:lang w:val="en-US"/>
        </w:rPr>
        <w:t xml:space="preserve"> enforceable as contended by the applicant, it</w:t>
      </w:r>
      <w:r w:rsidRPr="00FF0DB4">
        <w:rPr>
          <w:sz w:val="24"/>
          <w:szCs w:val="24"/>
          <w:lang w:val="en-US"/>
        </w:rPr>
        <w:t xml:space="preserve"> does not need this court to declare it so</w:t>
      </w:r>
      <w:r w:rsidR="00E32CFA">
        <w:rPr>
          <w:sz w:val="24"/>
          <w:szCs w:val="24"/>
          <w:lang w:val="en-US"/>
        </w:rPr>
        <w:t>,</w:t>
      </w:r>
      <w:r w:rsidRPr="00FF0DB4">
        <w:rPr>
          <w:sz w:val="24"/>
          <w:szCs w:val="24"/>
          <w:lang w:val="en-US"/>
        </w:rPr>
        <w:t xml:space="preserve"> is valid.  It equally does not require this court to declare it enforceable.  The a</w:t>
      </w:r>
      <w:r w:rsidR="001D76F1">
        <w:rPr>
          <w:sz w:val="24"/>
          <w:szCs w:val="24"/>
          <w:lang w:val="en-US"/>
        </w:rPr>
        <w:t>pplicant successfully challenged</w:t>
      </w:r>
      <w:r w:rsidRPr="00FF0DB4">
        <w:rPr>
          <w:sz w:val="24"/>
          <w:szCs w:val="24"/>
          <w:lang w:val="en-US"/>
        </w:rPr>
        <w:t xml:space="preserve"> the Minister’s decision and the cancellation of the registration certificate of Midway 21</w:t>
      </w:r>
      <w:r w:rsidR="001D76F1">
        <w:rPr>
          <w:sz w:val="24"/>
          <w:szCs w:val="24"/>
          <w:lang w:val="en-US"/>
        </w:rPr>
        <w:t xml:space="preserve"> was consequently revers</w:t>
      </w:r>
      <w:r w:rsidRPr="00FF0DB4">
        <w:rPr>
          <w:sz w:val="24"/>
          <w:szCs w:val="24"/>
          <w:lang w:val="en-US"/>
        </w:rPr>
        <w:t xml:space="preserve">ed.  All the applicant has to do is </w:t>
      </w:r>
      <w:r w:rsidR="00E32CFA">
        <w:rPr>
          <w:sz w:val="24"/>
          <w:szCs w:val="24"/>
          <w:lang w:val="en-US"/>
        </w:rPr>
        <w:t>enforce</w:t>
      </w:r>
      <w:r w:rsidRPr="00FF0DB4">
        <w:rPr>
          <w:sz w:val="24"/>
          <w:szCs w:val="24"/>
          <w:lang w:val="en-US"/>
        </w:rPr>
        <w:t xml:space="preserve"> that judgment.  How</w:t>
      </w:r>
      <w:r w:rsidR="006560A5" w:rsidRPr="00FF0DB4">
        <w:rPr>
          <w:sz w:val="24"/>
          <w:szCs w:val="24"/>
          <w:lang w:val="en-US"/>
        </w:rPr>
        <w:t xml:space="preserve"> </w:t>
      </w:r>
      <w:r w:rsidRPr="00FF0DB4">
        <w:rPr>
          <w:sz w:val="24"/>
          <w:szCs w:val="24"/>
          <w:lang w:val="en-US"/>
        </w:rPr>
        <w:t xml:space="preserve">it is going to enforce it is not for this court to say.  This court made a decision and that decision is extant.  It is to this </w:t>
      </w:r>
      <w:r w:rsidR="006560A5" w:rsidRPr="00FF0DB4">
        <w:rPr>
          <w:sz w:val="24"/>
          <w:szCs w:val="24"/>
          <w:lang w:val="en-US"/>
        </w:rPr>
        <w:t>extant decision that the applicant must look and not seek another judge</w:t>
      </w:r>
      <w:r w:rsidR="002F1086" w:rsidRPr="00FF0DB4">
        <w:rPr>
          <w:sz w:val="24"/>
          <w:szCs w:val="24"/>
          <w:lang w:val="en-US"/>
        </w:rPr>
        <w:t xml:space="preserve"> to declare enforceable a judge of concurrent jurisdiction’s decision.  Such an approach is novel and not legally sustainable.</w:t>
      </w:r>
    </w:p>
    <w:p w:rsidR="002F1086" w:rsidRDefault="002F1086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>This is the long and short of what the applicant seeks in stating that the a</w:t>
      </w:r>
      <w:r w:rsidR="00E32CFA">
        <w:rPr>
          <w:sz w:val="24"/>
          <w:szCs w:val="24"/>
          <w:lang w:val="en-US"/>
        </w:rPr>
        <w:t>pplication is primarily premised</w:t>
      </w:r>
      <w:r w:rsidRPr="00FF0DB4">
        <w:rPr>
          <w:sz w:val="24"/>
          <w:szCs w:val="24"/>
          <w:lang w:val="en-US"/>
        </w:rPr>
        <w:t xml:space="preserve"> on the fact that the judgment by T</w:t>
      </w:r>
      <w:r w:rsidRPr="00FF0DB4">
        <w:rPr>
          <w:sz w:val="20"/>
          <w:szCs w:val="20"/>
          <w:lang w:val="en-US"/>
        </w:rPr>
        <w:t>AKUVA</w:t>
      </w:r>
      <w:r w:rsidR="00E32CFA">
        <w:rPr>
          <w:sz w:val="24"/>
          <w:szCs w:val="24"/>
          <w:lang w:val="en-US"/>
        </w:rPr>
        <w:t xml:space="preserve"> J under case number HC 2031/1</w:t>
      </w:r>
      <w:r w:rsidRPr="00FF0DB4">
        <w:rPr>
          <w:sz w:val="24"/>
          <w:szCs w:val="24"/>
          <w:lang w:val="en-US"/>
        </w:rPr>
        <w:t>5 is extant and enforceable.  The applicant must enforce the rights stemming from T</w:t>
      </w:r>
      <w:r w:rsidRPr="00AD7178">
        <w:rPr>
          <w:sz w:val="20"/>
          <w:szCs w:val="20"/>
          <w:lang w:val="en-US"/>
        </w:rPr>
        <w:t>AKUVA</w:t>
      </w:r>
      <w:r w:rsidRPr="00FF0DB4">
        <w:rPr>
          <w:sz w:val="24"/>
          <w:szCs w:val="24"/>
          <w:lang w:val="en-US"/>
        </w:rPr>
        <w:t xml:space="preserve"> J’s judgment, whatever their nature.  The point </w:t>
      </w:r>
      <w:r w:rsidRPr="00FF0DB4">
        <w:rPr>
          <w:i/>
          <w:sz w:val="24"/>
          <w:szCs w:val="24"/>
          <w:lang w:val="en-US"/>
        </w:rPr>
        <w:t>in limine</w:t>
      </w:r>
      <w:r w:rsidRPr="00FF0DB4">
        <w:rPr>
          <w:sz w:val="24"/>
          <w:szCs w:val="24"/>
          <w:lang w:val="en-US"/>
        </w:rPr>
        <w:t xml:space="preserve"> was well taken and must succeed.</w:t>
      </w:r>
    </w:p>
    <w:p w:rsidR="00E32CFA" w:rsidRDefault="00E32CFA" w:rsidP="00AD7178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must just observe in passing that the applicant cited the 3</w:t>
      </w:r>
      <w:r w:rsidRPr="00E32CFA"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 respondent in case number HC 2031/15 as the Ministry of Mines and Mining Development and obtained judgment with the 3</w:t>
      </w:r>
      <w:r w:rsidRPr="00E32CFA"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 respondent cited as such. In HC 2764/17, a case referred to by the 1</w:t>
      </w:r>
      <w:r w:rsidRPr="00E32CFA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respondent, the applicant sought to have the judgment in HC 2031/15 corrected in order to reflect the 3</w:t>
      </w:r>
      <w:r w:rsidRPr="00E32CFA"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 respondent therein as Minister of Mines and Mining Development. The application was not successful</w:t>
      </w:r>
      <w:r w:rsidR="00B302B2">
        <w:rPr>
          <w:sz w:val="24"/>
          <w:szCs w:val="24"/>
          <w:lang w:val="en-US"/>
        </w:rPr>
        <w:t xml:space="preserve"> and Dube-Banda J in dismissing the application had this to say:</w:t>
      </w:r>
    </w:p>
    <w:p w:rsidR="00B302B2" w:rsidRDefault="00B302B2" w:rsidP="00B302B2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“I do not accept that the citation of the Ministry of Mines and Mining Development was a mistake common to all parties. If it was a mistake, it was a mistake made by the applicant and it must live with it. The substitution applicant is seeking is not a matter of form but a matter of substance. Such a substitution of a party cannot be achieved through the vehicle of rule 449”</w:t>
      </w:r>
    </w:p>
    <w:p w:rsidR="00E87C5F" w:rsidRPr="00FF0DB4" w:rsidRDefault="00E87C5F" w:rsidP="00AD7178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application I am now seized with followed this judgment by </w:t>
      </w:r>
      <w:r w:rsidR="00AD7178">
        <w:rPr>
          <w:sz w:val="24"/>
          <w:szCs w:val="24"/>
          <w:lang w:val="en-US"/>
        </w:rPr>
        <w:t>D</w:t>
      </w:r>
      <w:r w:rsidR="00AD7178">
        <w:rPr>
          <w:sz w:val="20"/>
          <w:szCs w:val="20"/>
          <w:lang w:val="en-US"/>
        </w:rPr>
        <w:t>UBE</w:t>
      </w:r>
      <w:r>
        <w:rPr>
          <w:sz w:val="24"/>
          <w:szCs w:val="24"/>
          <w:lang w:val="en-US"/>
        </w:rPr>
        <w:t>-</w:t>
      </w:r>
      <w:r w:rsidR="00AD7178">
        <w:rPr>
          <w:sz w:val="24"/>
          <w:szCs w:val="24"/>
          <w:lang w:val="en-US"/>
        </w:rPr>
        <w:t>B</w:t>
      </w:r>
      <w:r w:rsidR="00AD7178" w:rsidRPr="00AD7178">
        <w:rPr>
          <w:sz w:val="20"/>
          <w:szCs w:val="20"/>
          <w:lang w:val="en-US"/>
        </w:rPr>
        <w:t>ANDA</w:t>
      </w:r>
      <w:r w:rsidRPr="00AD7178">
        <w:rPr>
          <w:sz w:val="20"/>
          <w:szCs w:val="20"/>
          <w:lang w:val="en-US"/>
        </w:rPr>
        <w:t xml:space="preserve"> </w:t>
      </w:r>
      <w:r>
        <w:rPr>
          <w:sz w:val="24"/>
          <w:szCs w:val="24"/>
          <w:lang w:val="en-US"/>
        </w:rPr>
        <w:t>J, a judgment under HB</w:t>
      </w:r>
      <w:r w:rsidR="00AD7178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159</w:t>
      </w:r>
      <w:r w:rsidR="00AD7178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20. The present application appears to be </w:t>
      </w:r>
      <w:r w:rsidR="00F9551A">
        <w:rPr>
          <w:sz w:val="24"/>
          <w:szCs w:val="24"/>
          <w:lang w:val="en-US"/>
        </w:rPr>
        <w:t>an attempt to achieve that which was denied by Dube-Banda J. The ill-conceived application for a declaratur, premised as it is on Takuva J’s judgment, might have been informed by a desire to then enforce the judgment against the 3</w:t>
      </w:r>
      <w:r w:rsidR="00F9551A" w:rsidRPr="00F9551A">
        <w:rPr>
          <w:sz w:val="24"/>
          <w:szCs w:val="24"/>
          <w:vertAlign w:val="superscript"/>
          <w:lang w:val="en-US"/>
        </w:rPr>
        <w:t>rd</w:t>
      </w:r>
      <w:r w:rsidR="00F9551A">
        <w:rPr>
          <w:sz w:val="24"/>
          <w:szCs w:val="24"/>
          <w:lang w:val="en-US"/>
        </w:rPr>
        <w:t xml:space="preserve"> respondent therein. I have already stated that it is not for this court to pronounce what Takuva J’s judgment</w:t>
      </w:r>
      <w:r w:rsidR="003E5314">
        <w:rPr>
          <w:sz w:val="24"/>
          <w:szCs w:val="24"/>
          <w:lang w:val="en-US"/>
        </w:rPr>
        <w:t xml:space="preserve"> means to the applicant. The judgment needs no </w:t>
      </w:r>
      <w:bookmarkStart w:id="0" w:name="_GoBack"/>
      <w:bookmarkEnd w:id="0"/>
      <w:r w:rsidR="003E5314">
        <w:rPr>
          <w:sz w:val="24"/>
          <w:szCs w:val="24"/>
          <w:lang w:val="en-US"/>
        </w:rPr>
        <w:t>interpretation but enforcement.</w:t>
      </w:r>
    </w:p>
    <w:p w:rsidR="002F1086" w:rsidRPr="00FF0DB4" w:rsidRDefault="002F1086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>The second point</w:t>
      </w:r>
      <w:r w:rsidR="00B40FF9">
        <w:rPr>
          <w:sz w:val="24"/>
          <w:szCs w:val="24"/>
          <w:lang w:val="en-US"/>
        </w:rPr>
        <w:t xml:space="preserve"> </w:t>
      </w:r>
      <w:r w:rsidR="00B40FF9" w:rsidRPr="00856978">
        <w:rPr>
          <w:i/>
          <w:sz w:val="24"/>
          <w:szCs w:val="24"/>
          <w:lang w:val="en-US"/>
        </w:rPr>
        <w:t>in limine</w:t>
      </w:r>
      <w:r w:rsidR="00B40FF9">
        <w:rPr>
          <w:sz w:val="24"/>
          <w:szCs w:val="24"/>
          <w:lang w:val="en-US"/>
        </w:rPr>
        <w:t xml:space="preserve"> relates</w:t>
      </w:r>
      <w:r w:rsidRPr="00FF0DB4">
        <w:rPr>
          <w:sz w:val="24"/>
          <w:szCs w:val="24"/>
          <w:lang w:val="en-US"/>
        </w:rPr>
        <w:t xml:space="preserve"> to the decision by the Minister</w:t>
      </w:r>
      <w:r w:rsidR="00B40FF9">
        <w:rPr>
          <w:sz w:val="24"/>
          <w:szCs w:val="24"/>
          <w:lang w:val="en-US"/>
        </w:rPr>
        <w:t>, which decision was already reviewed in the review application heard by</w:t>
      </w:r>
      <w:r w:rsidRPr="00FF0DB4">
        <w:rPr>
          <w:sz w:val="24"/>
          <w:szCs w:val="24"/>
          <w:lang w:val="en-US"/>
        </w:rPr>
        <w:t xml:space="preserve"> T</w:t>
      </w:r>
      <w:r w:rsidRPr="00FF0DB4">
        <w:rPr>
          <w:sz w:val="20"/>
          <w:szCs w:val="20"/>
          <w:lang w:val="en-US"/>
        </w:rPr>
        <w:t xml:space="preserve">AKUVA </w:t>
      </w:r>
      <w:r w:rsidR="00B40FF9">
        <w:rPr>
          <w:sz w:val="24"/>
          <w:szCs w:val="24"/>
          <w:lang w:val="en-US"/>
        </w:rPr>
        <w:t>J. The irregularity of the Minister’s decision was addressed</w:t>
      </w:r>
      <w:r w:rsidRPr="00FF0DB4">
        <w:rPr>
          <w:sz w:val="24"/>
          <w:szCs w:val="24"/>
          <w:lang w:val="en-US"/>
        </w:rPr>
        <w:t xml:space="preserve"> in HC 2031/15.  This</w:t>
      </w:r>
      <w:r w:rsidR="00B40FF9">
        <w:rPr>
          <w:sz w:val="24"/>
          <w:szCs w:val="24"/>
          <w:lang w:val="en-US"/>
        </w:rPr>
        <w:t xml:space="preserve"> fact</w:t>
      </w:r>
      <w:r w:rsidRPr="00FF0DB4">
        <w:rPr>
          <w:sz w:val="24"/>
          <w:szCs w:val="24"/>
          <w:lang w:val="en-US"/>
        </w:rPr>
        <w:t xml:space="preserve"> is very clear</w:t>
      </w:r>
      <w:r w:rsidR="00B40FF9">
        <w:rPr>
          <w:sz w:val="24"/>
          <w:szCs w:val="24"/>
          <w:lang w:val="en-US"/>
        </w:rPr>
        <w:t>,</w:t>
      </w:r>
      <w:r w:rsidRPr="00FF0DB4">
        <w:rPr>
          <w:sz w:val="24"/>
          <w:szCs w:val="24"/>
          <w:lang w:val="en-US"/>
        </w:rPr>
        <w:t xml:space="preserve"> regard being had to what the learned judge said:</w:t>
      </w:r>
    </w:p>
    <w:p w:rsidR="002F1086" w:rsidRPr="00FF0DB4" w:rsidRDefault="004243FF" w:rsidP="00FF0DB4">
      <w:pPr>
        <w:pStyle w:val="NoSpacing"/>
        <w:ind w:left="720"/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“I take the view that the Minister’s decision is null and void for want of jurisdiction.  A</w:t>
      </w:r>
      <w:r w:rsidR="00E9421E" w:rsidRPr="00FF0DB4">
        <w:rPr>
          <w:sz w:val="24"/>
          <w:szCs w:val="24"/>
          <w:lang w:val="en-US"/>
        </w:rPr>
        <w:t>ssuming I am wrong, I entertain no doubt that the decision is grossly irregular and unreasonable in that it ignored the clear provisions of section 177 (3) of the Act.”</w:t>
      </w:r>
    </w:p>
    <w:p w:rsidR="00E9421E" w:rsidRPr="00FF0DB4" w:rsidRDefault="00E9421E" w:rsidP="00FF0DB4">
      <w:pPr>
        <w:jc w:val="both"/>
        <w:rPr>
          <w:sz w:val="24"/>
          <w:szCs w:val="24"/>
          <w:lang w:val="en-US"/>
        </w:rPr>
      </w:pPr>
    </w:p>
    <w:p w:rsidR="00E9421E" w:rsidRPr="00FF0DB4" w:rsidRDefault="00E9421E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>This court cannot possibly re-review the Minister’s decision as that was done in HC 2031/15</w:t>
      </w:r>
      <w:r w:rsidR="00D046DA">
        <w:rPr>
          <w:sz w:val="24"/>
          <w:szCs w:val="24"/>
          <w:lang w:val="en-US"/>
        </w:rPr>
        <w:t>. The present application is in essence asking the court to re-look at the issue dealt with in HC2031/15.</w:t>
      </w:r>
    </w:p>
    <w:p w:rsidR="00E9421E" w:rsidRPr="00FF0DB4" w:rsidRDefault="00E9421E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</w:r>
      <w:r w:rsidR="00D046DA" w:rsidRPr="00FF0DB4">
        <w:rPr>
          <w:i/>
          <w:sz w:val="24"/>
          <w:szCs w:val="24"/>
          <w:lang w:val="en-US"/>
        </w:rPr>
        <w:t>Mr.</w:t>
      </w:r>
      <w:r w:rsidRPr="00FF0DB4">
        <w:rPr>
          <w:i/>
          <w:sz w:val="24"/>
          <w:szCs w:val="24"/>
          <w:lang w:val="en-US"/>
        </w:rPr>
        <w:t xml:space="preserve"> Zishiri</w:t>
      </w:r>
      <w:r w:rsidR="00D046DA">
        <w:rPr>
          <w:i/>
          <w:sz w:val="24"/>
          <w:szCs w:val="24"/>
          <w:lang w:val="en-US"/>
        </w:rPr>
        <w:t xml:space="preserve">’s </w:t>
      </w:r>
      <w:r w:rsidR="00D046DA">
        <w:rPr>
          <w:sz w:val="24"/>
          <w:szCs w:val="24"/>
          <w:lang w:val="en-US"/>
        </w:rPr>
        <w:t>decision</w:t>
      </w:r>
      <w:r w:rsidRPr="00FF0DB4">
        <w:rPr>
          <w:sz w:val="24"/>
          <w:szCs w:val="24"/>
          <w:lang w:val="en-US"/>
        </w:rPr>
        <w:t xml:space="preserve"> to withdraw this </w:t>
      </w:r>
      <w:r w:rsidR="00D046DA">
        <w:rPr>
          <w:sz w:val="24"/>
          <w:szCs w:val="24"/>
          <w:lang w:val="en-US"/>
        </w:rPr>
        <w:t>ground as one of the grounds upon</w:t>
      </w:r>
      <w:r w:rsidRPr="00FF0DB4">
        <w:rPr>
          <w:sz w:val="24"/>
          <w:szCs w:val="24"/>
          <w:lang w:val="en-US"/>
        </w:rPr>
        <w:t xml:space="preserve"> wh</w:t>
      </w:r>
      <w:r w:rsidR="00D046DA">
        <w:rPr>
          <w:sz w:val="24"/>
          <w:szCs w:val="24"/>
          <w:lang w:val="en-US"/>
        </w:rPr>
        <w:t>ich this application is anchored</w:t>
      </w:r>
      <w:r w:rsidRPr="00FF0DB4">
        <w:rPr>
          <w:sz w:val="24"/>
          <w:szCs w:val="24"/>
          <w:lang w:val="en-US"/>
        </w:rPr>
        <w:t xml:space="preserve"> was therefore wise.</w:t>
      </w:r>
    </w:p>
    <w:p w:rsidR="00E9421E" w:rsidRPr="00FF0DB4" w:rsidRDefault="00E9421E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 xml:space="preserve">The point </w:t>
      </w:r>
      <w:r w:rsidRPr="00FF0DB4">
        <w:rPr>
          <w:i/>
          <w:sz w:val="24"/>
          <w:szCs w:val="24"/>
          <w:lang w:val="en-US"/>
        </w:rPr>
        <w:t>in limine</w:t>
      </w:r>
      <w:r w:rsidRPr="00FF0DB4">
        <w:rPr>
          <w:sz w:val="24"/>
          <w:szCs w:val="24"/>
          <w:lang w:val="en-US"/>
        </w:rPr>
        <w:t xml:space="preserve"> had been well taken although not in precisely the manner in which I considered</w:t>
      </w:r>
      <w:r w:rsidR="00593448" w:rsidRPr="00FF0DB4">
        <w:rPr>
          <w:sz w:val="24"/>
          <w:szCs w:val="24"/>
          <w:lang w:val="en-US"/>
        </w:rPr>
        <w:t xml:space="preserve"> </w:t>
      </w:r>
      <w:r w:rsidRPr="00FF0DB4">
        <w:rPr>
          <w:sz w:val="24"/>
          <w:szCs w:val="24"/>
          <w:lang w:val="en-US"/>
        </w:rPr>
        <w:t>it.  The issue was not that the applicant was raising a gro</w:t>
      </w:r>
      <w:r w:rsidR="008F2494">
        <w:rPr>
          <w:sz w:val="24"/>
          <w:szCs w:val="24"/>
          <w:lang w:val="en-US"/>
        </w:rPr>
        <w:t xml:space="preserve">und for review and ought to have timeously brought an application for review of the Minister’s decision. </w:t>
      </w:r>
      <w:r w:rsidRPr="00FF0DB4">
        <w:rPr>
          <w:sz w:val="24"/>
          <w:szCs w:val="24"/>
          <w:lang w:val="en-US"/>
        </w:rPr>
        <w:t xml:space="preserve">The review application was filed and that is </w:t>
      </w:r>
      <w:r w:rsidR="00A87D61" w:rsidRPr="00FF0DB4">
        <w:rPr>
          <w:sz w:val="24"/>
          <w:szCs w:val="24"/>
          <w:lang w:val="en-US"/>
        </w:rPr>
        <w:t>what</w:t>
      </w:r>
      <w:r w:rsidR="008F2494">
        <w:rPr>
          <w:sz w:val="24"/>
          <w:szCs w:val="24"/>
          <w:lang w:val="en-US"/>
        </w:rPr>
        <w:t>,</w:t>
      </w:r>
      <w:r w:rsidR="00593448" w:rsidRPr="00FF0DB4">
        <w:rPr>
          <w:sz w:val="24"/>
          <w:szCs w:val="24"/>
          <w:lang w:val="en-US"/>
        </w:rPr>
        <w:t xml:space="preserve"> </w:t>
      </w:r>
      <w:r w:rsidR="00A87D61" w:rsidRPr="00FF0DB4">
        <w:rPr>
          <w:i/>
          <w:sz w:val="24"/>
          <w:szCs w:val="24"/>
          <w:lang w:val="en-US"/>
        </w:rPr>
        <w:t>i</w:t>
      </w:r>
      <w:r w:rsidR="00593448" w:rsidRPr="00FF0DB4">
        <w:rPr>
          <w:i/>
          <w:sz w:val="24"/>
          <w:szCs w:val="24"/>
          <w:lang w:val="en-US"/>
        </w:rPr>
        <w:t>nter alia</w:t>
      </w:r>
      <w:r w:rsidR="00593448" w:rsidRPr="00FF0DB4">
        <w:rPr>
          <w:sz w:val="24"/>
          <w:szCs w:val="24"/>
          <w:lang w:val="en-US"/>
        </w:rPr>
        <w:t>, T</w:t>
      </w:r>
      <w:r w:rsidR="00593448" w:rsidRPr="00FF0DB4">
        <w:rPr>
          <w:sz w:val="20"/>
          <w:szCs w:val="20"/>
          <w:lang w:val="en-US"/>
        </w:rPr>
        <w:t>AKUVA</w:t>
      </w:r>
      <w:r w:rsidR="00593448" w:rsidRPr="00FF0DB4">
        <w:rPr>
          <w:sz w:val="24"/>
          <w:szCs w:val="24"/>
          <w:lang w:val="en-US"/>
        </w:rPr>
        <w:t xml:space="preserve"> J</w:t>
      </w:r>
      <w:r w:rsidR="008F2494">
        <w:rPr>
          <w:sz w:val="24"/>
          <w:szCs w:val="24"/>
          <w:lang w:val="en-US"/>
        </w:rPr>
        <w:t>’s</w:t>
      </w:r>
      <w:r w:rsidR="00593448" w:rsidRPr="00FF0DB4">
        <w:rPr>
          <w:sz w:val="24"/>
          <w:szCs w:val="24"/>
          <w:lang w:val="en-US"/>
        </w:rPr>
        <w:t xml:space="preserve"> judgment speaks to.</w:t>
      </w:r>
    </w:p>
    <w:p w:rsidR="00593448" w:rsidRPr="00FF0DB4" w:rsidRDefault="00593448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>It is my considered view that the foregoing is dispo</w:t>
      </w:r>
      <w:r w:rsidR="00A87D61" w:rsidRPr="00FF0DB4">
        <w:rPr>
          <w:sz w:val="24"/>
          <w:szCs w:val="24"/>
          <w:lang w:val="en-US"/>
        </w:rPr>
        <w:t>si</w:t>
      </w:r>
      <w:r w:rsidRPr="00FF0DB4">
        <w:rPr>
          <w:sz w:val="24"/>
          <w:szCs w:val="24"/>
          <w:lang w:val="en-US"/>
        </w:rPr>
        <w:t>tive of the matter.</w:t>
      </w:r>
      <w:r w:rsidR="008F2494">
        <w:rPr>
          <w:sz w:val="24"/>
          <w:szCs w:val="24"/>
          <w:lang w:val="en-US"/>
        </w:rPr>
        <w:t xml:space="preserve"> The application was ill-conceived and there is no need to go into the merits of whether a case for a declaratur has been made.</w:t>
      </w:r>
      <w:r w:rsidRPr="00FF0DB4">
        <w:rPr>
          <w:sz w:val="24"/>
          <w:szCs w:val="24"/>
          <w:lang w:val="en-US"/>
        </w:rPr>
        <w:t xml:space="preserve">  I therefore do not intend to exercise my mind on the 3</w:t>
      </w:r>
      <w:r w:rsidRPr="00FF0DB4">
        <w:rPr>
          <w:sz w:val="24"/>
          <w:szCs w:val="24"/>
          <w:vertAlign w:val="superscript"/>
          <w:lang w:val="en-US"/>
        </w:rPr>
        <w:t>rd</w:t>
      </w:r>
      <w:r w:rsidRPr="00FF0DB4">
        <w:rPr>
          <w:sz w:val="24"/>
          <w:szCs w:val="24"/>
          <w:lang w:val="en-US"/>
        </w:rPr>
        <w:t xml:space="preserve"> point </w:t>
      </w:r>
      <w:r w:rsidRPr="00FF0DB4">
        <w:rPr>
          <w:i/>
          <w:sz w:val="24"/>
          <w:szCs w:val="24"/>
          <w:lang w:val="en-US"/>
        </w:rPr>
        <w:t>in limine</w:t>
      </w:r>
      <w:r w:rsidRPr="00FF0DB4">
        <w:rPr>
          <w:sz w:val="24"/>
          <w:szCs w:val="24"/>
          <w:lang w:val="en-US"/>
        </w:rPr>
        <w:t>.</w:t>
      </w:r>
    </w:p>
    <w:p w:rsidR="00593448" w:rsidRPr="00FF0DB4" w:rsidRDefault="00593448" w:rsidP="00FF0DB4">
      <w:p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ab/>
        <w:t>In the result I make the following order:</w:t>
      </w:r>
    </w:p>
    <w:p w:rsidR="00593448" w:rsidRPr="00FF0DB4" w:rsidRDefault="00593448" w:rsidP="00FF0DB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The 1</w:t>
      </w:r>
      <w:r w:rsidRPr="00FF0DB4">
        <w:rPr>
          <w:sz w:val="24"/>
          <w:szCs w:val="24"/>
          <w:vertAlign w:val="superscript"/>
          <w:lang w:val="en-US"/>
        </w:rPr>
        <w:t>st</w:t>
      </w:r>
      <w:r w:rsidRPr="00FF0DB4">
        <w:rPr>
          <w:sz w:val="24"/>
          <w:szCs w:val="24"/>
          <w:lang w:val="en-US"/>
        </w:rPr>
        <w:t xml:space="preserve"> and 2</w:t>
      </w:r>
      <w:r w:rsidRPr="00FF0DB4">
        <w:rPr>
          <w:sz w:val="24"/>
          <w:szCs w:val="24"/>
          <w:vertAlign w:val="superscript"/>
          <w:lang w:val="en-US"/>
        </w:rPr>
        <w:t>nd</w:t>
      </w:r>
      <w:r w:rsidRPr="00FF0DB4">
        <w:rPr>
          <w:sz w:val="24"/>
          <w:szCs w:val="24"/>
          <w:lang w:val="en-US"/>
        </w:rPr>
        <w:t xml:space="preserve"> point</w:t>
      </w:r>
      <w:r w:rsidR="008F2494">
        <w:rPr>
          <w:sz w:val="24"/>
          <w:szCs w:val="24"/>
          <w:lang w:val="en-US"/>
        </w:rPr>
        <w:t>s</w:t>
      </w:r>
      <w:r w:rsidRPr="00FF0DB4">
        <w:rPr>
          <w:sz w:val="24"/>
          <w:szCs w:val="24"/>
          <w:lang w:val="en-US"/>
        </w:rPr>
        <w:t xml:space="preserve"> </w:t>
      </w:r>
      <w:r w:rsidRPr="00FF0DB4">
        <w:rPr>
          <w:i/>
          <w:sz w:val="24"/>
          <w:szCs w:val="24"/>
          <w:lang w:val="en-US"/>
        </w:rPr>
        <w:t>in limine</w:t>
      </w:r>
      <w:r w:rsidRPr="00FF0DB4">
        <w:rPr>
          <w:sz w:val="24"/>
          <w:szCs w:val="24"/>
          <w:lang w:val="en-US"/>
        </w:rPr>
        <w:t xml:space="preserve"> were properly taken and are accordingly upheld.</w:t>
      </w:r>
    </w:p>
    <w:p w:rsidR="00593448" w:rsidRPr="00FF0DB4" w:rsidRDefault="00593448" w:rsidP="00FF0DB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FF0DB4">
        <w:rPr>
          <w:sz w:val="24"/>
          <w:szCs w:val="24"/>
          <w:lang w:val="en-US"/>
        </w:rPr>
        <w:t>The application is accordingly struck off the roll, with costs.</w:t>
      </w:r>
    </w:p>
    <w:p w:rsidR="00593448" w:rsidRDefault="00593448" w:rsidP="00FF0DB4">
      <w:pPr>
        <w:jc w:val="both"/>
        <w:rPr>
          <w:sz w:val="24"/>
          <w:szCs w:val="24"/>
          <w:lang w:val="en-US"/>
        </w:rPr>
      </w:pPr>
    </w:p>
    <w:p w:rsidR="00FF0DB4" w:rsidRDefault="00FF0DB4" w:rsidP="00FF0DB4">
      <w:pPr>
        <w:jc w:val="both"/>
        <w:rPr>
          <w:sz w:val="24"/>
          <w:szCs w:val="24"/>
          <w:lang w:val="en-US"/>
        </w:rPr>
      </w:pPr>
    </w:p>
    <w:p w:rsidR="00FF0DB4" w:rsidRPr="00FF0DB4" w:rsidRDefault="00FF0DB4" w:rsidP="00FF0DB4">
      <w:pPr>
        <w:jc w:val="both"/>
        <w:rPr>
          <w:sz w:val="24"/>
          <w:szCs w:val="24"/>
          <w:lang w:val="en-US"/>
        </w:rPr>
      </w:pPr>
    </w:p>
    <w:p w:rsidR="00593448" w:rsidRPr="00FF0DB4" w:rsidRDefault="00593448" w:rsidP="00FF0DB4">
      <w:pPr>
        <w:pStyle w:val="NoSpacing"/>
        <w:jc w:val="both"/>
        <w:rPr>
          <w:sz w:val="24"/>
          <w:szCs w:val="24"/>
          <w:lang w:val="en-US"/>
        </w:rPr>
      </w:pPr>
      <w:r w:rsidRPr="00FF0DB4">
        <w:rPr>
          <w:i/>
          <w:sz w:val="24"/>
          <w:szCs w:val="24"/>
          <w:lang w:val="en-US"/>
        </w:rPr>
        <w:t>Kwande Legal Practitioners c/o Mlweli Ndlovu &amp; Associates,</w:t>
      </w:r>
      <w:r w:rsidRPr="00FF0DB4">
        <w:rPr>
          <w:sz w:val="24"/>
          <w:szCs w:val="24"/>
          <w:lang w:val="en-US"/>
        </w:rPr>
        <w:t xml:space="preserve"> applicant’s legal practitioners</w:t>
      </w:r>
    </w:p>
    <w:p w:rsidR="00593448" w:rsidRPr="00FF0DB4" w:rsidRDefault="00593448" w:rsidP="00FF0DB4">
      <w:pPr>
        <w:pStyle w:val="NoSpacing"/>
        <w:jc w:val="both"/>
        <w:rPr>
          <w:sz w:val="24"/>
          <w:szCs w:val="24"/>
          <w:lang w:val="en-US"/>
        </w:rPr>
      </w:pPr>
      <w:r w:rsidRPr="00FF0DB4">
        <w:rPr>
          <w:i/>
          <w:sz w:val="24"/>
          <w:szCs w:val="24"/>
          <w:lang w:val="en-US"/>
        </w:rPr>
        <w:t>Mwonzora &amp; Associates c/o Mashayamombe &amp; Company</w:t>
      </w:r>
      <w:r w:rsidRPr="00FF0DB4">
        <w:rPr>
          <w:sz w:val="24"/>
          <w:szCs w:val="24"/>
          <w:lang w:val="en-US"/>
        </w:rPr>
        <w:t>, 1</w:t>
      </w:r>
      <w:r w:rsidRPr="00FF0DB4">
        <w:rPr>
          <w:sz w:val="24"/>
          <w:szCs w:val="24"/>
          <w:vertAlign w:val="superscript"/>
          <w:lang w:val="en-US"/>
        </w:rPr>
        <w:t>st</w:t>
      </w:r>
      <w:r w:rsidRPr="00FF0DB4">
        <w:rPr>
          <w:sz w:val="24"/>
          <w:szCs w:val="24"/>
          <w:lang w:val="en-US"/>
        </w:rPr>
        <w:t xml:space="preserve"> respondent’s legal practitioners</w:t>
      </w:r>
    </w:p>
    <w:p w:rsidR="00593448" w:rsidRPr="00FF0DB4" w:rsidRDefault="00593448" w:rsidP="00FF0DB4">
      <w:pPr>
        <w:pStyle w:val="NoSpacing"/>
        <w:jc w:val="both"/>
        <w:rPr>
          <w:sz w:val="24"/>
          <w:szCs w:val="24"/>
          <w:lang w:val="en-US"/>
        </w:rPr>
      </w:pPr>
      <w:r w:rsidRPr="00FF0DB4">
        <w:rPr>
          <w:i/>
          <w:sz w:val="24"/>
          <w:szCs w:val="24"/>
          <w:lang w:val="en-US"/>
        </w:rPr>
        <w:t>Civil Division of the Attorney General’s Office</w:t>
      </w:r>
      <w:r w:rsidRPr="00FF0DB4">
        <w:rPr>
          <w:sz w:val="24"/>
          <w:szCs w:val="24"/>
          <w:lang w:val="en-US"/>
        </w:rPr>
        <w:t>, 2</w:t>
      </w:r>
      <w:r w:rsidRPr="00FF0DB4">
        <w:rPr>
          <w:sz w:val="24"/>
          <w:szCs w:val="24"/>
          <w:vertAlign w:val="superscript"/>
          <w:lang w:val="en-US"/>
        </w:rPr>
        <w:t>nd</w:t>
      </w:r>
      <w:r w:rsidRPr="00FF0DB4">
        <w:rPr>
          <w:sz w:val="24"/>
          <w:szCs w:val="24"/>
          <w:lang w:val="en-US"/>
        </w:rPr>
        <w:t xml:space="preserve"> respondent’s legal practitioners</w:t>
      </w:r>
    </w:p>
    <w:sectPr w:rsidR="00593448" w:rsidRPr="00FF0DB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DE7" w:rsidRDefault="003A1DE7" w:rsidP="00FF0DB4">
      <w:pPr>
        <w:spacing w:after="0" w:line="240" w:lineRule="auto"/>
      </w:pPr>
      <w:r>
        <w:separator/>
      </w:r>
    </w:p>
  </w:endnote>
  <w:endnote w:type="continuationSeparator" w:id="0">
    <w:p w:rsidR="003A1DE7" w:rsidRDefault="003A1DE7" w:rsidP="00FF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DE7" w:rsidRDefault="003A1DE7" w:rsidP="00FF0DB4">
      <w:pPr>
        <w:spacing w:after="0" w:line="240" w:lineRule="auto"/>
      </w:pPr>
      <w:r>
        <w:separator/>
      </w:r>
    </w:p>
  </w:footnote>
  <w:footnote w:type="continuationSeparator" w:id="0">
    <w:p w:rsidR="003A1DE7" w:rsidRDefault="003A1DE7" w:rsidP="00FF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96888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F0DB4" w:rsidRDefault="00FF0DB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978">
          <w:rPr>
            <w:noProof/>
          </w:rPr>
          <w:t>5</w:t>
        </w:r>
        <w:r>
          <w:rPr>
            <w:noProof/>
          </w:rPr>
          <w:fldChar w:fldCharType="end"/>
        </w:r>
      </w:p>
      <w:p w:rsidR="00FF0DB4" w:rsidRDefault="00FF0DB4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HB </w:t>
        </w:r>
        <w:r w:rsidR="00AD7178">
          <w:rPr>
            <w:noProof/>
          </w:rPr>
          <w:t>176</w:t>
        </w:r>
        <w:r>
          <w:rPr>
            <w:noProof/>
          </w:rPr>
          <w:t>/22</w:t>
        </w:r>
      </w:p>
      <w:p w:rsidR="00FF0DB4" w:rsidRDefault="00FF0DB4">
        <w:pPr>
          <w:pStyle w:val="Header"/>
          <w:jc w:val="right"/>
        </w:pPr>
        <w:r>
          <w:rPr>
            <w:noProof/>
          </w:rPr>
          <w:t>HC 365/21</w:t>
        </w:r>
      </w:p>
    </w:sdtContent>
  </w:sdt>
  <w:p w:rsidR="00FF0DB4" w:rsidRDefault="00FF0D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226F8"/>
    <w:multiLevelType w:val="hybridMultilevel"/>
    <w:tmpl w:val="5144FD9E"/>
    <w:lvl w:ilvl="0" w:tplc="8FC85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7603E1"/>
    <w:multiLevelType w:val="hybridMultilevel"/>
    <w:tmpl w:val="FE443C74"/>
    <w:lvl w:ilvl="0" w:tplc="F3D4C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92"/>
    <w:rsid w:val="0001040F"/>
    <w:rsid w:val="00151E4F"/>
    <w:rsid w:val="001D76F1"/>
    <w:rsid w:val="00243892"/>
    <w:rsid w:val="002C35B3"/>
    <w:rsid w:val="002F1086"/>
    <w:rsid w:val="00334B3C"/>
    <w:rsid w:val="003A1DE7"/>
    <w:rsid w:val="003E5314"/>
    <w:rsid w:val="004243FF"/>
    <w:rsid w:val="00530C69"/>
    <w:rsid w:val="00542DCF"/>
    <w:rsid w:val="00593448"/>
    <w:rsid w:val="005F0073"/>
    <w:rsid w:val="006560A5"/>
    <w:rsid w:val="00747EA4"/>
    <w:rsid w:val="007C71A9"/>
    <w:rsid w:val="00843536"/>
    <w:rsid w:val="0084719D"/>
    <w:rsid w:val="00856978"/>
    <w:rsid w:val="008F2494"/>
    <w:rsid w:val="009752FD"/>
    <w:rsid w:val="009B07DA"/>
    <w:rsid w:val="00A443A4"/>
    <w:rsid w:val="00A87D61"/>
    <w:rsid w:val="00A95C60"/>
    <w:rsid w:val="00AD7178"/>
    <w:rsid w:val="00B302B2"/>
    <w:rsid w:val="00B30F9A"/>
    <w:rsid w:val="00B40FF9"/>
    <w:rsid w:val="00B5381A"/>
    <w:rsid w:val="00C77821"/>
    <w:rsid w:val="00C868F5"/>
    <w:rsid w:val="00C92348"/>
    <w:rsid w:val="00D046DA"/>
    <w:rsid w:val="00DA53AF"/>
    <w:rsid w:val="00DF4126"/>
    <w:rsid w:val="00E32CFA"/>
    <w:rsid w:val="00E87C5F"/>
    <w:rsid w:val="00E9421E"/>
    <w:rsid w:val="00EF1A64"/>
    <w:rsid w:val="00F055C1"/>
    <w:rsid w:val="00F9551A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99FF2-46D4-4A51-B9EF-91F11678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892"/>
    <w:pPr>
      <w:spacing w:line="36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892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2C3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B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FF0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B4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29</cp:revision>
  <cp:lastPrinted>2022-06-28T13:50:00Z</cp:lastPrinted>
  <dcterms:created xsi:type="dcterms:W3CDTF">2022-06-28T06:12:00Z</dcterms:created>
  <dcterms:modified xsi:type="dcterms:W3CDTF">2022-06-28T13:53:00Z</dcterms:modified>
</cp:coreProperties>
</file>