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33" w:rsidRDefault="000E4761" w:rsidP="000E4761">
      <w:pPr>
        <w:spacing w:line="360" w:lineRule="auto"/>
        <w:jc w:val="both"/>
        <w:rPr>
          <w:b/>
          <w:sz w:val="28"/>
          <w:szCs w:val="28"/>
        </w:rPr>
      </w:pPr>
      <w:r>
        <w:rPr>
          <w:b/>
          <w:sz w:val="28"/>
          <w:szCs w:val="28"/>
        </w:rPr>
        <w:t>I</w:t>
      </w:r>
      <w:r w:rsidR="00743C94">
        <w:rPr>
          <w:b/>
          <w:sz w:val="28"/>
          <w:szCs w:val="28"/>
        </w:rPr>
        <w:t>N THE LABOUR COURT OF ZIMBABWE</w:t>
      </w:r>
      <w:r w:rsidR="00743C94">
        <w:rPr>
          <w:b/>
          <w:sz w:val="28"/>
          <w:szCs w:val="28"/>
        </w:rPr>
        <w:tab/>
        <w:t xml:space="preserve">          </w:t>
      </w:r>
      <w:r>
        <w:rPr>
          <w:b/>
          <w:sz w:val="28"/>
          <w:szCs w:val="28"/>
        </w:rPr>
        <w:t>JUDGMENT NO LC/H/</w:t>
      </w:r>
      <w:r w:rsidR="00743C94">
        <w:rPr>
          <w:b/>
          <w:sz w:val="28"/>
          <w:szCs w:val="28"/>
        </w:rPr>
        <w:t>324</w:t>
      </w:r>
      <w:r>
        <w:rPr>
          <w:b/>
          <w:sz w:val="28"/>
          <w:szCs w:val="28"/>
        </w:rPr>
        <w:t>/14</w:t>
      </w:r>
    </w:p>
    <w:p w:rsidR="000E4761" w:rsidRDefault="000E4761" w:rsidP="000E4761">
      <w:pPr>
        <w:spacing w:line="360" w:lineRule="auto"/>
        <w:jc w:val="both"/>
        <w:rPr>
          <w:b/>
          <w:sz w:val="28"/>
          <w:szCs w:val="28"/>
        </w:rPr>
      </w:pPr>
      <w:r>
        <w:rPr>
          <w:b/>
          <w:sz w:val="28"/>
          <w:szCs w:val="28"/>
        </w:rPr>
        <w:t xml:space="preserve">HELD AT HARARE </w:t>
      </w:r>
      <w:proofErr w:type="gramStart"/>
      <w:r>
        <w:rPr>
          <w:b/>
          <w:sz w:val="28"/>
          <w:szCs w:val="28"/>
        </w:rPr>
        <w:t>6</w:t>
      </w:r>
      <w:r w:rsidRPr="000E4761">
        <w:rPr>
          <w:b/>
          <w:sz w:val="28"/>
          <w:szCs w:val="28"/>
          <w:vertAlign w:val="superscript"/>
        </w:rPr>
        <w:t>TH</w:t>
      </w:r>
      <w:r>
        <w:rPr>
          <w:b/>
          <w:sz w:val="28"/>
          <w:szCs w:val="28"/>
        </w:rPr>
        <w:t xml:space="preserve">  MAY</w:t>
      </w:r>
      <w:proofErr w:type="gramEnd"/>
      <w:r>
        <w:rPr>
          <w:b/>
          <w:sz w:val="28"/>
          <w:szCs w:val="28"/>
        </w:rPr>
        <w:t xml:space="preserve"> 2014</w:t>
      </w:r>
      <w:r>
        <w:rPr>
          <w:b/>
          <w:sz w:val="28"/>
          <w:szCs w:val="28"/>
        </w:rPr>
        <w:tab/>
      </w:r>
      <w:r>
        <w:rPr>
          <w:b/>
          <w:sz w:val="28"/>
          <w:szCs w:val="28"/>
        </w:rPr>
        <w:tab/>
      </w:r>
      <w:r>
        <w:rPr>
          <w:b/>
          <w:sz w:val="28"/>
          <w:szCs w:val="28"/>
        </w:rPr>
        <w:tab/>
        <w:t>CASE NO LC/H/544/11</w:t>
      </w:r>
    </w:p>
    <w:p w:rsidR="00B8672A" w:rsidRDefault="00B8672A" w:rsidP="000E4761">
      <w:pPr>
        <w:spacing w:line="360" w:lineRule="auto"/>
        <w:jc w:val="both"/>
        <w:rPr>
          <w:b/>
          <w:sz w:val="28"/>
          <w:szCs w:val="28"/>
        </w:rPr>
      </w:pPr>
      <w:r>
        <w:rPr>
          <w:b/>
          <w:sz w:val="28"/>
          <w:szCs w:val="28"/>
        </w:rPr>
        <w:t>&amp; 6</w:t>
      </w:r>
      <w:r w:rsidRPr="00B8672A">
        <w:rPr>
          <w:b/>
          <w:sz w:val="28"/>
          <w:szCs w:val="28"/>
          <w:vertAlign w:val="superscript"/>
        </w:rPr>
        <w:t>TH</w:t>
      </w:r>
      <w:r>
        <w:rPr>
          <w:b/>
          <w:sz w:val="28"/>
          <w:szCs w:val="28"/>
        </w:rPr>
        <w:t xml:space="preserve"> JUNE 2014</w:t>
      </w:r>
    </w:p>
    <w:p w:rsidR="000E4761" w:rsidRDefault="000E4761" w:rsidP="000E4761">
      <w:pPr>
        <w:spacing w:line="360" w:lineRule="auto"/>
        <w:jc w:val="both"/>
        <w:rPr>
          <w:sz w:val="28"/>
          <w:szCs w:val="28"/>
        </w:rPr>
      </w:pPr>
      <w:r>
        <w:rPr>
          <w:sz w:val="28"/>
          <w:szCs w:val="28"/>
        </w:rPr>
        <w:t>In the matter between:-</w:t>
      </w:r>
    </w:p>
    <w:p w:rsidR="000E4761" w:rsidRDefault="000E4761" w:rsidP="000E4761">
      <w:pPr>
        <w:spacing w:line="360" w:lineRule="auto"/>
        <w:jc w:val="both"/>
        <w:rPr>
          <w:b/>
          <w:sz w:val="28"/>
          <w:szCs w:val="28"/>
        </w:rPr>
      </w:pPr>
      <w:r>
        <w:rPr>
          <w:b/>
          <w:sz w:val="28"/>
          <w:szCs w:val="28"/>
        </w:rPr>
        <w:t>JUSTIN MANGENA</w:t>
      </w:r>
      <w:r>
        <w:rPr>
          <w:b/>
          <w:sz w:val="28"/>
          <w:szCs w:val="28"/>
        </w:rPr>
        <w:tab/>
      </w:r>
      <w:r>
        <w:rPr>
          <w:b/>
          <w:sz w:val="28"/>
          <w:szCs w:val="28"/>
        </w:rPr>
        <w:tab/>
      </w:r>
      <w:r>
        <w:rPr>
          <w:b/>
          <w:sz w:val="28"/>
          <w:szCs w:val="28"/>
        </w:rPr>
        <w:tab/>
      </w:r>
      <w:r>
        <w:rPr>
          <w:b/>
          <w:sz w:val="28"/>
          <w:szCs w:val="28"/>
        </w:rPr>
        <w:tab/>
      </w:r>
      <w:r>
        <w:rPr>
          <w:b/>
          <w:sz w:val="28"/>
          <w:szCs w:val="28"/>
        </w:rPr>
        <w:tab/>
        <w:t>Applicant</w:t>
      </w:r>
    </w:p>
    <w:p w:rsidR="000E4761" w:rsidRDefault="000E4761" w:rsidP="000E4761">
      <w:pPr>
        <w:spacing w:line="360" w:lineRule="auto"/>
        <w:jc w:val="both"/>
        <w:rPr>
          <w:b/>
          <w:sz w:val="28"/>
          <w:szCs w:val="28"/>
        </w:rPr>
      </w:pPr>
      <w:r>
        <w:rPr>
          <w:b/>
          <w:sz w:val="28"/>
          <w:szCs w:val="28"/>
        </w:rPr>
        <w:t>And</w:t>
      </w:r>
    </w:p>
    <w:p w:rsidR="000E4761" w:rsidRDefault="000E4761" w:rsidP="000E4761">
      <w:pPr>
        <w:spacing w:line="360" w:lineRule="auto"/>
        <w:jc w:val="both"/>
        <w:rPr>
          <w:b/>
          <w:sz w:val="28"/>
          <w:szCs w:val="28"/>
        </w:rPr>
      </w:pPr>
      <w:r>
        <w:rPr>
          <w:b/>
          <w:sz w:val="28"/>
          <w:szCs w:val="28"/>
        </w:rPr>
        <w:t>GRINDSBERG INVESTMENTS</w:t>
      </w:r>
      <w:r>
        <w:rPr>
          <w:b/>
          <w:sz w:val="28"/>
          <w:szCs w:val="28"/>
        </w:rPr>
        <w:tab/>
      </w:r>
      <w:r>
        <w:rPr>
          <w:b/>
          <w:sz w:val="28"/>
          <w:szCs w:val="28"/>
        </w:rPr>
        <w:tab/>
      </w:r>
      <w:r>
        <w:rPr>
          <w:b/>
          <w:sz w:val="28"/>
          <w:szCs w:val="28"/>
        </w:rPr>
        <w:tab/>
        <w:t>Respondent</w:t>
      </w:r>
    </w:p>
    <w:p w:rsidR="000E4761" w:rsidRDefault="000E4761" w:rsidP="000E4761">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0E4761" w:rsidRDefault="000E4761" w:rsidP="000E4761">
      <w:pPr>
        <w:spacing w:line="360" w:lineRule="auto"/>
        <w:jc w:val="both"/>
        <w:rPr>
          <w:b/>
          <w:sz w:val="28"/>
          <w:szCs w:val="28"/>
        </w:rPr>
      </w:pPr>
      <w:r>
        <w:rPr>
          <w:b/>
          <w:sz w:val="28"/>
          <w:szCs w:val="28"/>
        </w:rPr>
        <w:t>For Applicant</w:t>
      </w:r>
      <w:r>
        <w:rPr>
          <w:b/>
          <w:sz w:val="28"/>
          <w:szCs w:val="28"/>
        </w:rPr>
        <w:tab/>
      </w:r>
      <w:r>
        <w:rPr>
          <w:b/>
          <w:sz w:val="28"/>
          <w:szCs w:val="28"/>
        </w:rPr>
        <w:tab/>
        <w:t xml:space="preserve">Mr T </w:t>
      </w:r>
      <w:proofErr w:type="spellStart"/>
      <w:r>
        <w:rPr>
          <w:b/>
          <w:sz w:val="28"/>
          <w:szCs w:val="28"/>
        </w:rPr>
        <w:t>Katsuro</w:t>
      </w:r>
      <w:proofErr w:type="spellEnd"/>
      <w:r>
        <w:rPr>
          <w:b/>
          <w:sz w:val="28"/>
          <w:szCs w:val="28"/>
        </w:rPr>
        <w:t xml:space="preserve"> (Legal Practitioner)</w:t>
      </w:r>
    </w:p>
    <w:p w:rsidR="000E4761" w:rsidRDefault="000E4761" w:rsidP="000E4761">
      <w:pPr>
        <w:spacing w:line="360" w:lineRule="auto"/>
        <w:jc w:val="both"/>
        <w:rPr>
          <w:b/>
          <w:sz w:val="28"/>
          <w:szCs w:val="28"/>
        </w:rPr>
      </w:pPr>
      <w:r>
        <w:rPr>
          <w:b/>
          <w:sz w:val="28"/>
          <w:szCs w:val="28"/>
        </w:rPr>
        <w:t>For Respondent</w:t>
      </w:r>
      <w:r>
        <w:rPr>
          <w:b/>
          <w:sz w:val="28"/>
          <w:szCs w:val="28"/>
        </w:rPr>
        <w:tab/>
      </w:r>
      <w:r>
        <w:rPr>
          <w:b/>
          <w:sz w:val="28"/>
          <w:szCs w:val="28"/>
        </w:rPr>
        <w:tab/>
        <w:t xml:space="preserve">Mr R </w:t>
      </w:r>
      <w:proofErr w:type="spellStart"/>
      <w:r>
        <w:rPr>
          <w:b/>
          <w:sz w:val="28"/>
          <w:szCs w:val="28"/>
        </w:rPr>
        <w:t>Marume</w:t>
      </w:r>
      <w:proofErr w:type="spellEnd"/>
      <w:r>
        <w:rPr>
          <w:b/>
          <w:sz w:val="28"/>
          <w:szCs w:val="28"/>
        </w:rPr>
        <w:t xml:space="preserve"> (Legal Practitioner)</w:t>
      </w:r>
    </w:p>
    <w:p w:rsidR="000E4761" w:rsidRDefault="000E4761" w:rsidP="000E4761">
      <w:pPr>
        <w:spacing w:line="360" w:lineRule="auto"/>
        <w:jc w:val="both"/>
        <w:rPr>
          <w:b/>
          <w:sz w:val="28"/>
          <w:szCs w:val="28"/>
        </w:rPr>
      </w:pPr>
    </w:p>
    <w:p w:rsidR="000E4761" w:rsidRPr="000E4761" w:rsidRDefault="000E4761" w:rsidP="000E4761">
      <w:pPr>
        <w:spacing w:line="360" w:lineRule="auto"/>
        <w:jc w:val="both"/>
        <w:rPr>
          <w:b/>
          <w:sz w:val="28"/>
          <w:szCs w:val="28"/>
        </w:rPr>
      </w:pPr>
      <w:r w:rsidRPr="000E4761">
        <w:rPr>
          <w:b/>
          <w:sz w:val="28"/>
          <w:szCs w:val="28"/>
        </w:rPr>
        <w:t>CHIDZIVA, J:</w:t>
      </w:r>
    </w:p>
    <w:p w:rsidR="000E4761" w:rsidRDefault="000E4761" w:rsidP="000E4761">
      <w:pPr>
        <w:spacing w:line="360" w:lineRule="auto"/>
        <w:jc w:val="both"/>
        <w:rPr>
          <w:sz w:val="28"/>
          <w:szCs w:val="28"/>
        </w:rPr>
      </w:pPr>
      <w:r>
        <w:rPr>
          <w:b/>
          <w:sz w:val="28"/>
          <w:szCs w:val="28"/>
        </w:rPr>
        <w:tab/>
      </w:r>
      <w:r>
        <w:rPr>
          <w:sz w:val="28"/>
          <w:szCs w:val="28"/>
        </w:rPr>
        <w:t>This is an application for condonation of late filing of heads of argument.</w:t>
      </w:r>
    </w:p>
    <w:p w:rsidR="00547810" w:rsidRDefault="000E4761" w:rsidP="00547810">
      <w:pPr>
        <w:spacing w:after="0" w:line="360" w:lineRule="auto"/>
        <w:jc w:val="both"/>
        <w:rPr>
          <w:sz w:val="28"/>
          <w:szCs w:val="28"/>
        </w:rPr>
      </w:pPr>
      <w:r>
        <w:rPr>
          <w:sz w:val="28"/>
          <w:szCs w:val="28"/>
        </w:rPr>
        <w:tab/>
        <w:t xml:space="preserve">The brief history of this matter is that respondent filed its appeal on </w:t>
      </w:r>
      <w:proofErr w:type="gramStart"/>
      <w:r>
        <w:rPr>
          <w:sz w:val="28"/>
          <w:szCs w:val="28"/>
        </w:rPr>
        <w:t xml:space="preserve">the </w:t>
      </w:r>
      <w:r w:rsidR="00547810">
        <w:rPr>
          <w:sz w:val="28"/>
          <w:szCs w:val="28"/>
        </w:rPr>
        <w:t xml:space="preserve"> 16</w:t>
      </w:r>
      <w:proofErr w:type="gramEnd"/>
      <w:r w:rsidR="00547810">
        <w:rPr>
          <w:sz w:val="28"/>
          <w:szCs w:val="28"/>
          <w:vertAlign w:val="superscript"/>
        </w:rPr>
        <w:t xml:space="preserve"> </w:t>
      </w:r>
      <w:r w:rsidR="00547810">
        <w:rPr>
          <w:sz w:val="28"/>
          <w:szCs w:val="28"/>
        </w:rPr>
        <w:t>September 2011.  Applicant the</w:t>
      </w:r>
      <w:r w:rsidR="00B8672A">
        <w:rPr>
          <w:sz w:val="28"/>
          <w:szCs w:val="28"/>
        </w:rPr>
        <w:t>n</w:t>
      </w:r>
      <w:r w:rsidR="00547810">
        <w:rPr>
          <w:sz w:val="28"/>
          <w:szCs w:val="28"/>
        </w:rPr>
        <w:t xml:space="preserve"> filed his notice of response on the </w:t>
      </w:r>
    </w:p>
    <w:p w:rsidR="00743C94" w:rsidRDefault="00547810" w:rsidP="00743C94">
      <w:pPr>
        <w:spacing w:after="0" w:line="360" w:lineRule="auto"/>
        <w:jc w:val="both"/>
        <w:rPr>
          <w:sz w:val="28"/>
          <w:szCs w:val="28"/>
        </w:rPr>
      </w:pPr>
      <w:r>
        <w:rPr>
          <w:sz w:val="28"/>
          <w:szCs w:val="28"/>
        </w:rPr>
        <w:t xml:space="preserve">30 September 2011.  The respondent then filed its heads of argument on the </w:t>
      </w:r>
    </w:p>
    <w:p w:rsidR="000E4761" w:rsidRDefault="00547810" w:rsidP="00743C94">
      <w:pPr>
        <w:spacing w:after="0" w:line="360" w:lineRule="auto"/>
        <w:jc w:val="both"/>
        <w:rPr>
          <w:sz w:val="28"/>
          <w:szCs w:val="28"/>
        </w:rPr>
      </w:pPr>
      <w:r>
        <w:rPr>
          <w:sz w:val="28"/>
          <w:szCs w:val="28"/>
        </w:rPr>
        <w:t xml:space="preserve">7 June 2013.  The matter failed to take off on the 11 December 2012 because respondent had not filed heads of argument.  On the 11 June 2013 the matter was then postponed </w:t>
      </w:r>
      <w:r>
        <w:rPr>
          <w:i/>
          <w:sz w:val="28"/>
          <w:szCs w:val="28"/>
        </w:rPr>
        <w:t>sine die</w:t>
      </w:r>
      <w:r>
        <w:rPr>
          <w:sz w:val="28"/>
          <w:szCs w:val="28"/>
        </w:rPr>
        <w:t xml:space="preserve"> to enable applicant’s legal practitioner</w:t>
      </w:r>
      <w:r w:rsidR="00C237ED">
        <w:rPr>
          <w:sz w:val="28"/>
          <w:szCs w:val="28"/>
        </w:rPr>
        <w:t xml:space="preserve"> to file heads of argument.  On the 28 June 2013 the matter was further postponed to allow applicant to file his heads of argument.</w:t>
      </w:r>
      <w:bookmarkStart w:id="0" w:name="_GoBack"/>
      <w:bookmarkEnd w:id="0"/>
    </w:p>
    <w:p w:rsidR="00C237ED" w:rsidRDefault="00C237ED" w:rsidP="000E4761">
      <w:pPr>
        <w:spacing w:line="360" w:lineRule="auto"/>
        <w:jc w:val="both"/>
        <w:rPr>
          <w:sz w:val="28"/>
          <w:szCs w:val="28"/>
        </w:rPr>
      </w:pPr>
      <w:r>
        <w:rPr>
          <w:sz w:val="28"/>
          <w:szCs w:val="28"/>
        </w:rPr>
        <w:lastRenderedPageBreak/>
        <w:tab/>
        <w:t xml:space="preserve">Several cases outstanding have stated requirements of an application for condonation for late filing of heads of argument.  CHIDYAUSIKU J (as he then was) in the case of </w:t>
      </w:r>
      <w:proofErr w:type="spellStart"/>
      <w:r>
        <w:rPr>
          <w:b/>
          <w:sz w:val="28"/>
          <w:szCs w:val="28"/>
        </w:rPr>
        <w:t>Bishi</w:t>
      </w:r>
      <w:proofErr w:type="spellEnd"/>
      <w:r>
        <w:rPr>
          <w:b/>
          <w:sz w:val="28"/>
          <w:szCs w:val="28"/>
        </w:rPr>
        <w:t xml:space="preserve"> v Secretary for Education </w:t>
      </w:r>
      <w:r>
        <w:rPr>
          <w:sz w:val="28"/>
          <w:szCs w:val="28"/>
        </w:rPr>
        <w:t>1989 (2) ZLR 240 held that</w:t>
      </w:r>
    </w:p>
    <w:p w:rsidR="00C237ED" w:rsidRDefault="00C237ED" w:rsidP="00C237ED">
      <w:pPr>
        <w:spacing w:line="240" w:lineRule="auto"/>
        <w:ind w:left="1440"/>
        <w:jc w:val="both"/>
        <w:rPr>
          <w:i/>
          <w:sz w:val="24"/>
          <w:szCs w:val="24"/>
        </w:rPr>
      </w:pPr>
      <w:r>
        <w:rPr>
          <w:i/>
          <w:sz w:val="24"/>
          <w:szCs w:val="24"/>
        </w:rPr>
        <w:t xml:space="preserve">“It is well settled that in condonation of all the facts, and that in essence it is a question of fairness to both sides.  In this enquiry relevant considerations may include the degree of </w:t>
      </w:r>
      <w:proofErr w:type="spellStart"/>
      <w:r>
        <w:rPr>
          <w:i/>
          <w:sz w:val="24"/>
          <w:szCs w:val="24"/>
        </w:rPr>
        <w:t>non compliance</w:t>
      </w:r>
      <w:proofErr w:type="spellEnd"/>
      <w:r>
        <w:rPr>
          <w:i/>
          <w:sz w:val="24"/>
          <w:szCs w:val="24"/>
        </w:rPr>
        <w:t xml:space="preserve"> with the Rules, the explanation thereof, the prospects of success on the appeal, the importance of the case, the respondent’s interest in the finality of his judgment, the convenience of the case, the avoidance of unnecessary delay in the administration of justice.  The list is not exhaustive.  These factors are not individually exhaustive but are interrelated and must be weighed against another, thus slight delay and a good explanation may help to compensate for prospects of success which are not strong.”</w:t>
      </w:r>
    </w:p>
    <w:p w:rsidR="00C237ED" w:rsidRDefault="00C237ED" w:rsidP="00C237ED">
      <w:pPr>
        <w:spacing w:line="240" w:lineRule="auto"/>
        <w:jc w:val="both"/>
        <w:rPr>
          <w:sz w:val="28"/>
          <w:szCs w:val="28"/>
        </w:rPr>
      </w:pPr>
    </w:p>
    <w:p w:rsidR="00C237ED" w:rsidRDefault="00C237ED" w:rsidP="00C237ED">
      <w:pPr>
        <w:spacing w:line="360" w:lineRule="auto"/>
        <w:jc w:val="both"/>
        <w:rPr>
          <w:sz w:val="28"/>
          <w:szCs w:val="28"/>
        </w:rPr>
      </w:pPr>
      <w:r>
        <w:rPr>
          <w:sz w:val="28"/>
          <w:szCs w:val="28"/>
        </w:rPr>
        <w:tab/>
        <w:t xml:space="preserve">MAKARAU JP (as she then was) in the case of </w:t>
      </w:r>
      <w:proofErr w:type="spellStart"/>
      <w:r>
        <w:rPr>
          <w:b/>
          <w:sz w:val="28"/>
          <w:szCs w:val="28"/>
        </w:rPr>
        <w:t>Bym</w:t>
      </w:r>
      <w:proofErr w:type="spellEnd"/>
      <w:r>
        <w:rPr>
          <w:b/>
          <w:sz w:val="28"/>
          <w:szCs w:val="28"/>
        </w:rPr>
        <w:t xml:space="preserve"> Traffic Control Systems v The Minister of Transport and Others </w:t>
      </w:r>
      <w:r>
        <w:rPr>
          <w:sz w:val="28"/>
          <w:szCs w:val="28"/>
        </w:rPr>
        <w:t>HH/R/12/2001 also had this to say</w:t>
      </w:r>
    </w:p>
    <w:p w:rsidR="00C237ED" w:rsidRDefault="00C237ED" w:rsidP="00C237ED">
      <w:pPr>
        <w:spacing w:line="240" w:lineRule="auto"/>
        <w:ind w:left="1440"/>
        <w:jc w:val="both"/>
        <w:rPr>
          <w:i/>
          <w:sz w:val="24"/>
          <w:szCs w:val="24"/>
        </w:rPr>
      </w:pPr>
      <w:r>
        <w:rPr>
          <w:i/>
          <w:sz w:val="24"/>
          <w:szCs w:val="24"/>
        </w:rPr>
        <w:t xml:space="preserve">“It is trite that in considering an application of this nature, the court has </w:t>
      </w:r>
      <w:proofErr w:type="gramStart"/>
      <w:r>
        <w:rPr>
          <w:i/>
          <w:sz w:val="24"/>
          <w:szCs w:val="24"/>
        </w:rPr>
        <w:t>a discretion</w:t>
      </w:r>
      <w:proofErr w:type="gramEnd"/>
      <w:r>
        <w:rPr>
          <w:i/>
          <w:sz w:val="24"/>
          <w:szCs w:val="24"/>
        </w:rPr>
        <w:t xml:space="preserve"> in the matter.  In addition</w:t>
      </w:r>
      <w:r w:rsidR="00565086">
        <w:rPr>
          <w:i/>
          <w:sz w:val="24"/>
          <w:szCs w:val="24"/>
        </w:rPr>
        <w:t xml:space="preserve"> to considering the reasonableness of the excuse for the delay the court also takes into account various factors including the importance of the case, the respondent’s interest in reaching finality of the court, and the avoidance of unnecessary delay in the administration of justice.”</w:t>
      </w:r>
    </w:p>
    <w:p w:rsidR="00565086" w:rsidRDefault="00565086" w:rsidP="00565086">
      <w:pPr>
        <w:spacing w:line="240" w:lineRule="auto"/>
        <w:jc w:val="both"/>
        <w:rPr>
          <w:i/>
          <w:sz w:val="24"/>
          <w:szCs w:val="24"/>
        </w:rPr>
      </w:pPr>
    </w:p>
    <w:p w:rsidR="00565086" w:rsidRDefault="00565086" w:rsidP="00565086">
      <w:pPr>
        <w:spacing w:line="360" w:lineRule="auto"/>
        <w:jc w:val="both"/>
        <w:rPr>
          <w:sz w:val="28"/>
          <w:szCs w:val="28"/>
        </w:rPr>
      </w:pPr>
      <w:r>
        <w:rPr>
          <w:sz w:val="28"/>
          <w:szCs w:val="28"/>
        </w:rPr>
        <w:tab/>
        <w:t>It has also been a trite principle that labour matters should not be decide on technicalities.  Merits of the case have to be considered in this case.  It is also necessary that the matter should be brought to finality.</w:t>
      </w:r>
    </w:p>
    <w:p w:rsidR="00565086" w:rsidRDefault="00565086" w:rsidP="00565086">
      <w:pPr>
        <w:spacing w:line="360" w:lineRule="auto"/>
        <w:jc w:val="both"/>
        <w:rPr>
          <w:sz w:val="28"/>
          <w:szCs w:val="28"/>
        </w:rPr>
      </w:pPr>
      <w:r>
        <w:rPr>
          <w:sz w:val="28"/>
          <w:szCs w:val="28"/>
        </w:rPr>
        <w:tab/>
        <w:t>In view of the foregoing therefore</w:t>
      </w:r>
    </w:p>
    <w:p w:rsidR="00565086" w:rsidRDefault="00565086" w:rsidP="00565086">
      <w:pPr>
        <w:spacing w:line="360" w:lineRule="auto"/>
        <w:jc w:val="both"/>
        <w:rPr>
          <w:sz w:val="28"/>
          <w:szCs w:val="28"/>
        </w:rPr>
      </w:pPr>
    </w:p>
    <w:p w:rsidR="00565086" w:rsidRDefault="00565086" w:rsidP="00565086">
      <w:pPr>
        <w:spacing w:line="360" w:lineRule="auto"/>
        <w:jc w:val="both"/>
        <w:rPr>
          <w:sz w:val="28"/>
          <w:szCs w:val="28"/>
        </w:rPr>
      </w:pPr>
    </w:p>
    <w:p w:rsidR="00565086" w:rsidRDefault="00565086" w:rsidP="00565086">
      <w:pPr>
        <w:spacing w:line="360" w:lineRule="auto"/>
        <w:jc w:val="both"/>
        <w:rPr>
          <w:b/>
          <w:sz w:val="28"/>
          <w:szCs w:val="28"/>
        </w:rPr>
      </w:pPr>
      <w:r w:rsidRPr="00565086">
        <w:rPr>
          <w:b/>
          <w:sz w:val="28"/>
          <w:szCs w:val="28"/>
        </w:rPr>
        <w:lastRenderedPageBreak/>
        <w:t xml:space="preserve">IT IS HEREBY ORDERED THAT </w:t>
      </w:r>
    </w:p>
    <w:p w:rsidR="00565086" w:rsidRPr="00565086" w:rsidRDefault="00565086" w:rsidP="00565086">
      <w:pPr>
        <w:pStyle w:val="ListParagraph"/>
        <w:numPr>
          <w:ilvl w:val="0"/>
          <w:numId w:val="1"/>
        </w:numPr>
        <w:spacing w:line="360" w:lineRule="auto"/>
        <w:jc w:val="both"/>
        <w:rPr>
          <w:i/>
          <w:sz w:val="24"/>
          <w:szCs w:val="24"/>
        </w:rPr>
      </w:pPr>
      <w:r>
        <w:rPr>
          <w:sz w:val="28"/>
          <w:szCs w:val="28"/>
        </w:rPr>
        <w:t>The application for condonation for late filing of heads be and is here by granted.</w:t>
      </w:r>
    </w:p>
    <w:p w:rsidR="00565086" w:rsidRPr="00565086" w:rsidRDefault="00565086" w:rsidP="00565086">
      <w:pPr>
        <w:pStyle w:val="ListParagraph"/>
        <w:numPr>
          <w:ilvl w:val="0"/>
          <w:numId w:val="1"/>
        </w:numPr>
        <w:spacing w:line="360" w:lineRule="auto"/>
        <w:jc w:val="both"/>
        <w:rPr>
          <w:i/>
          <w:sz w:val="24"/>
          <w:szCs w:val="24"/>
        </w:rPr>
      </w:pPr>
      <w:r>
        <w:rPr>
          <w:sz w:val="28"/>
          <w:szCs w:val="28"/>
        </w:rPr>
        <w:t>Each party shall bear its own costs.</w:t>
      </w:r>
    </w:p>
    <w:p w:rsidR="00565086" w:rsidRDefault="00565086" w:rsidP="00565086">
      <w:pPr>
        <w:spacing w:line="360" w:lineRule="auto"/>
        <w:jc w:val="both"/>
        <w:rPr>
          <w:i/>
          <w:sz w:val="24"/>
          <w:szCs w:val="24"/>
        </w:rPr>
      </w:pPr>
    </w:p>
    <w:p w:rsidR="00565086" w:rsidRDefault="00565086" w:rsidP="00565086">
      <w:pPr>
        <w:spacing w:after="0"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applicant’s legal practitioners</w:t>
      </w:r>
    </w:p>
    <w:p w:rsidR="00565086" w:rsidRPr="00565086" w:rsidRDefault="00565086" w:rsidP="00565086">
      <w:pPr>
        <w:spacing w:after="0" w:line="360" w:lineRule="auto"/>
        <w:jc w:val="both"/>
        <w:rPr>
          <w:b/>
          <w:i/>
          <w:sz w:val="24"/>
          <w:szCs w:val="24"/>
        </w:rPr>
      </w:pPr>
      <w:proofErr w:type="spellStart"/>
      <w:r>
        <w:rPr>
          <w:b/>
          <w:i/>
          <w:sz w:val="24"/>
          <w:szCs w:val="24"/>
        </w:rPr>
        <w:t>Gwisai</w:t>
      </w:r>
      <w:proofErr w:type="spellEnd"/>
      <w:r>
        <w:rPr>
          <w:b/>
          <w:i/>
          <w:sz w:val="24"/>
          <w:szCs w:val="24"/>
        </w:rPr>
        <w:t xml:space="preserve"> &amp; Partners, respondent’s legal practitioners</w:t>
      </w:r>
    </w:p>
    <w:sectPr w:rsidR="00565086" w:rsidRPr="00565086" w:rsidSect="00C237E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11" w:rsidRDefault="007B2311" w:rsidP="00A15230">
      <w:pPr>
        <w:spacing w:after="0" w:line="240" w:lineRule="auto"/>
      </w:pPr>
      <w:r>
        <w:separator/>
      </w:r>
    </w:p>
  </w:endnote>
  <w:endnote w:type="continuationSeparator" w:id="0">
    <w:p w:rsidR="007B2311" w:rsidRDefault="007B2311" w:rsidP="00A1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21298"/>
      <w:docPartObj>
        <w:docPartGallery w:val="Page Numbers (Bottom of Page)"/>
        <w:docPartUnique/>
      </w:docPartObj>
    </w:sdtPr>
    <w:sdtEndPr>
      <w:rPr>
        <w:noProof/>
      </w:rPr>
    </w:sdtEndPr>
    <w:sdtContent>
      <w:p w:rsidR="00C237ED" w:rsidRDefault="00C237ED">
        <w:pPr>
          <w:pStyle w:val="Footer"/>
          <w:jc w:val="right"/>
        </w:pPr>
        <w:r>
          <w:fldChar w:fldCharType="begin"/>
        </w:r>
        <w:r>
          <w:instrText xml:space="preserve"> PAGE   \* MERGEFORMAT </w:instrText>
        </w:r>
        <w:r>
          <w:fldChar w:fldCharType="separate"/>
        </w:r>
        <w:r w:rsidR="00743C94">
          <w:rPr>
            <w:noProof/>
          </w:rPr>
          <w:t>2</w:t>
        </w:r>
        <w:r>
          <w:rPr>
            <w:noProof/>
          </w:rPr>
          <w:fldChar w:fldCharType="end"/>
        </w:r>
      </w:p>
    </w:sdtContent>
  </w:sdt>
  <w:p w:rsidR="00C237ED" w:rsidRDefault="00C23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11" w:rsidRDefault="007B2311" w:rsidP="00A15230">
      <w:pPr>
        <w:spacing w:after="0" w:line="240" w:lineRule="auto"/>
      </w:pPr>
      <w:r>
        <w:separator/>
      </w:r>
    </w:p>
  </w:footnote>
  <w:footnote w:type="continuationSeparator" w:id="0">
    <w:p w:rsidR="007B2311" w:rsidRDefault="007B2311" w:rsidP="00A15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ED" w:rsidRDefault="00743C94" w:rsidP="00743C94">
    <w:pPr>
      <w:spacing w:line="360" w:lineRule="auto"/>
      <w:ind w:left="5040"/>
      <w:jc w:val="both"/>
      <w:rPr>
        <w:b/>
        <w:sz w:val="28"/>
        <w:szCs w:val="28"/>
      </w:rPr>
    </w:pPr>
    <w:r>
      <w:rPr>
        <w:b/>
        <w:sz w:val="28"/>
        <w:szCs w:val="28"/>
      </w:rPr>
      <w:t xml:space="preserve">         </w:t>
    </w:r>
    <w:r w:rsidR="00C237ED">
      <w:rPr>
        <w:b/>
        <w:sz w:val="28"/>
        <w:szCs w:val="28"/>
      </w:rPr>
      <w:t>JUDGMENT NO LC/H/</w:t>
    </w:r>
    <w:r>
      <w:rPr>
        <w:b/>
        <w:sz w:val="28"/>
        <w:szCs w:val="28"/>
      </w:rPr>
      <w:t>324</w:t>
    </w:r>
    <w:r w:rsidR="00C237ED">
      <w:rPr>
        <w:b/>
        <w:sz w:val="28"/>
        <w:szCs w:val="28"/>
      </w:rPr>
      <w:t>/14</w:t>
    </w:r>
  </w:p>
  <w:p w:rsidR="00C237ED" w:rsidRDefault="00C23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B3F11"/>
    <w:multiLevelType w:val="hybridMultilevel"/>
    <w:tmpl w:val="9F38AA7E"/>
    <w:lvl w:ilvl="0" w:tplc="38F6AE64">
      <w:start w:val="30"/>
      <w:numFmt w:val="bullet"/>
      <w:lvlText w:val="-"/>
      <w:lvlJc w:val="left"/>
      <w:pPr>
        <w:ind w:left="720" w:hanging="360"/>
      </w:pPr>
      <w:rPr>
        <w:rFonts w:ascii="Calibri" w:eastAsiaTheme="minorHAnsi" w:hAnsi="Calibri" w:cs="Calibri" w:hint="default"/>
        <w:i w:val="0"/>
        <w:sz w:val="28"/>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61"/>
    <w:rsid w:val="000E4761"/>
    <w:rsid w:val="00231A33"/>
    <w:rsid w:val="003E6604"/>
    <w:rsid w:val="00547810"/>
    <w:rsid w:val="00565086"/>
    <w:rsid w:val="00743C94"/>
    <w:rsid w:val="007B2311"/>
    <w:rsid w:val="00A15230"/>
    <w:rsid w:val="00B8672A"/>
    <w:rsid w:val="00C237ED"/>
    <w:rsid w:val="00D0631F"/>
    <w:rsid w:val="00EA46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0"/>
  </w:style>
  <w:style w:type="paragraph" w:styleId="Footer">
    <w:name w:val="footer"/>
    <w:basedOn w:val="Normal"/>
    <w:link w:val="FooterChar"/>
    <w:uiPriority w:val="99"/>
    <w:unhideWhenUsed/>
    <w:rsid w:val="00A15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0"/>
  </w:style>
  <w:style w:type="paragraph" w:styleId="ListParagraph">
    <w:name w:val="List Paragraph"/>
    <w:basedOn w:val="Normal"/>
    <w:uiPriority w:val="34"/>
    <w:qFormat/>
    <w:rsid w:val="00565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0"/>
  </w:style>
  <w:style w:type="paragraph" w:styleId="Footer">
    <w:name w:val="footer"/>
    <w:basedOn w:val="Normal"/>
    <w:link w:val="FooterChar"/>
    <w:uiPriority w:val="99"/>
    <w:unhideWhenUsed/>
    <w:rsid w:val="00A15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0"/>
  </w:style>
  <w:style w:type="paragraph" w:styleId="ListParagraph">
    <w:name w:val="List Paragraph"/>
    <w:basedOn w:val="Normal"/>
    <w:uiPriority w:val="34"/>
    <w:qFormat/>
    <w:rsid w:val="00565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2014-05-28T10:30:00Z</cp:lastPrinted>
  <dcterms:created xsi:type="dcterms:W3CDTF">2014-05-28T09:53:00Z</dcterms:created>
  <dcterms:modified xsi:type="dcterms:W3CDTF">2014-06-02T07:16:00Z</dcterms:modified>
</cp:coreProperties>
</file>