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77" w:rsidRPr="008E1711" w:rsidRDefault="00AB0777" w:rsidP="00AB0777">
      <w:pPr>
        <w:spacing w:line="360" w:lineRule="auto"/>
        <w:rPr>
          <w:b/>
        </w:rPr>
      </w:pPr>
      <w:r w:rsidRPr="008E1711">
        <w:rPr>
          <w:b/>
        </w:rPr>
        <w:t xml:space="preserve">THE LABOUR COURT OF ZIMBABWE      </w:t>
      </w:r>
      <w:r>
        <w:rPr>
          <w:b/>
        </w:rPr>
        <w:t xml:space="preserve">   </w:t>
      </w:r>
      <w:r w:rsidRPr="008E1711">
        <w:rPr>
          <w:b/>
        </w:rPr>
        <w:t>JUDGMENT NO. LC/H/</w:t>
      </w:r>
      <w:r w:rsidR="00C1484B">
        <w:rPr>
          <w:b/>
        </w:rPr>
        <w:t>276</w:t>
      </w:r>
      <w:r>
        <w:rPr>
          <w:b/>
        </w:rPr>
        <w:t>/2016</w:t>
      </w:r>
    </w:p>
    <w:p w:rsidR="00AB0777" w:rsidRDefault="00AB0777" w:rsidP="00AB0777">
      <w:pPr>
        <w:spacing w:line="360" w:lineRule="auto"/>
        <w:jc w:val="both"/>
        <w:rPr>
          <w:b/>
        </w:rPr>
      </w:pPr>
      <w:r>
        <w:rPr>
          <w:b/>
        </w:rPr>
        <w:t>HARARE, 17 MARCH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w:t>
      </w:r>
      <w:r w:rsidR="005F365E">
        <w:rPr>
          <w:b/>
        </w:rPr>
        <w:t>1111</w:t>
      </w:r>
      <w:r w:rsidR="00084AC4">
        <w:rPr>
          <w:b/>
        </w:rPr>
        <w:t>/15</w:t>
      </w:r>
      <w:bookmarkStart w:id="0" w:name="_GoBack"/>
      <w:bookmarkEnd w:id="0"/>
    </w:p>
    <w:p w:rsidR="00AB0777" w:rsidRDefault="00AB0777" w:rsidP="00AB0777">
      <w:pPr>
        <w:spacing w:line="360" w:lineRule="auto"/>
        <w:jc w:val="both"/>
        <w:rPr>
          <w:b/>
        </w:rPr>
      </w:pPr>
      <w:r>
        <w:rPr>
          <w:b/>
        </w:rPr>
        <w:t xml:space="preserve">AND </w:t>
      </w:r>
      <w:r w:rsidR="000E249B">
        <w:rPr>
          <w:b/>
        </w:rPr>
        <w:t>6</w:t>
      </w:r>
      <w:r w:rsidR="00C1484B">
        <w:rPr>
          <w:b/>
        </w:rPr>
        <w:t xml:space="preserve"> MAY</w:t>
      </w:r>
      <w:r>
        <w:rPr>
          <w:b/>
        </w:rPr>
        <w:t xml:space="preserve"> 2016</w:t>
      </w:r>
    </w:p>
    <w:p w:rsidR="00AB0777" w:rsidRDefault="00AB0777" w:rsidP="00AB0777">
      <w:pPr>
        <w:jc w:val="both"/>
      </w:pPr>
      <w:r w:rsidRPr="00047C13">
        <w:t>In the matter between</w:t>
      </w:r>
      <w:r>
        <w:t>:-</w:t>
      </w:r>
    </w:p>
    <w:p w:rsidR="00AB0777" w:rsidRDefault="00AB0777" w:rsidP="00AB0777">
      <w:pPr>
        <w:jc w:val="both"/>
      </w:pPr>
    </w:p>
    <w:p w:rsidR="00AB0777" w:rsidRPr="00047C13" w:rsidRDefault="00AB0777" w:rsidP="00AB0777">
      <w:pPr>
        <w:jc w:val="both"/>
      </w:pPr>
    </w:p>
    <w:p w:rsidR="00AB0777" w:rsidRPr="00047C13" w:rsidRDefault="005F365E" w:rsidP="00AB0777">
      <w:pPr>
        <w:spacing w:line="360" w:lineRule="auto"/>
        <w:jc w:val="both"/>
        <w:rPr>
          <w:b/>
        </w:rPr>
      </w:pPr>
      <w:r>
        <w:rPr>
          <w:b/>
        </w:rPr>
        <w:t>JOSPHAT CHIKWENGO</w:t>
      </w:r>
      <w:r>
        <w:rPr>
          <w:b/>
        </w:rPr>
        <w:tab/>
      </w:r>
      <w:r>
        <w:rPr>
          <w:b/>
        </w:rPr>
        <w:tab/>
      </w:r>
      <w:r>
        <w:rPr>
          <w:b/>
        </w:rPr>
        <w:tab/>
      </w:r>
      <w:r w:rsidR="00AB0777">
        <w:rPr>
          <w:b/>
        </w:rPr>
        <w:tab/>
      </w:r>
      <w:r w:rsidR="00AB0777">
        <w:rPr>
          <w:b/>
        </w:rPr>
        <w:tab/>
      </w:r>
      <w:r w:rsidR="00AB0777">
        <w:rPr>
          <w:b/>
        </w:rPr>
        <w:tab/>
      </w:r>
      <w:r w:rsidR="00AB0777">
        <w:rPr>
          <w:b/>
        </w:rPr>
        <w:tab/>
        <w:t>Appellant</w:t>
      </w:r>
    </w:p>
    <w:p w:rsidR="00AB0777" w:rsidRPr="00047C13" w:rsidRDefault="00AB0777" w:rsidP="00AB0777">
      <w:pPr>
        <w:tabs>
          <w:tab w:val="left" w:pos="1995"/>
        </w:tabs>
        <w:spacing w:line="360" w:lineRule="auto"/>
        <w:jc w:val="both"/>
      </w:pPr>
      <w:r w:rsidRPr="00047C13">
        <w:t>And</w:t>
      </w:r>
      <w:r w:rsidRPr="00047C13">
        <w:tab/>
      </w:r>
    </w:p>
    <w:p w:rsidR="00AB0777" w:rsidRDefault="005F365E" w:rsidP="00AB0777">
      <w:pPr>
        <w:spacing w:line="360" w:lineRule="auto"/>
        <w:jc w:val="both"/>
        <w:rPr>
          <w:b/>
        </w:rPr>
      </w:pPr>
      <w:r>
        <w:rPr>
          <w:b/>
        </w:rPr>
        <w:t>ZIMBABWE POWER COMPANY (PVT) LTD</w:t>
      </w:r>
      <w:r w:rsidR="00AB0777">
        <w:rPr>
          <w:b/>
        </w:rPr>
        <w:tab/>
      </w:r>
      <w:r>
        <w:rPr>
          <w:b/>
        </w:rPr>
        <w:tab/>
      </w:r>
      <w:r>
        <w:rPr>
          <w:b/>
        </w:rPr>
        <w:tab/>
      </w:r>
      <w:r>
        <w:rPr>
          <w:b/>
        </w:rPr>
        <w:tab/>
      </w:r>
      <w:r w:rsidR="00AB0777">
        <w:rPr>
          <w:b/>
        </w:rPr>
        <w:t>Respondent</w:t>
      </w:r>
    </w:p>
    <w:p w:rsidR="00AB0777" w:rsidRDefault="00AB0777" w:rsidP="00AB0777">
      <w:pPr>
        <w:jc w:val="both"/>
        <w:rPr>
          <w:b/>
        </w:rPr>
      </w:pPr>
    </w:p>
    <w:p w:rsidR="00AB0777" w:rsidRDefault="00AB0777" w:rsidP="00AB0777">
      <w:pPr>
        <w:spacing w:line="360" w:lineRule="auto"/>
        <w:jc w:val="both"/>
      </w:pPr>
      <w:r>
        <w:t>Before Honourable P. Muzofa, Judge</w:t>
      </w:r>
    </w:p>
    <w:p w:rsidR="00AB0777" w:rsidRDefault="00AB0777" w:rsidP="00AB0777">
      <w:pPr>
        <w:jc w:val="both"/>
      </w:pPr>
      <w:r>
        <w:t xml:space="preserve">                             </w:t>
      </w:r>
    </w:p>
    <w:p w:rsidR="00AB0777" w:rsidRPr="00047C13" w:rsidRDefault="00AB0777" w:rsidP="00AB0777">
      <w:pPr>
        <w:jc w:val="both"/>
      </w:pPr>
      <w:r w:rsidRPr="00047C13">
        <w:tab/>
      </w:r>
      <w:r w:rsidRPr="00047C13">
        <w:tab/>
      </w:r>
      <w:r w:rsidRPr="00047C13">
        <w:tab/>
      </w:r>
    </w:p>
    <w:p w:rsidR="00AB0777" w:rsidRDefault="00AB0777" w:rsidP="00AB0777">
      <w:pPr>
        <w:jc w:val="both"/>
        <w:rPr>
          <w:b/>
        </w:rPr>
      </w:pPr>
      <w:r>
        <w:rPr>
          <w:b/>
        </w:rPr>
        <w:t xml:space="preserve">For </w:t>
      </w:r>
      <w:r w:rsidRPr="00047C13">
        <w:rPr>
          <w:b/>
        </w:rPr>
        <w:t>App</w:t>
      </w:r>
      <w:r>
        <w:rPr>
          <w:b/>
        </w:rPr>
        <w:t>ellant</w:t>
      </w:r>
      <w:r>
        <w:rPr>
          <w:b/>
        </w:rPr>
        <w:tab/>
      </w:r>
      <w:r>
        <w:rPr>
          <w:b/>
        </w:rPr>
        <w:tab/>
      </w:r>
      <w:r w:rsidR="00981DA0">
        <w:rPr>
          <w:b/>
        </w:rPr>
        <w:t xml:space="preserve">C. Muchichwa </w:t>
      </w:r>
      <w:r w:rsidR="00B65E63">
        <w:rPr>
          <w:b/>
        </w:rPr>
        <w:t>(NEWUZ Law Officer</w:t>
      </w:r>
      <w:r w:rsidR="00981DA0">
        <w:rPr>
          <w:b/>
        </w:rPr>
        <w:t>)</w:t>
      </w:r>
    </w:p>
    <w:p w:rsidR="00AB0777" w:rsidRPr="00047C13" w:rsidRDefault="00AB0777" w:rsidP="00AB0777">
      <w:pPr>
        <w:jc w:val="both"/>
        <w:rPr>
          <w:b/>
        </w:rPr>
      </w:pPr>
    </w:p>
    <w:p w:rsidR="00AB0777" w:rsidRDefault="00AB0777" w:rsidP="00AB0777">
      <w:pPr>
        <w:jc w:val="both"/>
        <w:rPr>
          <w:b/>
        </w:rPr>
      </w:pPr>
      <w:r>
        <w:rPr>
          <w:b/>
        </w:rPr>
        <w:t>For Respondent</w:t>
      </w:r>
      <w:r>
        <w:rPr>
          <w:b/>
        </w:rPr>
        <w:tab/>
      </w:r>
      <w:r w:rsidRPr="00047C13">
        <w:rPr>
          <w:b/>
        </w:rPr>
        <w:tab/>
      </w:r>
      <w:r w:rsidR="00981DA0">
        <w:rPr>
          <w:b/>
        </w:rPr>
        <w:t xml:space="preserve">H. </w:t>
      </w:r>
      <w:r w:rsidR="000673BC">
        <w:rPr>
          <w:b/>
        </w:rPr>
        <w:t>Mutsauki (</w:t>
      </w:r>
      <w:r>
        <w:rPr>
          <w:b/>
        </w:rPr>
        <w:t>Legal Officer)</w:t>
      </w:r>
    </w:p>
    <w:p w:rsidR="00AB0777" w:rsidRDefault="00AB0777" w:rsidP="00AB0777">
      <w:pPr>
        <w:jc w:val="both"/>
        <w:rPr>
          <w:b/>
        </w:rPr>
      </w:pPr>
    </w:p>
    <w:p w:rsidR="00AB0777" w:rsidRPr="00047C13" w:rsidRDefault="00AB0777" w:rsidP="00AB0777">
      <w:pPr>
        <w:jc w:val="both"/>
        <w:rPr>
          <w:b/>
        </w:rPr>
      </w:pPr>
    </w:p>
    <w:p w:rsidR="00AB0777" w:rsidRDefault="00AB0777" w:rsidP="00AB0777">
      <w:pPr>
        <w:spacing w:line="360" w:lineRule="auto"/>
        <w:jc w:val="both"/>
        <w:rPr>
          <w:b/>
        </w:rPr>
      </w:pPr>
      <w:r>
        <w:rPr>
          <w:b/>
        </w:rPr>
        <w:t>MUZOFA, J:</w:t>
      </w:r>
    </w:p>
    <w:p w:rsidR="009360BB" w:rsidRDefault="009360BB" w:rsidP="006B7428">
      <w:pPr>
        <w:spacing w:line="360" w:lineRule="auto"/>
        <w:jc w:val="both"/>
      </w:pPr>
    </w:p>
    <w:p w:rsidR="006B7428" w:rsidRDefault="0050687C" w:rsidP="0050687C">
      <w:pPr>
        <w:spacing w:line="360" w:lineRule="auto"/>
        <w:ind w:firstLine="720"/>
        <w:jc w:val="both"/>
      </w:pPr>
      <w:r>
        <w:t>The appellant was employed by the respondent based in Bulawayo.  He was dismissed from employment for being absent without authority and dishonesty.</w:t>
      </w:r>
    </w:p>
    <w:p w:rsidR="0050687C" w:rsidRDefault="0050687C" w:rsidP="000A735E">
      <w:pPr>
        <w:ind w:firstLine="720"/>
        <w:jc w:val="both"/>
      </w:pPr>
    </w:p>
    <w:p w:rsidR="0050687C" w:rsidRDefault="005477A8" w:rsidP="0050687C">
      <w:pPr>
        <w:spacing w:line="360" w:lineRule="auto"/>
        <w:ind w:firstLine="720"/>
        <w:jc w:val="both"/>
      </w:pPr>
      <w:r>
        <w:t>According to the respondent the appellant was absent from duty from 18 May to June 2015 without authority.</w:t>
      </w:r>
      <w:r w:rsidR="00254461">
        <w:t xml:space="preserve"> Respondent made efforts to locate the appellant to no avail.  On 11 June 201</w:t>
      </w:r>
      <w:r w:rsidR="00C74AAF">
        <w:t>5 appellant’s salary was ceased</w:t>
      </w:r>
      <w:r w:rsidR="00C1484B">
        <w:t>, maybe</w:t>
      </w:r>
      <w:r w:rsidR="00254461">
        <w:t xml:space="preserve"> appellant got wind of that development, he the</w:t>
      </w:r>
      <w:r w:rsidR="00C74AAF">
        <w:t>n</w:t>
      </w:r>
      <w:r w:rsidR="00254461">
        <w:t xml:space="preserve"> reported for duty on that day.</w:t>
      </w:r>
    </w:p>
    <w:p w:rsidR="00254461" w:rsidRDefault="00254461" w:rsidP="000A735E">
      <w:pPr>
        <w:ind w:firstLine="720"/>
        <w:jc w:val="both"/>
      </w:pPr>
    </w:p>
    <w:p w:rsidR="00254461" w:rsidRDefault="00A0055F" w:rsidP="0050687C">
      <w:pPr>
        <w:spacing w:line="360" w:lineRule="auto"/>
        <w:ind w:firstLine="720"/>
        <w:jc w:val="both"/>
      </w:pPr>
      <w:r>
        <w:t>Appellant submitted sick notes issued by</w:t>
      </w:r>
      <w:r w:rsidR="00090F0A">
        <w:t xml:space="preserve"> a DR Dzvairo who was based at Mpilo Hospital, recommending that appellant take some bed rest.  The respondent unconvinced at the appellant’s condition conducted some investigations on the auth</w:t>
      </w:r>
      <w:r w:rsidR="00C74AAF">
        <w:t>enticity</w:t>
      </w:r>
      <w:r w:rsidR="00090F0A">
        <w:t xml:space="preserve"> of the sick notes.</w:t>
      </w:r>
    </w:p>
    <w:p w:rsidR="00090F0A" w:rsidRDefault="00090F0A" w:rsidP="000A735E">
      <w:pPr>
        <w:ind w:firstLine="720"/>
        <w:jc w:val="both"/>
      </w:pPr>
    </w:p>
    <w:p w:rsidR="00090F0A" w:rsidRDefault="00090F0A" w:rsidP="0050687C">
      <w:pPr>
        <w:spacing w:line="360" w:lineRule="auto"/>
        <w:ind w:firstLine="720"/>
        <w:jc w:val="both"/>
      </w:pPr>
      <w:r>
        <w:t>It was discovered th</w:t>
      </w:r>
      <w:r w:rsidR="009F4AA2">
        <w:t>at the notes were indeed authored by DR Dzvairo but Mpilo Hospital indicated that there were no records that the appellant was attended at the Hospital.</w:t>
      </w:r>
    </w:p>
    <w:p w:rsidR="009F4AA2" w:rsidRDefault="009F4AA2" w:rsidP="0050687C">
      <w:pPr>
        <w:spacing w:line="360" w:lineRule="auto"/>
        <w:ind w:firstLine="720"/>
        <w:jc w:val="both"/>
      </w:pPr>
      <w:r>
        <w:lastRenderedPageBreak/>
        <w:t>As a result of the fin</w:t>
      </w:r>
      <w:r w:rsidR="0072160C">
        <w:t xml:space="preserve">dings the appellant was charged in terms of the respondent’s code of conduct for </w:t>
      </w:r>
      <w:r w:rsidR="00D75D8E">
        <w:t>absenteeism</w:t>
      </w:r>
      <w:r w:rsidR="0072160C">
        <w:t xml:space="preserve"> and dishonesty in that he produced a fraudulent sick </w:t>
      </w:r>
      <w:r w:rsidR="00DC5C07">
        <w:t>note</w:t>
      </w:r>
      <w:r w:rsidR="0072160C">
        <w:t>.</w:t>
      </w:r>
    </w:p>
    <w:p w:rsidR="0072160C" w:rsidRDefault="0072160C" w:rsidP="000A735E">
      <w:pPr>
        <w:ind w:firstLine="720"/>
        <w:jc w:val="both"/>
      </w:pPr>
    </w:p>
    <w:p w:rsidR="0072160C" w:rsidRDefault="0072160C" w:rsidP="0050687C">
      <w:pPr>
        <w:spacing w:line="360" w:lineRule="auto"/>
        <w:ind w:firstLine="720"/>
        <w:jc w:val="both"/>
      </w:pPr>
      <w:r>
        <w:t xml:space="preserve">A disciplinary hearing was set to be held on 30 June 2015.  No hearing took place </w:t>
      </w:r>
      <w:r w:rsidR="00D75D8E">
        <w:t xml:space="preserve">after appellant’s representatives raised </w:t>
      </w:r>
      <w:r w:rsidR="00DB33BA">
        <w:t xml:space="preserve">some objections.  The matter was postponed to the following day 1 July 2015.  The matter did not take off again due to objections by appellant’s </w:t>
      </w:r>
      <w:r w:rsidR="00872866">
        <w:t>representative.  Thereafter two more dates were set for the hearing on 6 and 21 July 2015 respectively</w:t>
      </w:r>
      <w:r w:rsidR="00571E99">
        <w:t>.  On both occasions the hearing did not take of</w:t>
      </w:r>
      <w:r w:rsidR="00DC5C07">
        <w:t>f</w:t>
      </w:r>
      <w:r w:rsidR="00571E99">
        <w:t xml:space="preserve"> due to objections by appellant.  These postponements were by consent.</w:t>
      </w:r>
    </w:p>
    <w:p w:rsidR="00571E99" w:rsidRDefault="00571E99" w:rsidP="000A735E">
      <w:pPr>
        <w:ind w:firstLine="720"/>
        <w:jc w:val="both"/>
      </w:pPr>
    </w:p>
    <w:p w:rsidR="00571E99" w:rsidRDefault="00571E99" w:rsidP="0050687C">
      <w:pPr>
        <w:spacing w:line="360" w:lineRule="auto"/>
        <w:ind w:firstLine="720"/>
        <w:jc w:val="both"/>
      </w:pPr>
      <w:r>
        <w:t>Eventually the 4</w:t>
      </w:r>
      <w:r w:rsidRPr="00571E99">
        <w:rPr>
          <w:vertAlign w:val="superscript"/>
        </w:rPr>
        <w:t>th</w:t>
      </w:r>
      <w:r>
        <w:t xml:space="preserve"> of August 2015 was set</w:t>
      </w:r>
      <w:r w:rsidR="006B1C61">
        <w:t xml:space="preserve"> as the date of hearing.</w:t>
      </w:r>
    </w:p>
    <w:p w:rsidR="006B1C61" w:rsidRDefault="006B1C61" w:rsidP="000A735E">
      <w:pPr>
        <w:ind w:firstLine="720"/>
        <w:jc w:val="both"/>
      </w:pPr>
    </w:p>
    <w:p w:rsidR="006B1C61" w:rsidRDefault="006B1C61" w:rsidP="0050687C">
      <w:pPr>
        <w:spacing w:line="360" w:lineRule="auto"/>
        <w:ind w:firstLine="720"/>
        <w:jc w:val="both"/>
      </w:pPr>
      <w:r>
        <w:t xml:space="preserve">The disciplinary committee was composed of three </w:t>
      </w:r>
      <w:r w:rsidR="00B53BD4">
        <w:t>workers’ representatives</w:t>
      </w:r>
      <w:r>
        <w:t>, three management representatives and a chairman.</w:t>
      </w:r>
    </w:p>
    <w:p w:rsidR="00FE33C6" w:rsidRDefault="00FE33C6" w:rsidP="000A735E">
      <w:pPr>
        <w:ind w:firstLine="720"/>
        <w:jc w:val="both"/>
      </w:pPr>
    </w:p>
    <w:p w:rsidR="009360BB" w:rsidRDefault="00FE33C6" w:rsidP="0050687C">
      <w:pPr>
        <w:spacing w:line="360" w:lineRule="auto"/>
        <w:ind w:firstLine="720"/>
        <w:jc w:val="both"/>
      </w:pPr>
      <w:r>
        <w:t>On the 4</w:t>
      </w:r>
      <w:r w:rsidRPr="00FE33C6">
        <w:rPr>
          <w:vertAlign w:val="superscript"/>
        </w:rPr>
        <w:t>th</w:t>
      </w:r>
      <w:r>
        <w:t xml:space="preserve"> of August the three workers’ representatives did not </w:t>
      </w:r>
      <w:r w:rsidR="005A72BE">
        <w:t xml:space="preserve">turn up for the hearing.  They had advised the chairman on the same day that they were not </w:t>
      </w:r>
      <w:r w:rsidR="00A55B05">
        <w:t>attending</w:t>
      </w:r>
      <w:r w:rsidR="005A72BE">
        <w:t xml:space="preserve"> the proceedings since the matter had been referred to a labour officer in terms of</w:t>
      </w:r>
      <w:r w:rsidR="00A55B05">
        <w:t xml:space="preserve"> section 18 (f) of the Zimbabwe</w:t>
      </w:r>
      <w:r w:rsidR="00AE3EA6">
        <w:t xml:space="preserve"> Energy Industry Code </w:t>
      </w:r>
      <w:r w:rsidR="009360BB">
        <w:t>“ the Code”.</w:t>
      </w:r>
    </w:p>
    <w:p w:rsidR="009360BB" w:rsidRDefault="009360BB" w:rsidP="000A735E">
      <w:pPr>
        <w:ind w:firstLine="720"/>
        <w:jc w:val="both"/>
      </w:pPr>
    </w:p>
    <w:p w:rsidR="002A2A14" w:rsidRDefault="009360BB" w:rsidP="0050687C">
      <w:pPr>
        <w:spacing w:line="360" w:lineRule="auto"/>
        <w:ind w:firstLine="720"/>
        <w:jc w:val="both"/>
      </w:pPr>
      <w:r>
        <w:t>The appellant and his representative did not turn up for the hearing.</w:t>
      </w:r>
    </w:p>
    <w:p w:rsidR="002A2A14" w:rsidRDefault="002A2A14" w:rsidP="000A735E">
      <w:pPr>
        <w:ind w:firstLine="720"/>
        <w:jc w:val="both"/>
      </w:pPr>
    </w:p>
    <w:p w:rsidR="002A2A14" w:rsidRDefault="002A2A14" w:rsidP="0050687C">
      <w:pPr>
        <w:spacing w:line="360" w:lineRule="auto"/>
        <w:ind w:firstLine="720"/>
        <w:jc w:val="both"/>
      </w:pPr>
      <w:r>
        <w:t>The disciplinary committee resolved to proceed in the absence of the three worker’s representatives and in the absence of the appellant together with his representative.</w:t>
      </w:r>
    </w:p>
    <w:p w:rsidR="002A2A14" w:rsidRDefault="002A2A14" w:rsidP="000A735E">
      <w:pPr>
        <w:ind w:firstLine="720"/>
        <w:jc w:val="both"/>
      </w:pPr>
    </w:p>
    <w:p w:rsidR="00954C62" w:rsidRDefault="002A2A14" w:rsidP="0050687C">
      <w:pPr>
        <w:spacing w:line="360" w:lineRule="auto"/>
        <w:ind w:firstLine="720"/>
        <w:jc w:val="both"/>
      </w:pPr>
      <w:r>
        <w:t>The committee heard the case foun</w:t>
      </w:r>
      <w:r w:rsidR="00954C62">
        <w:t>d appellant liable and discharged him from employment.</w:t>
      </w:r>
    </w:p>
    <w:p w:rsidR="00954C62" w:rsidRDefault="00954C62" w:rsidP="000A735E">
      <w:pPr>
        <w:ind w:firstLine="720"/>
        <w:jc w:val="both"/>
      </w:pPr>
    </w:p>
    <w:p w:rsidR="00361E28" w:rsidRDefault="00954C62" w:rsidP="0050687C">
      <w:pPr>
        <w:spacing w:line="360" w:lineRule="auto"/>
        <w:ind w:firstLine="720"/>
        <w:jc w:val="both"/>
      </w:pPr>
      <w:r>
        <w:t xml:space="preserve">The appellant has approached this court on appeal.  Two grounds of </w:t>
      </w:r>
      <w:r w:rsidR="00DC5C07">
        <w:t>appeal</w:t>
      </w:r>
      <w:r>
        <w:t xml:space="preserve"> were raised which raise the following issues.</w:t>
      </w:r>
    </w:p>
    <w:p w:rsidR="00EF3DA3" w:rsidRDefault="00361E28" w:rsidP="00361E28">
      <w:pPr>
        <w:pStyle w:val="ListParagraph"/>
        <w:numPr>
          <w:ilvl w:val="0"/>
          <w:numId w:val="1"/>
        </w:numPr>
        <w:spacing w:line="360" w:lineRule="auto"/>
        <w:jc w:val="both"/>
      </w:pPr>
      <w:r>
        <w:t xml:space="preserve">Whether a referral in terms of section 101 (6) of the Labour Act ousts the </w:t>
      </w:r>
      <w:r w:rsidR="00EF3DA3">
        <w:t>jurisdiction</w:t>
      </w:r>
      <w:r w:rsidR="00DC5C07">
        <w:t xml:space="preserve"> of the employer</w:t>
      </w:r>
      <w:r>
        <w:t xml:space="preserve"> to conduct disciplinary proceedings</w:t>
      </w:r>
      <w:r w:rsidR="00EF3DA3">
        <w:t>.</w:t>
      </w:r>
    </w:p>
    <w:p w:rsidR="00FE33C6" w:rsidRDefault="00EF3DA3" w:rsidP="00361E28">
      <w:pPr>
        <w:pStyle w:val="ListParagraph"/>
        <w:numPr>
          <w:ilvl w:val="0"/>
          <w:numId w:val="1"/>
        </w:numPr>
        <w:spacing w:line="360" w:lineRule="auto"/>
        <w:jc w:val="both"/>
      </w:pPr>
      <w:r>
        <w:lastRenderedPageBreak/>
        <w:t>Whether</w:t>
      </w:r>
      <w:r w:rsidR="00A55B05">
        <w:t xml:space="preserve"> </w:t>
      </w:r>
      <w:r w:rsidR="004C6B12">
        <w:t>the disciplinary committee was properly constituted in terms of the applicable</w:t>
      </w:r>
      <w:r w:rsidR="00324377">
        <w:t xml:space="preserve"> </w:t>
      </w:r>
      <w:r w:rsidR="000C67DF">
        <w:t>Code and the appropriateness of the dismissal penalty.</w:t>
      </w:r>
    </w:p>
    <w:p w:rsidR="00E64DEA" w:rsidRDefault="00E64DEA" w:rsidP="000A735E">
      <w:pPr>
        <w:jc w:val="both"/>
      </w:pPr>
    </w:p>
    <w:p w:rsidR="00E64DEA" w:rsidRDefault="00E64DEA" w:rsidP="00047296">
      <w:pPr>
        <w:spacing w:line="360" w:lineRule="auto"/>
        <w:ind w:firstLine="720"/>
        <w:jc w:val="both"/>
      </w:pPr>
      <w:r>
        <w:t>A point was taken for the respondent that the appeal was improperly before the court in that the appeal was against the appeals’</w:t>
      </w:r>
      <w:r w:rsidR="00773548">
        <w:t xml:space="preserve"> </w:t>
      </w:r>
      <w:r>
        <w:t xml:space="preserve">committee’s decision.  The </w:t>
      </w:r>
      <w:r w:rsidR="00E53A9D">
        <w:t>appeals’ committee</w:t>
      </w:r>
      <w:r>
        <w:t xml:space="preserve"> was </w:t>
      </w:r>
      <w:r w:rsidR="00E53A9D">
        <w:t xml:space="preserve">ZESA Holdings and not Zimbabwe Power Company which is a subsidiary.  Appellant argued that the code only created an appeals committee it does not provide that </w:t>
      </w:r>
      <w:r w:rsidR="00773548">
        <w:t>ZESA Holdings is the appeals committee.</w:t>
      </w:r>
    </w:p>
    <w:p w:rsidR="00047296" w:rsidRDefault="00047296" w:rsidP="004123C1">
      <w:pPr>
        <w:ind w:firstLine="720"/>
        <w:jc w:val="both"/>
      </w:pPr>
    </w:p>
    <w:p w:rsidR="00047296" w:rsidRDefault="002418CB" w:rsidP="00047296">
      <w:pPr>
        <w:spacing w:line="360" w:lineRule="auto"/>
        <w:ind w:firstLine="720"/>
        <w:jc w:val="both"/>
      </w:pPr>
      <w:r>
        <w:t>I am persuaded by the appellant</w:t>
      </w:r>
      <w:r w:rsidR="00041E17">
        <w:t>.  Section 10 of the Code sets out the composition of the appeals committee.  In the absence of a clear provision in the Code that the appeals body shall be ZESA Holdings</w:t>
      </w:r>
      <w:r w:rsidR="00E040FD">
        <w:t>, I</w:t>
      </w:r>
      <w:r w:rsidR="00BE1E8C">
        <w:t xml:space="preserve"> am unable to accept the respondent’s submissions.  The Code is clear who constitutes an appeals body.</w:t>
      </w:r>
    </w:p>
    <w:p w:rsidR="00BE1E8C" w:rsidRDefault="00BE1E8C" w:rsidP="004123C1">
      <w:pPr>
        <w:ind w:firstLine="720"/>
        <w:jc w:val="both"/>
      </w:pPr>
    </w:p>
    <w:p w:rsidR="00BE1E8C" w:rsidRDefault="00BE1E8C" w:rsidP="00047296">
      <w:pPr>
        <w:spacing w:line="360" w:lineRule="auto"/>
        <w:ind w:firstLine="720"/>
        <w:jc w:val="both"/>
      </w:pPr>
      <w:r>
        <w:t xml:space="preserve">In casu the appeals committee was composed of personnel from different subsidiaries of </w:t>
      </w:r>
      <w:r w:rsidR="00D0188A">
        <w:t>ZESA Holdings.  The employer remains the respondent and so are the decisions of the appeals committee.  The point taken for the respondent cannot succeed.</w:t>
      </w:r>
    </w:p>
    <w:p w:rsidR="00CE2163" w:rsidRDefault="00CE2163" w:rsidP="004123C1">
      <w:pPr>
        <w:ind w:firstLine="720"/>
        <w:jc w:val="both"/>
      </w:pPr>
    </w:p>
    <w:p w:rsidR="00CE2163" w:rsidRDefault="00CE2163" w:rsidP="00047296">
      <w:pPr>
        <w:spacing w:line="360" w:lineRule="auto"/>
        <w:ind w:firstLine="720"/>
        <w:jc w:val="both"/>
      </w:pPr>
      <w:r>
        <w:t>I will address the grounds of appeal in turn.</w:t>
      </w:r>
    </w:p>
    <w:p w:rsidR="00CE2163" w:rsidRDefault="00CE2163" w:rsidP="004123C1">
      <w:pPr>
        <w:ind w:firstLine="720"/>
        <w:jc w:val="both"/>
      </w:pPr>
    </w:p>
    <w:p w:rsidR="00CE2163" w:rsidRPr="00E040FD" w:rsidRDefault="00CE2163" w:rsidP="00E040FD">
      <w:pPr>
        <w:spacing w:line="360" w:lineRule="auto"/>
        <w:jc w:val="both"/>
        <w:rPr>
          <w:u w:val="single"/>
        </w:rPr>
      </w:pPr>
      <w:r w:rsidRPr="00E040FD">
        <w:rPr>
          <w:u w:val="single"/>
        </w:rPr>
        <w:t>The employer’s jurisdiction</w:t>
      </w:r>
      <w:r w:rsidR="00E040FD" w:rsidRPr="00E040FD">
        <w:rPr>
          <w:u w:val="single"/>
        </w:rPr>
        <w:t xml:space="preserve"> after a referral to a Labour Officer</w:t>
      </w:r>
    </w:p>
    <w:p w:rsidR="00CE2163" w:rsidRDefault="00CE2163" w:rsidP="004123C1">
      <w:pPr>
        <w:ind w:firstLine="720"/>
        <w:jc w:val="both"/>
      </w:pPr>
    </w:p>
    <w:p w:rsidR="00CE2163" w:rsidRDefault="00CE2163" w:rsidP="00047296">
      <w:pPr>
        <w:spacing w:line="360" w:lineRule="auto"/>
        <w:ind w:firstLine="720"/>
        <w:jc w:val="both"/>
      </w:pPr>
      <w:r>
        <w:t>Section 18 (f) of the applicable code provides</w:t>
      </w:r>
    </w:p>
    <w:p w:rsidR="00B248F5" w:rsidRDefault="00B248F5" w:rsidP="004123C1">
      <w:pPr>
        <w:ind w:firstLine="720"/>
        <w:jc w:val="both"/>
      </w:pPr>
    </w:p>
    <w:p w:rsidR="00B248F5" w:rsidRPr="004123C1" w:rsidRDefault="00B248F5" w:rsidP="004123C1">
      <w:pPr>
        <w:spacing w:line="276" w:lineRule="auto"/>
        <w:ind w:left="720"/>
        <w:jc w:val="both"/>
        <w:rPr>
          <w:sz w:val="22"/>
          <w:szCs w:val="22"/>
        </w:rPr>
      </w:pPr>
      <w:r w:rsidRPr="004123C1">
        <w:rPr>
          <w:sz w:val="22"/>
          <w:szCs w:val="22"/>
        </w:rPr>
        <w:t>“After the expiry of the 30 working days, the matter shall be dealt with in terms of the Act.”</w:t>
      </w:r>
    </w:p>
    <w:p w:rsidR="00B248F5" w:rsidRDefault="00B248F5" w:rsidP="00047296">
      <w:pPr>
        <w:spacing w:line="360" w:lineRule="auto"/>
        <w:ind w:firstLine="720"/>
        <w:jc w:val="both"/>
      </w:pPr>
    </w:p>
    <w:p w:rsidR="00B248F5" w:rsidRDefault="003E2DE0" w:rsidP="00047296">
      <w:pPr>
        <w:spacing w:line="360" w:lineRule="auto"/>
        <w:ind w:firstLine="720"/>
        <w:jc w:val="both"/>
      </w:pPr>
      <w:r>
        <w:t>It was allege</w:t>
      </w:r>
      <w:r w:rsidR="00847B48">
        <w:t>d the matter was referred to a L</w:t>
      </w:r>
      <w:r>
        <w:t>abou</w:t>
      </w:r>
      <w:r w:rsidR="00847B48">
        <w:t>r O</w:t>
      </w:r>
      <w:r>
        <w:t>fficer in terms of that sect</w:t>
      </w:r>
      <w:r w:rsidR="00847B48">
        <w:t>ion</w:t>
      </w:r>
      <w:r>
        <w:t>.  Consequently the referral was in terms of section 101 (6) of the Act which provides</w:t>
      </w:r>
      <w:r w:rsidR="00ED4D03">
        <w:t>;</w:t>
      </w:r>
    </w:p>
    <w:p w:rsidR="00ED4D03" w:rsidRDefault="00ED4D03" w:rsidP="004123C1">
      <w:pPr>
        <w:ind w:firstLine="720"/>
        <w:jc w:val="both"/>
      </w:pPr>
    </w:p>
    <w:p w:rsidR="00ED4D03" w:rsidRPr="004123C1" w:rsidRDefault="00ED4D03" w:rsidP="004123C1">
      <w:pPr>
        <w:spacing w:line="276" w:lineRule="auto"/>
        <w:ind w:left="720"/>
        <w:jc w:val="both"/>
        <w:rPr>
          <w:sz w:val="22"/>
          <w:szCs w:val="22"/>
        </w:rPr>
      </w:pPr>
      <w:r w:rsidRPr="004123C1">
        <w:rPr>
          <w:sz w:val="22"/>
          <w:szCs w:val="22"/>
        </w:rPr>
        <w:t>“If a matter is not determined within thirty days of the date of the notification referred to in paragraph</w:t>
      </w:r>
      <w:r w:rsidR="00DB5467" w:rsidRPr="004123C1">
        <w:rPr>
          <w:sz w:val="22"/>
          <w:szCs w:val="22"/>
        </w:rPr>
        <w:t xml:space="preserve"> 2 of subsection (3), the employee or employer concerned </w:t>
      </w:r>
      <w:r w:rsidR="00DB5467" w:rsidRPr="004123C1">
        <w:rPr>
          <w:sz w:val="22"/>
          <w:szCs w:val="22"/>
        </w:rPr>
        <w:lastRenderedPageBreak/>
        <w:t>may refer such matter to a labour officer, who may then determine or otherwise dispose of the matter in accordance with section ninety-three.”</w:t>
      </w:r>
    </w:p>
    <w:p w:rsidR="00EB01A0" w:rsidRDefault="00EB01A0" w:rsidP="004123C1">
      <w:pPr>
        <w:ind w:firstLine="720"/>
        <w:jc w:val="both"/>
      </w:pPr>
    </w:p>
    <w:p w:rsidR="00EB01A0" w:rsidRDefault="00D96D04" w:rsidP="00047296">
      <w:pPr>
        <w:spacing w:line="360" w:lineRule="auto"/>
        <w:ind w:firstLine="720"/>
        <w:jc w:val="both"/>
      </w:pPr>
      <w:r>
        <w:t xml:space="preserve">In </w:t>
      </w:r>
      <w:r w:rsidRPr="004123C1">
        <w:rPr>
          <w:i/>
        </w:rPr>
        <w:t>Watyoka</w:t>
      </w:r>
      <w:r>
        <w:t xml:space="preserve"> v </w:t>
      </w:r>
      <w:r w:rsidRPr="004123C1">
        <w:rPr>
          <w:i/>
        </w:rPr>
        <w:t>ZUPCO</w:t>
      </w:r>
      <w:r>
        <w:t xml:space="preserve"> SC 87/05 the court discussed the import of section 101 (6) of the Act.  The section should be read as permissive rather than restrictive.  The rationale of the legislature is </w:t>
      </w:r>
      <w:r w:rsidR="00847B48">
        <w:t>to ensure</w:t>
      </w:r>
      <w:r>
        <w:t xml:space="preserve"> that neither</w:t>
      </w:r>
      <w:r w:rsidR="00017B52">
        <w:t xml:space="preserve"> party can benefit from frustrating the proceedings beyond the thirty days.  So it is optional for </w:t>
      </w:r>
      <w:r w:rsidR="005A003A">
        <w:t xml:space="preserve">the aggrieved party to refer a matter.  The section itself does not specifically oust the jurisdiction of the employer.  </w:t>
      </w:r>
      <w:r w:rsidR="00210154">
        <w:t xml:space="preserve">  The employer is at liberty to discipline its employee as confirmed by the Supreme Court in the case of </w:t>
      </w:r>
      <w:r w:rsidR="00210154" w:rsidRPr="004123C1">
        <w:rPr>
          <w:i/>
        </w:rPr>
        <w:t>Tirivangana</w:t>
      </w:r>
      <w:r w:rsidR="00210154">
        <w:t xml:space="preserve"> v </w:t>
      </w:r>
      <w:r w:rsidR="00210154" w:rsidRPr="004123C1">
        <w:rPr>
          <w:i/>
        </w:rPr>
        <w:t>University of Zimbabwe</w:t>
      </w:r>
      <w:r w:rsidR="00210154">
        <w:t xml:space="preserve"> SC 21/13.</w:t>
      </w:r>
    </w:p>
    <w:p w:rsidR="007B1D46" w:rsidRDefault="007B1D46" w:rsidP="00D25558">
      <w:pPr>
        <w:ind w:firstLine="720"/>
        <w:jc w:val="both"/>
      </w:pPr>
    </w:p>
    <w:p w:rsidR="007B1D46" w:rsidRDefault="007B1D46" w:rsidP="00047296">
      <w:pPr>
        <w:spacing w:line="360" w:lineRule="auto"/>
        <w:ind w:firstLine="720"/>
        <w:jc w:val="both"/>
      </w:pPr>
      <w:r>
        <w:t>In my view in casu the purported referral to a labour officer did not oust the respondent’s jurisdiction to deal with the matter for two reasons.  Firstly the</w:t>
      </w:r>
      <w:r w:rsidR="00D55E44">
        <w:t xml:space="preserve">re was no proof </w:t>
      </w:r>
      <w:r w:rsidR="00624C7F">
        <w:t>that a referral was made.  The C</w:t>
      </w:r>
      <w:r w:rsidR="00D55E44">
        <w:t xml:space="preserve">hairman was only advised by the </w:t>
      </w:r>
      <w:r w:rsidR="00524B1E">
        <w:t>workers’ representatives</w:t>
      </w:r>
      <w:r w:rsidR="00D55E44">
        <w:t xml:space="preserve"> of the disciplinary committee</w:t>
      </w:r>
      <w:r w:rsidR="00524B1E">
        <w:t xml:space="preserve"> that the case had been referred to a labour officer.  Secondly the postponements were by consent of</w:t>
      </w:r>
      <w:r w:rsidR="00B64481">
        <w:t xml:space="preserve"> both parties being occasioned by objections raised by the appellant.</w:t>
      </w:r>
    </w:p>
    <w:p w:rsidR="00624C7F" w:rsidRDefault="00624C7F" w:rsidP="00624C7F">
      <w:pPr>
        <w:ind w:firstLine="720"/>
        <w:jc w:val="both"/>
      </w:pPr>
    </w:p>
    <w:p w:rsidR="00624C7F" w:rsidRDefault="00624C7F" w:rsidP="00047296">
      <w:pPr>
        <w:spacing w:line="360" w:lineRule="auto"/>
        <w:ind w:firstLine="720"/>
        <w:jc w:val="both"/>
      </w:pPr>
      <w:r>
        <w:t>To that extent the respondent had jurisdiction to proceed with the disciplinary hearing.</w:t>
      </w:r>
    </w:p>
    <w:p w:rsidR="00D115CB" w:rsidRDefault="00D115CB" w:rsidP="00D25558">
      <w:pPr>
        <w:ind w:firstLine="720"/>
        <w:jc w:val="both"/>
      </w:pPr>
    </w:p>
    <w:p w:rsidR="00D115CB" w:rsidRPr="000177A4" w:rsidRDefault="00D115CB" w:rsidP="000177A4">
      <w:pPr>
        <w:spacing w:line="360" w:lineRule="auto"/>
        <w:jc w:val="both"/>
        <w:rPr>
          <w:u w:val="single"/>
        </w:rPr>
      </w:pPr>
      <w:r w:rsidRPr="000177A4">
        <w:rPr>
          <w:u w:val="single"/>
        </w:rPr>
        <w:t>Composition of the disciplinary committee</w:t>
      </w:r>
    </w:p>
    <w:p w:rsidR="00D115CB" w:rsidRDefault="00D115CB" w:rsidP="00D25558">
      <w:pPr>
        <w:ind w:firstLine="720"/>
        <w:jc w:val="both"/>
      </w:pPr>
    </w:p>
    <w:p w:rsidR="00D115CB" w:rsidRDefault="00D115CB" w:rsidP="00047296">
      <w:pPr>
        <w:spacing w:line="360" w:lineRule="auto"/>
        <w:ind w:firstLine="720"/>
        <w:jc w:val="both"/>
      </w:pPr>
      <w:r>
        <w:t xml:space="preserve">It was submitted for the appellant that the disciplinary committee was not properly constituted in terms </w:t>
      </w:r>
      <w:r w:rsidR="00265281">
        <w:t xml:space="preserve">of Section 9 of the Code.  A disciplinary committee should be composed of three worker </w:t>
      </w:r>
      <w:r w:rsidR="00493BA8">
        <w:t xml:space="preserve">representatives, </w:t>
      </w:r>
      <w:r w:rsidR="00561310">
        <w:t xml:space="preserve">three management representatives, </w:t>
      </w:r>
      <w:r w:rsidR="00493BA8">
        <w:t xml:space="preserve">a secretary </w:t>
      </w:r>
      <w:r w:rsidR="00257936">
        <w:t>and a chairperson.</w:t>
      </w:r>
    </w:p>
    <w:p w:rsidR="00257936" w:rsidRDefault="00257936" w:rsidP="00047296">
      <w:pPr>
        <w:spacing w:line="360" w:lineRule="auto"/>
        <w:ind w:firstLine="720"/>
        <w:jc w:val="both"/>
      </w:pPr>
    </w:p>
    <w:p w:rsidR="00257936" w:rsidRDefault="00257936" w:rsidP="00047296">
      <w:pPr>
        <w:spacing w:line="360" w:lineRule="auto"/>
        <w:ind w:firstLine="720"/>
        <w:jc w:val="both"/>
      </w:pPr>
      <w:r>
        <w:t>It is not in dispute that in casu the three worker’s representatives were not in attendance.  Technically the disciplinary committee was not properly constituted on that</w:t>
      </w:r>
      <w:r w:rsidR="00995B8A">
        <w:t xml:space="preserve"> day.</w:t>
      </w:r>
    </w:p>
    <w:p w:rsidR="00995B8A" w:rsidRDefault="00995B8A" w:rsidP="00603157">
      <w:pPr>
        <w:ind w:firstLine="720"/>
        <w:jc w:val="both"/>
      </w:pPr>
    </w:p>
    <w:p w:rsidR="00995B8A" w:rsidRDefault="00995B8A" w:rsidP="00047296">
      <w:pPr>
        <w:spacing w:line="360" w:lineRule="auto"/>
        <w:ind w:firstLine="720"/>
        <w:jc w:val="both"/>
      </w:pPr>
      <w:r>
        <w:t xml:space="preserve">The court cannot take </w:t>
      </w:r>
      <w:r w:rsidR="001762DA">
        <w:t>an armchair approach and penalize an employer where it has complied with the code.</w:t>
      </w:r>
    </w:p>
    <w:p w:rsidR="001762DA" w:rsidRDefault="001762DA" w:rsidP="00603157">
      <w:pPr>
        <w:ind w:firstLine="720"/>
        <w:jc w:val="both"/>
      </w:pPr>
    </w:p>
    <w:p w:rsidR="001762DA" w:rsidRDefault="001762DA" w:rsidP="00047296">
      <w:pPr>
        <w:spacing w:line="360" w:lineRule="auto"/>
        <w:ind w:firstLine="720"/>
        <w:jc w:val="both"/>
      </w:pPr>
      <w:r>
        <w:lastRenderedPageBreak/>
        <w:t xml:space="preserve">The respondent duly constituted a disciplinary committee, which I must say was to the appellant’s </w:t>
      </w:r>
      <w:r w:rsidR="00D5660E">
        <w:t>preference</w:t>
      </w:r>
      <w:r>
        <w:t xml:space="preserve"> considering t</w:t>
      </w:r>
      <w:r w:rsidR="00D5660E">
        <w:t>h</w:t>
      </w:r>
      <w:r>
        <w:t xml:space="preserve">at </w:t>
      </w:r>
      <w:r w:rsidR="00D5660E">
        <w:t>most of the postponements were made due to objections on the composition of the committee.  The employer in this case danced too much to the</w:t>
      </w:r>
      <w:r w:rsidR="004824C9">
        <w:t xml:space="preserve"> appellant’s tune.</w:t>
      </w:r>
    </w:p>
    <w:p w:rsidR="004824C9" w:rsidRDefault="004824C9" w:rsidP="00603157">
      <w:pPr>
        <w:ind w:firstLine="720"/>
        <w:jc w:val="both"/>
      </w:pPr>
    </w:p>
    <w:p w:rsidR="004824C9" w:rsidRDefault="004824C9" w:rsidP="00047296">
      <w:pPr>
        <w:spacing w:line="360" w:lineRule="auto"/>
        <w:ind w:firstLine="720"/>
        <w:jc w:val="both"/>
      </w:pPr>
      <w:r>
        <w:t>The worker’s representatives forgot that they were not defence lawyers but were part of the decision making body.  They were mandated</w:t>
      </w:r>
      <w:r w:rsidR="00D874BE">
        <w:t xml:space="preserve"> as per order of the employer to attend the hearing and contribute to the decision.  They abrogated their duty.  This was a disservice first to the </w:t>
      </w:r>
      <w:r w:rsidR="0053257C">
        <w:t>employer and secondly to the appellant.</w:t>
      </w:r>
    </w:p>
    <w:p w:rsidR="00FC4AC7" w:rsidRDefault="00FC4AC7" w:rsidP="00603157">
      <w:pPr>
        <w:ind w:firstLine="720"/>
        <w:jc w:val="both"/>
      </w:pPr>
    </w:p>
    <w:p w:rsidR="00FC4AC7" w:rsidRDefault="005F5C62" w:rsidP="00047296">
      <w:pPr>
        <w:spacing w:line="360" w:lineRule="auto"/>
        <w:ind w:firstLine="720"/>
        <w:jc w:val="both"/>
      </w:pPr>
      <w:r>
        <w:t>The employer should not be held at ransom.</w:t>
      </w:r>
    </w:p>
    <w:p w:rsidR="005F5C62" w:rsidRDefault="005F5C62" w:rsidP="00603157">
      <w:pPr>
        <w:ind w:firstLine="720"/>
        <w:jc w:val="both"/>
      </w:pPr>
    </w:p>
    <w:p w:rsidR="00C06764" w:rsidRDefault="005F5C62" w:rsidP="00047296">
      <w:pPr>
        <w:spacing w:line="360" w:lineRule="auto"/>
        <w:ind w:firstLine="720"/>
        <w:jc w:val="both"/>
      </w:pPr>
      <w:r>
        <w:t xml:space="preserve">In </w:t>
      </w:r>
      <w:r w:rsidRPr="00603157">
        <w:rPr>
          <w:i/>
        </w:rPr>
        <w:t xml:space="preserve">Ramani </w:t>
      </w:r>
      <w:r>
        <w:t xml:space="preserve">v </w:t>
      </w:r>
      <w:r w:rsidRPr="00603157">
        <w:rPr>
          <w:i/>
        </w:rPr>
        <w:t>NSSA</w:t>
      </w:r>
      <w:r>
        <w:t xml:space="preserve"> SC 38/03 a case on all fours with the one in casu the </w:t>
      </w:r>
      <w:r w:rsidR="00603157">
        <w:t>Learned J</w:t>
      </w:r>
      <w:r w:rsidR="009B63C8">
        <w:t xml:space="preserve">udge of appeal Ziyambi JA had this to say on such conduct by </w:t>
      </w:r>
      <w:r w:rsidR="00B34A89">
        <w:t>workers’ representatives</w:t>
      </w:r>
      <w:r w:rsidR="009B63C8">
        <w:t xml:space="preserve">.  In that case the </w:t>
      </w:r>
      <w:r w:rsidR="00B34A89">
        <w:t>workers’ committee</w:t>
      </w:r>
      <w:r w:rsidR="009B63C8">
        <w:t xml:space="preserve"> representatives walked out of a disciplinary hearing in </w:t>
      </w:r>
      <w:r w:rsidR="00B34A89">
        <w:t>protest</w:t>
      </w:r>
      <w:r w:rsidR="00C06764">
        <w:t>.  The judge had this say,</w:t>
      </w:r>
    </w:p>
    <w:p w:rsidR="00C06764" w:rsidRDefault="00C06764" w:rsidP="001A7B9E">
      <w:pPr>
        <w:ind w:firstLine="720"/>
        <w:jc w:val="both"/>
      </w:pPr>
    </w:p>
    <w:p w:rsidR="00A171C8" w:rsidRPr="001A7B9E" w:rsidRDefault="00254316" w:rsidP="001A7B9E">
      <w:pPr>
        <w:spacing w:line="276" w:lineRule="auto"/>
        <w:ind w:left="720"/>
        <w:jc w:val="both"/>
        <w:rPr>
          <w:sz w:val="22"/>
          <w:szCs w:val="22"/>
        </w:rPr>
      </w:pPr>
      <w:r w:rsidRPr="001A7B9E">
        <w:rPr>
          <w:sz w:val="22"/>
          <w:szCs w:val="22"/>
        </w:rPr>
        <w:t xml:space="preserve">“They ought not to have done so.  Their presence on the disciplinary committee was to ensure that the interests of the accused employee are fairly represented and safe guarded </w:t>
      </w:r>
      <w:r w:rsidR="00E77DA5" w:rsidRPr="001A7B9E">
        <w:rPr>
          <w:sz w:val="22"/>
          <w:szCs w:val="22"/>
        </w:rPr>
        <w:t>….  They have no power to veto or boycott proceedings of the committee.  If they had any objections these</w:t>
      </w:r>
      <w:r w:rsidR="00D45EEE" w:rsidRPr="001A7B9E">
        <w:rPr>
          <w:sz w:val="22"/>
          <w:szCs w:val="22"/>
        </w:rPr>
        <w:t xml:space="preserve"> were to be made at the hearing and recorded the walk out by the worker’s representatives was calculated to frustrate the disciplinary proceedings.  They have </w:t>
      </w:r>
      <w:r w:rsidR="00E15BC2" w:rsidRPr="001A7B9E">
        <w:rPr>
          <w:sz w:val="22"/>
          <w:szCs w:val="22"/>
        </w:rPr>
        <w:t xml:space="preserve">no power to do so.  In view of the silence in the Code on the procedure to be adopted in such an eventuality the remaining members continued with the hearing and </w:t>
      </w:r>
      <w:r w:rsidR="00A171C8" w:rsidRPr="001A7B9E">
        <w:rPr>
          <w:sz w:val="22"/>
          <w:szCs w:val="22"/>
        </w:rPr>
        <w:t>reached a conclusion.</w:t>
      </w:r>
    </w:p>
    <w:p w:rsidR="00A171C8" w:rsidRPr="001A7B9E" w:rsidRDefault="00A171C8" w:rsidP="001A7B9E">
      <w:pPr>
        <w:spacing w:line="276" w:lineRule="auto"/>
        <w:ind w:firstLine="720"/>
        <w:jc w:val="both"/>
        <w:rPr>
          <w:sz w:val="22"/>
          <w:szCs w:val="22"/>
        </w:rPr>
      </w:pPr>
    </w:p>
    <w:p w:rsidR="00964BD3" w:rsidRPr="001A7B9E" w:rsidRDefault="00A171C8" w:rsidP="001A7B9E">
      <w:pPr>
        <w:spacing w:line="276" w:lineRule="auto"/>
        <w:ind w:left="720"/>
        <w:jc w:val="both"/>
        <w:rPr>
          <w:sz w:val="22"/>
          <w:szCs w:val="22"/>
        </w:rPr>
      </w:pPr>
      <w:r w:rsidRPr="001A7B9E">
        <w:rPr>
          <w:sz w:val="22"/>
          <w:szCs w:val="22"/>
        </w:rPr>
        <w:t xml:space="preserve">The proceedings cannot in the circumstances be said to be </w:t>
      </w:r>
      <w:r w:rsidR="00AC49F7">
        <w:rPr>
          <w:sz w:val="22"/>
          <w:szCs w:val="22"/>
        </w:rPr>
        <w:t>a</w:t>
      </w:r>
      <w:r w:rsidRPr="001A7B9E">
        <w:rPr>
          <w:sz w:val="22"/>
          <w:szCs w:val="22"/>
        </w:rPr>
        <w:t xml:space="preserve"> nullity.  This is not a case where the respondent acted in total disregard of the provisions of the Code of Conduct</w:t>
      </w:r>
      <w:r w:rsidR="009374E2" w:rsidRPr="001A7B9E">
        <w:rPr>
          <w:sz w:val="22"/>
          <w:szCs w:val="22"/>
        </w:rPr>
        <w:t xml:space="preserve"> as was the case in </w:t>
      </w:r>
      <w:proofErr w:type="spellStart"/>
      <w:r w:rsidR="009374E2" w:rsidRPr="001A7B9E">
        <w:rPr>
          <w:i/>
          <w:sz w:val="22"/>
          <w:szCs w:val="22"/>
        </w:rPr>
        <w:t>Mugwe</w:t>
      </w:r>
      <w:r w:rsidR="00AC49F7">
        <w:rPr>
          <w:i/>
          <w:sz w:val="22"/>
          <w:szCs w:val="22"/>
        </w:rPr>
        <w:t>b</w:t>
      </w:r>
      <w:r w:rsidR="00D24AF8">
        <w:rPr>
          <w:i/>
          <w:sz w:val="22"/>
          <w:szCs w:val="22"/>
        </w:rPr>
        <w:t>i</w:t>
      </w:r>
      <w:r w:rsidR="009D73D4" w:rsidRPr="001A7B9E">
        <w:rPr>
          <w:i/>
          <w:sz w:val="22"/>
          <w:szCs w:val="22"/>
        </w:rPr>
        <w:t>e</w:t>
      </w:r>
      <w:proofErr w:type="spellEnd"/>
      <w:r w:rsidR="009D73D4" w:rsidRPr="001A7B9E">
        <w:rPr>
          <w:sz w:val="22"/>
          <w:szCs w:val="22"/>
        </w:rPr>
        <w:t xml:space="preserve"> v </w:t>
      </w:r>
      <w:r w:rsidR="009D73D4" w:rsidRPr="001A7B9E">
        <w:rPr>
          <w:i/>
          <w:sz w:val="22"/>
          <w:szCs w:val="22"/>
        </w:rPr>
        <w:t>Seed Co Ltd and Another</w:t>
      </w:r>
      <w:r w:rsidR="009D73D4" w:rsidRPr="001A7B9E">
        <w:rPr>
          <w:sz w:val="22"/>
          <w:szCs w:val="22"/>
        </w:rPr>
        <w:t xml:space="preserve"> 2000 (1) </w:t>
      </w:r>
      <w:r w:rsidR="001A7B9E" w:rsidRPr="001A7B9E">
        <w:rPr>
          <w:sz w:val="22"/>
          <w:szCs w:val="22"/>
        </w:rPr>
        <w:t xml:space="preserve">ZLR </w:t>
      </w:r>
      <w:r w:rsidR="009D73D4" w:rsidRPr="001A7B9E">
        <w:rPr>
          <w:sz w:val="22"/>
          <w:szCs w:val="22"/>
        </w:rPr>
        <w:t>93 (5).  Rather in this case, the respondent did all</w:t>
      </w:r>
      <w:r w:rsidR="00964BD3" w:rsidRPr="001A7B9E">
        <w:rPr>
          <w:sz w:val="22"/>
          <w:szCs w:val="22"/>
        </w:rPr>
        <w:t xml:space="preserve"> that was necessary on its part to comply with the requirements of the Code.”</w:t>
      </w:r>
    </w:p>
    <w:p w:rsidR="00964BD3" w:rsidRDefault="00964BD3" w:rsidP="001A7B9E">
      <w:pPr>
        <w:ind w:firstLine="720"/>
        <w:jc w:val="both"/>
      </w:pPr>
    </w:p>
    <w:p w:rsidR="001B527F" w:rsidRDefault="00964BD3" w:rsidP="00047296">
      <w:pPr>
        <w:spacing w:line="360" w:lineRule="auto"/>
        <w:ind w:firstLine="720"/>
        <w:jc w:val="both"/>
      </w:pPr>
      <w:r>
        <w:t xml:space="preserve">The position is clear and applies with equal force </w:t>
      </w:r>
      <w:r w:rsidR="00D24AF8">
        <w:t>to this case.</w:t>
      </w:r>
      <w:r w:rsidR="00663DAB">
        <w:t xml:space="preserve">  Just like in the </w:t>
      </w:r>
      <w:r w:rsidR="00663DAB" w:rsidRPr="001A7B9E">
        <w:rPr>
          <w:i/>
        </w:rPr>
        <w:t>Ramani</w:t>
      </w:r>
      <w:r w:rsidR="00663DAB">
        <w:t xml:space="preserve"> case the Code in this case does </w:t>
      </w:r>
      <w:r w:rsidR="001A7B9E">
        <w:t>not</w:t>
      </w:r>
      <w:r w:rsidR="00663DAB">
        <w:t xml:space="preserve"> provide for the procedure to be followed in the event of such unfortunat</w:t>
      </w:r>
      <w:r w:rsidR="001B527F">
        <w:t>e developments.</w:t>
      </w:r>
    </w:p>
    <w:p w:rsidR="001B527F" w:rsidRDefault="001B527F" w:rsidP="00CE5DDA">
      <w:pPr>
        <w:ind w:firstLine="720"/>
        <w:jc w:val="both"/>
      </w:pPr>
    </w:p>
    <w:p w:rsidR="001B527F" w:rsidRDefault="001B527F" w:rsidP="00047296">
      <w:pPr>
        <w:spacing w:line="360" w:lineRule="auto"/>
        <w:ind w:firstLine="720"/>
        <w:jc w:val="both"/>
      </w:pPr>
      <w:r>
        <w:t xml:space="preserve">The </w:t>
      </w:r>
      <w:r w:rsidR="0019542C">
        <w:t>disciplinary</w:t>
      </w:r>
      <w:r>
        <w:t xml:space="preserve"> committee’s decision therefore was valid.</w:t>
      </w:r>
    </w:p>
    <w:p w:rsidR="001B527F" w:rsidRDefault="001B527F" w:rsidP="00CE5DDA">
      <w:pPr>
        <w:ind w:firstLine="720"/>
        <w:jc w:val="both"/>
      </w:pPr>
    </w:p>
    <w:p w:rsidR="001B527F" w:rsidRDefault="001B527F" w:rsidP="00047296">
      <w:pPr>
        <w:spacing w:line="360" w:lineRule="auto"/>
        <w:ind w:firstLine="720"/>
        <w:jc w:val="both"/>
      </w:pPr>
      <w:r>
        <w:lastRenderedPageBreak/>
        <w:t>In any event there was no dispute that the appellant and his representative were advised to attend the hearing</w:t>
      </w:r>
      <w:r w:rsidR="00293588">
        <w:t>.  The two chose not to attend.  It is now settled that in such circumstances the employee is taken to have waived his right to be heard</w:t>
      </w:r>
      <w:r w:rsidR="00894D29">
        <w:t xml:space="preserve"> and his right to challenge the conduct of the disciplinary proceedings see </w:t>
      </w:r>
      <w:r w:rsidR="00894D29" w:rsidRPr="00CE5DDA">
        <w:rPr>
          <w:i/>
        </w:rPr>
        <w:t>David Moyo</w:t>
      </w:r>
      <w:r w:rsidR="00894D29">
        <w:t xml:space="preserve"> v </w:t>
      </w:r>
      <w:r w:rsidR="00894D29" w:rsidRPr="00CE5DDA">
        <w:rPr>
          <w:i/>
        </w:rPr>
        <w:t>Rural Electrification Agency</w:t>
      </w:r>
      <w:r w:rsidR="00894D29">
        <w:t xml:space="preserve"> SC 4/14</w:t>
      </w:r>
      <w:r w:rsidR="00D10B0A">
        <w:t>.</w:t>
      </w:r>
    </w:p>
    <w:p w:rsidR="00D10B0A" w:rsidRDefault="00D10B0A" w:rsidP="00047296">
      <w:pPr>
        <w:spacing w:line="360" w:lineRule="auto"/>
        <w:ind w:firstLine="720"/>
        <w:jc w:val="both"/>
      </w:pPr>
    </w:p>
    <w:p w:rsidR="00D10B0A" w:rsidRDefault="00D10B0A" w:rsidP="00047296">
      <w:pPr>
        <w:spacing w:line="360" w:lineRule="auto"/>
        <w:ind w:firstLine="720"/>
        <w:jc w:val="both"/>
      </w:pPr>
      <w:r>
        <w:t>The appellant also raised issue that the penalty of dismissal was too harsh in the circumstances.  This proposition was not substantiated in view of the penalties provided for in the Code.</w:t>
      </w:r>
    </w:p>
    <w:p w:rsidR="0019542C" w:rsidRDefault="0019542C" w:rsidP="00CE5DDA">
      <w:pPr>
        <w:ind w:firstLine="720"/>
        <w:jc w:val="both"/>
      </w:pPr>
    </w:p>
    <w:p w:rsidR="0019542C" w:rsidRDefault="0019542C" w:rsidP="00047296">
      <w:pPr>
        <w:spacing w:line="360" w:lineRule="auto"/>
        <w:ind w:firstLine="720"/>
        <w:jc w:val="both"/>
      </w:pPr>
      <w:r>
        <w:t xml:space="preserve">Both </w:t>
      </w:r>
      <w:r w:rsidR="00E22A63">
        <w:t xml:space="preserve">offences that appellant was convicted on attract a dismissal on first breach.  It </w:t>
      </w:r>
      <w:r w:rsidR="003046D1">
        <w:t>is difficult to appreciate what appellant implied by claiming the appeals committee erred in confirming the penalty of dismissal.</w:t>
      </w:r>
    </w:p>
    <w:p w:rsidR="003046D1" w:rsidRDefault="003046D1" w:rsidP="00CE5DDA">
      <w:pPr>
        <w:ind w:firstLine="720"/>
        <w:jc w:val="both"/>
      </w:pPr>
    </w:p>
    <w:p w:rsidR="00674148" w:rsidRDefault="00674148" w:rsidP="00674148">
      <w:pPr>
        <w:spacing w:line="360" w:lineRule="auto"/>
        <w:ind w:firstLine="720"/>
        <w:jc w:val="both"/>
      </w:pPr>
      <w:r>
        <w:t>Clearly</w:t>
      </w:r>
      <w:r w:rsidR="003046D1">
        <w:t xml:space="preserve"> the second ground of appeal has no merit and should be dismissed</w:t>
      </w:r>
      <w:r>
        <w:t>.</w:t>
      </w:r>
    </w:p>
    <w:p w:rsidR="00674148" w:rsidRDefault="00674148" w:rsidP="00674148">
      <w:pPr>
        <w:spacing w:line="360" w:lineRule="auto"/>
        <w:jc w:val="both"/>
      </w:pPr>
    </w:p>
    <w:p w:rsidR="00674148" w:rsidRDefault="00674148" w:rsidP="00674148">
      <w:pPr>
        <w:spacing w:line="360" w:lineRule="auto"/>
        <w:jc w:val="both"/>
      </w:pPr>
      <w:r>
        <w:t>Accrodingly the appeal be and is hereby dismissed.</w:t>
      </w:r>
    </w:p>
    <w:p w:rsidR="005F5C62" w:rsidRPr="00BE1E8C" w:rsidRDefault="00B34A89" w:rsidP="00047296">
      <w:pPr>
        <w:spacing w:line="360" w:lineRule="auto"/>
        <w:ind w:firstLine="720"/>
        <w:jc w:val="both"/>
      </w:pPr>
      <w:r>
        <w:t xml:space="preserve"> </w:t>
      </w:r>
    </w:p>
    <w:sectPr w:rsidR="005F5C62" w:rsidRPr="00BE1E8C" w:rsidSect="0027233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9E" w:rsidRDefault="00E1189E" w:rsidP="0027233A">
      <w:r>
        <w:separator/>
      </w:r>
    </w:p>
  </w:endnote>
  <w:endnote w:type="continuationSeparator" w:id="0">
    <w:p w:rsidR="00E1189E" w:rsidRDefault="00E1189E" w:rsidP="0027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186173"/>
      <w:docPartObj>
        <w:docPartGallery w:val="Page Numbers (Bottom of Page)"/>
        <w:docPartUnique/>
      </w:docPartObj>
    </w:sdtPr>
    <w:sdtEndPr>
      <w:rPr>
        <w:noProof/>
      </w:rPr>
    </w:sdtEndPr>
    <w:sdtContent>
      <w:p w:rsidR="00894D29" w:rsidRDefault="00894D29">
        <w:pPr>
          <w:pStyle w:val="Footer"/>
          <w:jc w:val="center"/>
        </w:pPr>
        <w:r>
          <w:fldChar w:fldCharType="begin"/>
        </w:r>
        <w:r>
          <w:instrText xml:space="preserve"> PAGE   \* MERGEFORMAT </w:instrText>
        </w:r>
        <w:r>
          <w:fldChar w:fldCharType="separate"/>
        </w:r>
        <w:r w:rsidR="00084AC4">
          <w:rPr>
            <w:noProof/>
          </w:rPr>
          <w:t>6</w:t>
        </w:r>
        <w:r>
          <w:rPr>
            <w:noProof/>
          </w:rPr>
          <w:fldChar w:fldCharType="end"/>
        </w:r>
      </w:p>
    </w:sdtContent>
  </w:sdt>
  <w:p w:rsidR="00894D29" w:rsidRDefault="00894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9E" w:rsidRDefault="00E1189E" w:rsidP="0027233A">
      <w:r>
        <w:separator/>
      </w:r>
    </w:p>
  </w:footnote>
  <w:footnote w:type="continuationSeparator" w:id="0">
    <w:p w:rsidR="00E1189E" w:rsidRDefault="00E1189E" w:rsidP="0027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D29" w:rsidRPr="0027233A" w:rsidRDefault="00894D29">
    <w:pPr>
      <w:pStyle w:val="Header"/>
      <w:rPr>
        <w:lang w:val="en-ZW"/>
      </w:rPr>
    </w:pPr>
    <w:r>
      <w:rPr>
        <w:lang w:val="en-ZW"/>
      </w:rPr>
      <w:tab/>
    </w:r>
    <w:r>
      <w:rPr>
        <w:lang w:val="en-ZW"/>
      </w:rPr>
      <w:tab/>
      <w:t>JUDGMENT NO. LC/H/</w:t>
    </w:r>
    <w:r w:rsidR="00C1484B">
      <w:rPr>
        <w:lang w:val="en-ZW"/>
      </w:rPr>
      <w:t>276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B3475"/>
    <w:multiLevelType w:val="hybridMultilevel"/>
    <w:tmpl w:val="B56A5C02"/>
    <w:lvl w:ilvl="0" w:tplc="FFB0AC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77"/>
    <w:rsid w:val="000177A4"/>
    <w:rsid w:val="00017B52"/>
    <w:rsid w:val="00041E17"/>
    <w:rsid w:val="00047296"/>
    <w:rsid w:val="000536AC"/>
    <w:rsid w:val="000673BC"/>
    <w:rsid w:val="00084AC4"/>
    <w:rsid w:val="00090F0A"/>
    <w:rsid w:val="000A735E"/>
    <w:rsid w:val="000C67DF"/>
    <w:rsid w:val="000E249B"/>
    <w:rsid w:val="001762DA"/>
    <w:rsid w:val="0019542C"/>
    <w:rsid w:val="001A7B9E"/>
    <w:rsid w:val="001B527F"/>
    <w:rsid w:val="00210154"/>
    <w:rsid w:val="002418CB"/>
    <w:rsid w:val="00254316"/>
    <w:rsid w:val="00254461"/>
    <w:rsid w:val="00257936"/>
    <w:rsid w:val="00265281"/>
    <w:rsid w:val="0027233A"/>
    <w:rsid w:val="00293588"/>
    <w:rsid w:val="002A2A14"/>
    <w:rsid w:val="00300541"/>
    <w:rsid w:val="003046D1"/>
    <w:rsid w:val="00324377"/>
    <w:rsid w:val="00361E28"/>
    <w:rsid w:val="003E2DE0"/>
    <w:rsid w:val="004123C1"/>
    <w:rsid w:val="004824C9"/>
    <w:rsid w:val="00493BA8"/>
    <w:rsid w:val="004C6B12"/>
    <w:rsid w:val="0050687C"/>
    <w:rsid w:val="00524B1E"/>
    <w:rsid w:val="0053257C"/>
    <w:rsid w:val="00534DC1"/>
    <w:rsid w:val="005477A8"/>
    <w:rsid w:val="00561310"/>
    <w:rsid w:val="00571E99"/>
    <w:rsid w:val="005A003A"/>
    <w:rsid w:val="005A72BE"/>
    <w:rsid w:val="005F365E"/>
    <w:rsid w:val="005F5C62"/>
    <w:rsid w:val="00603157"/>
    <w:rsid w:val="00624C7F"/>
    <w:rsid w:val="00663DAB"/>
    <w:rsid w:val="00674148"/>
    <w:rsid w:val="006B1C61"/>
    <w:rsid w:val="006B7428"/>
    <w:rsid w:val="0072160C"/>
    <w:rsid w:val="00773548"/>
    <w:rsid w:val="007B1D46"/>
    <w:rsid w:val="0080622A"/>
    <w:rsid w:val="00847B48"/>
    <w:rsid w:val="00872866"/>
    <w:rsid w:val="00894D29"/>
    <w:rsid w:val="008F5AAA"/>
    <w:rsid w:val="00902F28"/>
    <w:rsid w:val="009360BB"/>
    <w:rsid w:val="009374E2"/>
    <w:rsid w:val="00954C62"/>
    <w:rsid w:val="00964BD3"/>
    <w:rsid w:val="00981DA0"/>
    <w:rsid w:val="00995B8A"/>
    <w:rsid w:val="009B63C8"/>
    <w:rsid w:val="009D73D4"/>
    <w:rsid w:val="009F4AA2"/>
    <w:rsid w:val="00A0055F"/>
    <w:rsid w:val="00A171C8"/>
    <w:rsid w:val="00A55B05"/>
    <w:rsid w:val="00A7130E"/>
    <w:rsid w:val="00AB0777"/>
    <w:rsid w:val="00AC49F7"/>
    <w:rsid w:val="00AE3EA6"/>
    <w:rsid w:val="00AE7FDE"/>
    <w:rsid w:val="00B248F5"/>
    <w:rsid w:val="00B34A89"/>
    <w:rsid w:val="00B53BD4"/>
    <w:rsid w:val="00B64481"/>
    <w:rsid w:val="00B65E63"/>
    <w:rsid w:val="00BE1E8C"/>
    <w:rsid w:val="00C06764"/>
    <w:rsid w:val="00C1484B"/>
    <w:rsid w:val="00C74AAF"/>
    <w:rsid w:val="00CE2163"/>
    <w:rsid w:val="00CE5DDA"/>
    <w:rsid w:val="00D0188A"/>
    <w:rsid w:val="00D10B0A"/>
    <w:rsid w:val="00D115CB"/>
    <w:rsid w:val="00D24AF8"/>
    <w:rsid w:val="00D25558"/>
    <w:rsid w:val="00D45EEE"/>
    <w:rsid w:val="00D55E44"/>
    <w:rsid w:val="00D5660E"/>
    <w:rsid w:val="00D75D8E"/>
    <w:rsid w:val="00D874BE"/>
    <w:rsid w:val="00D96D04"/>
    <w:rsid w:val="00DB33BA"/>
    <w:rsid w:val="00DB5467"/>
    <w:rsid w:val="00DC5C07"/>
    <w:rsid w:val="00DE6271"/>
    <w:rsid w:val="00E040FD"/>
    <w:rsid w:val="00E1189E"/>
    <w:rsid w:val="00E15BC2"/>
    <w:rsid w:val="00E22A63"/>
    <w:rsid w:val="00E53A9D"/>
    <w:rsid w:val="00E64DEA"/>
    <w:rsid w:val="00E77DA5"/>
    <w:rsid w:val="00EB01A0"/>
    <w:rsid w:val="00ED4D03"/>
    <w:rsid w:val="00EF3DA3"/>
    <w:rsid w:val="00FC4AC7"/>
    <w:rsid w:val="00FE33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7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33A"/>
    <w:pPr>
      <w:tabs>
        <w:tab w:val="center" w:pos="4513"/>
        <w:tab w:val="right" w:pos="9026"/>
      </w:tabs>
    </w:pPr>
  </w:style>
  <w:style w:type="character" w:customStyle="1" w:styleId="HeaderChar">
    <w:name w:val="Header Char"/>
    <w:basedOn w:val="DefaultParagraphFont"/>
    <w:link w:val="Header"/>
    <w:uiPriority w:val="99"/>
    <w:rsid w:val="0027233A"/>
    <w:rPr>
      <w:rFonts w:ascii="Tahoma" w:eastAsia="Times New Roman" w:hAnsi="Tahoma" w:cs="Times New Roman"/>
      <w:sz w:val="24"/>
      <w:szCs w:val="24"/>
      <w:lang w:val="en-US"/>
    </w:rPr>
  </w:style>
  <w:style w:type="paragraph" w:styleId="Footer">
    <w:name w:val="footer"/>
    <w:basedOn w:val="Normal"/>
    <w:link w:val="FooterChar"/>
    <w:uiPriority w:val="99"/>
    <w:unhideWhenUsed/>
    <w:rsid w:val="0027233A"/>
    <w:pPr>
      <w:tabs>
        <w:tab w:val="center" w:pos="4513"/>
        <w:tab w:val="right" w:pos="9026"/>
      </w:tabs>
    </w:pPr>
  </w:style>
  <w:style w:type="character" w:customStyle="1" w:styleId="FooterChar">
    <w:name w:val="Footer Char"/>
    <w:basedOn w:val="DefaultParagraphFont"/>
    <w:link w:val="Footer"/>
    <w:uiPriority w:val="99"/>
    <w:rsid w:val="0027233A"/>
    <w:rPr>
      <w:rFonts w:ascii="Tahoma" w:eastAsia="Times New Roman" w:hAnsi="Tahoma" w:cs="Times New Roman"/>
      <w:sz w:val="24"/>
      <w:szCs w:val="24"/>
      <w:lang w:val="en-US"/>
    </w:rPr>
  </w:style>
  <w:style w:type="paragraph" w:styleId="ListParagraph">
    <w:name w:val="List Paragraph"/>
    <w:basedOn w:val="Normal"/>
    <w:uiPriority w:val="34"/>
    <w:qFormat/>
    <w:rsid w:val="00361E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7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33A"/>
    <w:pPr>
      <w:tabs>
        <w:tab w:val="center" w:pos="4513"/>
        <w:tab w:val="right" w:pos="9026"/>
      </w:tabs>
    </w:pPr>
  </w:style>
  <w:style w:type="character" w:customStyle="1" w:styleId="HeaderChar">
    <w:name w:val="Header Char"/>
    <w:basedOn w:val="DefaultParagraphFont"/>
    <w:link w:val="Header"/>
    <w:uiPriority w:val="99"/>
    <w:rsid w:val="0027233A"/>
    <w:rPr>
      <w:rFonts w:ascii="Tahoma" w:eastAsia="Times New Roman" w:hAnsi="Tahoma" w:cs="Times New Roman"/>
      <w:sz w:val="24"/>
      <w:szCs w:val="24"/>
      <w:lang w:val="en-US"/>
    </w:rPr>
  </w:style>
  <w:style w:type="paragraph" w:styleId="Footer">
    <w:name w:val="footer"/>
    <w:basedOn w:val="Normal"/>
    <w:link w:val="FooterChar"/>
    <w:uiPriority w:val="99"/>
    <w:unhideWhenUsed/>
    <w:rsid w:val="0027233A"/>
    <w:pPr>
      <w:tabs>
        <w:tab w:val="center" w:pos="4513"/>
        <w:tab w:val="right" w:pos="9026"/>
      </w:tabs>
    </w:pPr>
  </w:style>
  <w:style w:type="character" w:customStyle="1" w:styleId="FooterChar">
    <w:name w:val="Footer Char"/>
    <w:basedOn w:val="DefaultParagraphFont"/>
    <w:link w:val="Footer"/>
    <w:uiPriority w:val="99"/>
    <w:rsid w:val="0027233A"/>
    <w:rPr>
      <w:rFonts w:ascii="Tahoma" w:eastAsia="Times New Roman" w:hAnsi="Tahoma" w:cs="Times New Roman"/>
      <w:sz w:val="24"/>
      <w:szCs w:val="24"/>
      <w:lang w:val="en-US"/>
    </w:rPr>
  </w:style>
  <w:style w:type="paragraph" w:styleId="ListParagraph">
    <w:name w:val="List Paragraph"/>
    <w:basedOn w:val="Normal"/>
    <w:uiPriority w:val="34"/>
    <w:qFormat/>
    <w:rsid w:val="00361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545AD-63F4-4F47-A121-992D22B0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35</cp:revision>
  <dcterms:created xsi:type="dcterms:W3CDTF">2016-04-26T05:49:00Z</dcterms:created>
  <dcterms:modified xsi:type="dcterms:W3CDTF">2016-05-05T08:44:00Z</dcterms:modified>
</cp:coreProperties>
</file>