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23" w:rsidRDefault="00F62E64" w:rsidP="00F62E6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JOSHUA NYAMHUKA</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CHURCH OF GOD OF PROPHECY</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729B8">
        <w:rPr>
          <w:rFonts w:ascii="Times New Roman" w:hAnsi="Times New Roman" w:cs="Times New Roman"/>
          <w:sz w:val="24"/>
          <w:szCs w:val="24"/>
        </w:rPr>
        <w:t>B</w:t>
      </w:r>
      <w:r>
        <w:rPr>
          <w:rFonts w:ascii="Times New Roman" w:hAnsi="Times New Roman" w:cs="Times New Roman"/>
          <w:sz w:val="24"/>
          <w:szCs w:val="24"/>
        </w:rPr>
        <w:t>IGAIL MAPINGURE</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MTISI</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PIO CHIDYAMAKUNI</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KENN</w:t>
      </w:r>
      <w:r w:rsidR="00D71572">
        <w:rPr>
          <w:rFonts w:ascii="Times New Roman" w:hAnsi="Times New Roman" w:cs="Times New Roman"/>
          <w:sz w:val="24"/>
          <w:szCs w:val="24"/>
        </w:rPr>
        <w:t>E</w:t>
      </w:r>
      <w:r>
        <w:rPr>
          <w:rFonts w:ascii="Times New Roman" w:hAnsi="Times New Roman" w:cs="Times New Roman"/>
          <w:sz w:val="24"/>
          <w:szCs w:val="24"/>
        </w:rPr>
        <w:t>DY CHINYOWA</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MOSES MUDAYA</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GODFREY MATANGI</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GOODWIN CHITAKASHA</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PHILIP MATEVANI</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DISPOL ZRP SOUTHERTON HARARE</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SOUTH HQ</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OFFICER IN CHARGE MACHIPISA</w:t>
      </w:r>
    </w:p>
    <w:p w:rsidR="00F62E64" w:rsidRDefault="00F62E64" w:rsidP="00F62E64">
      <w:pPr>
        <w:spacing w:after="0" w:line="240" w:lineRule="auto"/>
        <w:jc w:val="both"/>
        <w:rPr>
          <w:rFonts w:ascii="Times New Roman" w:hAnsi="Times New Roman" w:cs="Times New Roman"/>
          <w:sz w:val="24"/>
          <w:szCs w:val="24"/>
        </w:rPr>
      </w:pPr>
    </w:p>
    <w:p w:rsidR="00F62E64" w:rsidRDefault="00F62E64" w:rsidP="00F62E64">
      <w:pPr>
        <w:spacing w:after="0" w:line="240" w:lineRule="auto"/>
        <w:jc w:val="both"/>
        <w:rPr>
          <w:rFonts w:ascii="Times New Roman" w:hAnsi="Times New Roman" w:cs="Times New Roman"/>
          <w:sz w:val="24"/>
          <w:szCs w:val="24"/>
        </w:rPr>
      </w:pPr>
    </w:p>
    <w:p w:rsidR="00F62E64" w:rsidRDefault="00F62E64" w:rsidP="00F62E64">
      <w:pPr>
        <w:spacing w:after="0" w:line="240" w:lineRule="auto"/>
        <w:jc w:val="both"/>
        <w:rPr>
          <w:rFonts w:ascii="Times New Roman" w:hAnsi="Times New Roman" w:cs="Times New Roman"/>
          <w:sz w:val="24"/>
          <w:szCs w:val="24"/>
        </w:rPr>
      </w:pP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F62E64" w:rsidRDefault="00F62E64" w:rsidP="00F62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A8680C">
        <w:rPr>
          <w:rFonts w:ascii="Times New Roman" w:hAnsi="Times New Roman" w:cs="Times New Roman"/>
          <w:sz w:val="24"/>
          <w:szCs w:val="24"/>
        </w:rPr>
        <w:t xml:space="preserve"> 5 &amp;</w:t>
      </w:r>
      <w:r>
        <w:rPr>
          <w:rFonts w:ascii="Times New Roman" w:hAnsi="Times New Roman" w:cs="Times New Roman"/>
          <w:sz w:val="24"/>
          <w:szCs w:val="24"/>
        </w:rPr>
        <w:t xml:space="preserve"> </w:t>
      </w:r>
      <w:r w:rsidR="00CB7E32">
        <w:rPr>
          <w:rFonts w:ascii="Times New Roman" w:hAnsi="Times New Roman" w:cs="Times New Roman"/>
          <w:sz w:val="24"/>
          <w:szCs w:val="24"/>
        </w:rPr>
        <w:t>6 January</w:t>
      </w:r>
      <w:r>
        <w:rPr>
          <w:rFonts w:ascii="Times New Roman" w:hAnsi="Times New Roman" w:cs="Times New Roman"/>
          <w:sz w:val="24"/>
          <w:szCs w:val="24"/>
        </w:rPr>
        <w:t xml:space="preserve"> 2017</w:t>
      </w:r>
    </w:p>
    <w:p w:rsidR="00F62E64" w:rsidRDefault="00F62E64" w:rsidP="00F62E64">
      <w:pPr>
        <w:spacing w:after="0" w:line="240" w:lineRule="auto"/>
        <w:jc w:val="both"/>
        <w:rPr>
          <w:rFonts w:ascii="Times New Roman" w:hAnsi="Times New Roman" w:cs="Times New Roman"/>
          <w:sz w:val="24"/>
          <w:szCs w:val="24"/>
        </w:rPr>
      </w:pPr>
    </w:p>
    <w:p w:rsidR="00F62E64" w:rsidRDefault="00F62E64" w:rsidP="00F62E64">
      <w:pPr>
        <w:spacing w:after="0" w:line="240" w:lineRule="auto"/>
        <w:jc w:val="both"/>
        <w:rPr>
          <w:rFonts w:ascii="Times New Roman" w:hAnsi="Times New Roman" w:cs="Times New Roman"/>
          <w:sz w:val="24"/>
          <w:szCs w:val="24"/>
        </w:rPr>
      </w:pPr>
    </w:p>
    <w:p w:rsidR="00F62E64" w:rsidRDefault="00F62E64" w:rsidP="00F62E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F62E64" w:rsidRDefault="00F62E64" w:rsidP="00F62E64">
      <w:pPr>
        <w:spacing w:after="0" w:line="240" w:lineRule="auto"/>
        <w:jc w:val="both"/>
        <w:rPr>
          <w:rFonts w:ascii="Times New Roman" w:hAnsi="Times New Roman" w:cs="Times New Roman"/>
          <w:b/>
          <w:sz w:val="24"/>
          <w:szCs w:val="24"/>
        </w:rPr>
      </w:pPr>
    </w:p>
    <w:p w:rsidR="00F62E64" w:rsidRDefault="00F62E64" w:rsidP="00F62E64">
      <w:pPr>
        <w:spacing w:after="0" w:line="240" w:lineRule="auto"/>
        <w:jc w:val="both"/>
        <w:rPr>
          <w:rFonts w:ascii="Times New Roman" w:hAnsi="Times New Roman" w:cs="Times New Roman"/>
          <w:b/>
          <w:sz w:val="24"/>
          <w:szCs w:val="24"/>
        </w:rPr>
      </w:pPr>
    </w:p>
    <w:p w:rsidR="00F62E64" w:rsidRDefault="00CB7E32" w:rsidP="00F62E6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w:t>
      </w:r>
      <w:r w:rsidR="008F45A1">
        <w:rPr>
          <w:rFonts w:ascii="Times New Roman" w:hAnsi="Times New Roman" w:cs="Times New Roman"/>
          <w:i/>
          <w:sz w:val="24"/>
          <w:szCs w:val="24"/>
        </w:rPr>
        <w:t>. Mushonga,</w:t>
      </w:r>
      <w:r w:rsidR="00F62E64">
        <w:rPr>
          <w:rFonts w:ascii="Times New Roman" w:hAnsi="Times New Roman" w:cs="Times New Roman"/>
          <w:sz w:val="24"/>
          <w:szCs w:val="24"/>
        </w:rPr>
        <w:t xml:space="preserve"> for the applicants</w:t>
      </w:r>
    </w:p>
    <w:p w:rsidR="00F62E64" w:rsidRDefault="00CB7E32" w:rsidP="00F62E6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r w:rsidR="008F45A1">
        <w:rPr>
          <w:rFonts w:ascii="Times New Roman" w:hAnsi="Times New Roman" w:cs="Times New Roman"/>
          <w:i/>
          <w:sz w:val="24"/>
          <w:szCs w:val="24"/>
        </w:rPr>
        <w:t>Zhuwarara</w:t>
      </w:r>
      <w:r w:rsidR="00EC7A37">
        <w:rPr>
          <w:rFonts w:ascii="Times New Roman" w:hAnsi="Times New Roman" w:cs="Times New Roman"/>
          <w:sz w:val="24"/>
          <w:szCs w:val="24"/>
        </w:rPr>
        <w:t xml:space="preserve"> with </w:t>
      </w:r>
      <w:r w:rsidR="00EC7A37" w:rsidRPr="00EC7A37">
        <w:rPr>
          <w:rFonts w:ascii="Times New Roman" w:hAnsi="Times New Roman" w:cs="Times New Roman"/>
          <w:i/>
          <w:sz w:val="24"/>
          <w:szCs w:val="24"/>
        </w:rPr>
        <w:t>A.</w:t>
      </w:r>
      <w:r w:rsidR="00EC7A37">
        <w:rPr>
          <w:rFonts w:ascii="Times New Roman" w:hAnsi="Times New Roman" w:cs="Times New Roman"/>
          <w:sz w:val="24"/>
          <w:szCs w:val="24"/>
        </w:rPr>
        <w:t xml:space="preserve"> </w:t>
      </w:r>
      <w:r w:rsidR="008F45A1">
        <w:rPr>
          <w:rFonts w:ascii="Times New Roman" w:hAnsi="Times New Roman" w:cs="Times New Roman"/>
          <w:i/>
          <w:sz w:val="24"/>
          <w:szCs w:val="24"/>
        </w:rPr>
        <w:t>Muchandiona,</w:t>
      </w:r>
      <w:r w:rsidR="00F62E64">
        <w:rPr>
          <w:rFonts w:ascii="Times New Roman" w:hAnsi="Times New Roman" w:cs="Times New Roman"/>
          <w:sz w:val="24"/>
          <w:szCs w:val="24"/>
        </w:rPr>
        <w:t xml:space="preserve"> </w:t>
      </w:r>
      <w:r w:rsidR="008F45A1">
        <w:rPr>
          <w:rFonts w:ascii="Times New Roman" w:hAnsi="Times New Roman" w:cs="Times New Roman"/>
          <w:sz w:val="24"/>
          <w:szCs w:val="24"/>
        </w:rPr>
        <w:t>f</w:t>
      </w:r>
      <w:r w:rsidR="00F62E64">
        <w:rPr>
          <w:rFonts w:ascii="Times New Roman" w:hAnsi="Times New Roman" w:cs="Times New Roman"/>
          <w:sz w:val="24"/>
          <w:szCs w:val="24"/>
        </w:rPr>
        <w:t>or the</w:t>
      </w:r>
      <w:r w:rsidR="008F45A1">
        <w:rPr>
          <w:rFonts w:ascii="Times New Roman" w:hAnsi="Times New Roman" w:cs="Times New Roman"/>
          <w:sz w:val="24"/>
          <w:szCs w:val="24"/>
        </w:rPr>
        <w:t xml:space="preserve"> 1</w:t>
      </w:r>
      <w:r w:rsidR="008F45A1" w:rsidRPr="008F45A1">
        <w:rPr>
          <w:rFonts w:ascii="Times New Roman" w:hAnsi="Times New Roman" w:cs="Times New Roman"/>
          <w:sz w:val="24"/>
          <w:szCs w:val="24"/>
          <w:vertAlign w:val="superscript"/>
        </w:rPr>
        <w:t>st</w:t>
      </w:r>
      <w:r w:rsidR="008F45A1">
        <w:rPr>
          <w:rFonts w:ascii="Times New Roman" w:hAnsi="Times New Roman" w:cs="Times New Roman"/>
          <w:sz w:val="24"/>
          <w:szCs w:val="24"/>
        </w:rPr>
        <w:t xml:space="preserve"> to 8</w:t>
      </w:r>
      <w:r w:rsidR="008F45A1" w:rsidRPr="008F45A1">
        <w:rPr>
          <w:rFonts w:ascii="Times New Roman" w:hAnsi="Times New Roman" w:cs="Times New Roman"/>
          <w:sz w:val="24"/>
          <w:szCs w:val="24"/>
          <w:vertAlign w:val="superscript"/>
        </w:rPr>
        <w:t>th</w:t>
      </w:r>
      <w:r w:rsidR="008F45A1">
        <w:rPr>
          <w:rFonts w:ascii="Times New Roman" w:hAnsi="Times New Roman" w:cs="Times New Roman"/>
          <w:sz w:val="24"/>
          <w:szCs w:val="24"/>
        </w:rPr>
        <w:t xml:space="preserve"> </w:t>
      </w:r>
      <w:r w:rsidR="00F62E64">
        <w:rPr>
          <w:rFonts w:ascii="Times New Roman" w:hAnsi="Times New Roman" w:cs="Times New Roman"/>
          <w:sz w:val="24"/>
          <w:szCs w:val="24"/>
        </w:rPr>
        <w:t>respondents</w:t>
      </w:r>
    </w:p>
    <w:p w:rsidR="008F45A1" w:rsidRPr="008F45A1" w:rsidRDefault="00CB7E32" w:rsidP="00F62E6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 </w:t>
      </w:r>
      <w:r w:rsidR="008F45A1">
        <w:rPr>
          <w:rFonts w:ascii="Times New Roman" w:hAnsi="Times New Roman" w:cs="Times New Roman"/>
          <w:i/>
          <w:sz w:val="24"/>
          <w:szCs w:val="24"/>
        </w:rPr>
        <w:t>Chimiti</w:t>
      </w:r>
      <w:r w:rsidR="008F45A1">
        <w:rPr>
          <w:rFonts w:ascii="Times New Roman" w:hAnsi="Times New Roman" w:cs="Times New Roman"/>
          <w:sz w:val="24"/>
          <w:szCs w:val="24"/>
        </w:rPr>
        <w:t>, for the 9</w:t>
      </w:r>
      <w:r w:rsidR="008F45A1" w:rsidRPr="008F45A1">
        <w:rPr>
          <w:rFonts w:ascii="Times New Roman" w:hAnsi="Times New Roman" w:cs="Times New Roman"/>
          <w:sz w:val="24"/>
          <w:szCs w:val="24"/>
          <w:vertAlign w:val="superscript"/>
        </w:rPr>
        <w:t>th</w:t>
      </w:r>
      <w:r w:rsidR="008F45A1">
        <w:rPr>
          <w:rFonts w:ascii="Times New Roman" w:hAnsi="Times New Roman" w:cs="Times New Roman"/>
          <w:sz w:val="24"/>
          <w:szCs w:val="24"/>
        </w:rPr>
        <w:t xml:space="preserve"> and 10</w:t>
      </w:r>
      <w:r w:rsidR="008F45A1" w:rsidRPr="008F45A1">
        <w:rPr>
          <w:rFonts w:ascii="Times New Roman" w:hAnsi="Times New Roman" w:cs="Times New Roman"/>
          <w:sz w:val="24"/>
          <w:szCs w:val="24"/>
          <w:vertAlign w:val="superscript"/>
        </w:rPr>
        <w:t>th</w:t>
      </w:r>
      <w:r w:rsidR="008F45A1">
        <w:rPr>
          <w:rFonts w:ascii="Times New Roman" w:hAnsi="Times New Roman" w:cs="Times New Roman"/>
          <w:sz w:val="24"/>
          <w:szCs w:val="24"/>
        </w:rPr>
        <w:t xml:space="preserve"> respondents</w:t>
      </w:r>
    </w:p>
    <w:p w:rsidR="00F62E64" w:rsidRDefault="00F62E64" w:rsidP="00F62E64">
      <w:pPr>
        <w:spacing w:after="0" w:line="240" w:lineRule="auto"/>
        <w:jc w:val="both"/>
        <w:rPr>
          <w:rFonts w:ascii="Times New Roman" w:hAnsi="Times New Roman" w:cs="Times New Roman"/>
          <w:sz w:val="24"/>
          <w:szCs w:val="24"/>
        </w:rPr>
      </w:pPr>
    </w:p>
    <w:p w:rsidR="00F62E64" w:rsidRDefault="00F62E64" w:rsidP="00F62E64">
      <w:pPr>
        <w:spacing w:after="0" w:line="240" w:lineRule="auto"/>
        <w:jc w:val="both"/>
        <w:rPr>
          <w:rFonts w:ascii="Times New Roman" w:hAnsi="Times New Roman" w:cs="Times New Roman"/>
          <w:sz w:val="24"/>
          <w:szCs w:val="24"/>
        </w:rPr>
      </w:pPr>
    </w:p>
    <w:p w:rsidR="00F62E64" w:rsidRDefault="00F62E64" w:rsidP="00F62E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80D73">
        <w:rPr>
          <w:rFonts w:ascii="Times New Roman" w:hAnsi="Times New Roman" w:cs="Times New Roman"/>
          <w:sz w:val="24"/>
          <w:szCs w:val="24"/>
        </w:rPr>
        <w:t xml:space="preserve">FOROMA J: It is apparent from the number of reference cases in the official heading of this matter that the parties have been at each other in the courts on a number of occasions. Their battles appear to be far from over and their legal advisers do not seem to have made it </w:t>
      </w:r>
      <w:r w:rsidR="00380D73">
        <w:rPr>
          <w:rFonts w:ascii="Times New Roman" w:hAnsi="Times New Roman" w:cs="Times New Roman"/>
          <w:sz w:val="24"/>
          <w:szCs w:val="24"/>
        </w:rPr>
        <w:lastRenderedPageBreak/>
        <w:t>any easier to see an end to the succession dispute arising from the demise of the founder of the second applicant. It would appear that the dispute may drag on longer as long as correct legal advice is not given on how to apply rules of this court correctly and to best advantage.</w:t>
      </w:r>
    </w:p>
    <w:p w:rsidR="00CE3834" w:rsidRDefault="00380D73" w:rsidP="00F62E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current case is a third urgent approach to the court for relief involving the members engaged in the succession dispute. Ninth and tenth respondents have been dragged into this seemingly endless dispute. </w:t>
      </w:r>
    </w:p>
    <w:p w:rsidR="00CE3834" w:rsidRDefault="00CE3834" w:rsidP="00F62E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approached the court for urgent relief which is summarised in the Provisional Order as follows:</w:t>
      </w:r>
    </w:p>
    <w:p w:rsidR="00CE3834" w:rsidRDefault="00CE3834" w:rsidP="00F62E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‘Terms of Interim Relief</w:t>
      </w:r>
    </w:p>
    <w:p w:rsidR="00380D73" w:rsidRDefault="00CE3834" w:rsidP="00CE38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CE3834">
        <w:rPr>
          <w:rFonts w:ascii="Times New Roman" w:hAnsi="Times New Roman" w:cs="Times New Roman"/>
          <w:sz w:val="24"/>
          <w:szCs w:val="24"/>
          <w:vertAlign w:val="superscript"/>
        </w:rPr>
        <w:t>st</w:t>
      </w:r>
      <w:r>
        <w:rPr>
          <w:rFonts w:ascii="Times New Roman" w:hAnsi="Times New Roman" w:cs="Times New Roman"/>
          <w:sz w:val="24"/>
          <w:szCs w:val="24"/>
        </w:rPr>
        <w:t xml:space="preserve"> to 8</w:t>
      </w:r>
      <w:r w:rsidRPr="00CE383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and all their functionaries and followers</w:t>
      </w:r>
      <w:r w:rsidR="00380D73" w:rsidRPr="00CE3834">
        <w:rPr>
          <w:rFonts w:ascii="Times New Roman" w:hAnsi="Times New Roman" w:cs="Times New Roman"/>
          <w:sz w:val="24"/>
          <w:szCs w:val="24"/>
        </w:rPr>
        <w:t xml:space="preserve"> </w:t>
      </w:r>
      <w:r>
        <w:rPr>
          <w:rFonts w:ascii="Times New Roman" w:hAnsi="Times New Roman" w:cs="Times New Roman"/>
          <w:sz w:val="24"/>
          <w:szCs w:val="24"/>
        </w:rPr>
        <w:t xml:space="preserve">be and are hereby temporarily barred and interdicted from entering or coming within twenty (20) metres of Stand 8679 Mangwende Drive Canaan </w:t>
      </w:r>
      <w:r w:rsidR="000543D8">
        <w:rPr>
          <w:rFonts w:ascii="Times New Roman" w:hAnsi="Times New Roman" w:cs="Times New Roman"/>
          <w:sz w:val="24"/>
          <w:szCs w:val="24"/>
        </w:rPr>
        <w:t>Highfield</w:t>
      </w:r>
      <w:r>
        <w:rPr>
          <w:rFonts w:ascii="Times New Roman" w:hAnsi="Times New Roman" w:cs="Times New Roman"/>
          <w:sz w:val="24"/>
          <w:szCs w:val="24"/>
        </w:rPr>
        <w:t xml:space="preserve"> Harare or from interfering, interrupting, disturbing or hindering the </w:t>
      </w:r>
      <w:r w:rsidR="000543D8">
        <w:rPr>
          <w:rFonts w:ascii="Times New Roman" w:hAnsi="Times New Roman" w:cs="Times New Roman"/>
          <w:sz w:val="24"/>
          <w:szCs w:val="24"/>
        </w:rPr>
        <w:t>SPIRITUAL activities of the applicants or their followers and functionaries pending the return date.</w:t>
      </w:r>
      <w:r>
        <w:rPr>
          <w:rFonts w:ascii="Times New Roman" w:hAnsi="Times New Roman" w:cs="Times New Roman"/>
          <w:sz w:val="24"/>
          <w:szCs w:val="24"/>
        </w:rPr>
        <w:t xml:space="preserve"> </w:t>
      </w:r>
    </w:p>
    <w:p w:rsidR="000543D8" w:rsidRDefault="00CA1677" w:rsidP="00CE38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9</w:t>
      </w:r>
      <w:r w:rsidRPr="00CA1677">
        <w:rPr>
          <w:rFonts w:ascii="Times New Roman" w:hAnsi="Times New Roman" w:cs="Times New Roman"/>
          <w:sz w:val="24"/>
          <w:szCs w:val="24"/>
          <w:vertAlign w:val="superscript"/>
        </w:rPr>
        <w:t>th</w:t>
      </w:r>
      <w:r>
        <w:rPr>
          <w:rFonts w:ascii="Times New Roman" w:hAnsi="Times New Roman" w:cs="Times New Roman"/>
          <w:sz w:val="24"/>
          <w:szCs w:val="24"/>
        </w:rPr>
        <w:t xml:space="preserve"> and 10</w:t>
      </w:r>
      <w:r w:rsidRPr="00CA167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are directed to enforce the provisions of paragraph 1 herein above pending the return date.</w:t>
      </w:r>
    </w:p>
    <w:p w:rsidR="00CA1677" w:rsidRDefault="00CA1677" w:rsidP="00CE38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CA1677">
        <w:rPr>
          <w:rFonts w:ascii="Times New Roman" w:hAnsi="Times New Roman" w:cs="Times New Roman"/>
          <w:sz w:val="24"/>
          <w:szCs w:val="24"/>
          <w:vertAlign w:val="superscript"/>
        </w:rPr>
        <w:t>st</w:t>
      </w:r>
      <w:r>
        <w:rPr>
          <w:rFonts w:ascii="Times New Roman" w:hAnsi="Times New Roman" w:cs="Times New Roman"/>
          <w:sz w:val="24"/>
          <w:szCs w:val="24"/>
        </w:rPr>
        <w:t xml:space="preserve"> to 8</w:t>
      </w:r>
      <w:r w:rsidRPr="00CA167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show cause if any why they should not pay costs of suit on the higher scale.</w:t>
      </w:r>
    </w:p>
    <w:p w:rsidR="00CB7E32" w:rsidRDefault="00CA1677" w:rsidP="00CB7E3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At the hearing of the application the </w:t>
      </w:r>
      <w:r w:rsidR="00CB7E32">
        <w:rPr>
          <w:rFonts w:ascii="Times New Roman" w:hAnsi="Times New Roman" w:cs="Times New Roman"/>
          <w:sz w:val="24"/>
          <w:szCs w:val="24"/>
        </w:rPr>
        <w:t xml:space="preserve"> Mr </w:t>
      </w:r>
      <w:r w:rsidR="00CB7E32">
        <w:rPr>
          <w:rFonts w:ascii="Times New Roman" w:hAnsi="Times New Roman" w:cs="Times New Roman"/>
          <w:i/>
          <w:sz w:val="24"/>
          <w:szCs w:val="24"/>
        </w:rPr>
        <w:t xml:space="preserve">Mushonga </w:t>
      </w:r>
      <w:r w:rsidR="00CB7E32">
        <w:rPr>
          <w:rFonts w:ascii="Times New Roman" w:hAnsi="Times New Roman" w:cs="Times New Roman"/>
          <w:sz w:val="24"/>
          <w:szCs w:val="24"/>
        </w:rPr>
        <w:t xml:space="preserve">represented the applicants and </w:t>
      </w:r>
    </w:p>
    <w:p w:rsidR="00CA1677" w:rsidRDefault="00CB7E32" w:rsidP="00CB7E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w:t>
      </w:r>
      <w:r w:rsidR="00CA1677">
        <w:rPr>
          <w:rFonts w:ascii="Times New Roman" w:hAnsi="Times New Roman" w:cs="Times New Roman"/>
          <w:sz w:val="24"/>
          <w:szCs w:val="24"/>
        </w:rPr>
        <w:t xml:space="preserve"> to </w:t>
      </w:r>
      <w:r>
        <w:rPr>
          <w:rFonts w:ascii="Times New Roman" w:hAnsi="Times New Roman" w:cs="Times New Roman"/>
          <w:sz w:val="24"/>
          <w:szCs w:val="24"/>
        </w:rPr>
        <w:t xml:space="preserve">eighth </w:t>
      </w:r>
      <w:r w:rsidR="00E3431B">
        <w:rPr>
          <w:rFonts w:ascii="Times New Roman" w:hAnsi="Times New Roman" w:cs="Times New Roman"/>
          <w:sz w:val="24"/>
          <w:szCs w:val="24"/>
        </w:rPr>
        <w:t>r</w:t>
      </w:r>
      <w:r w:rsidR="00CA1677">
        <w:rPr>
          <w:rFonts w:ascii="Times New Roman" w:hAnsi="Times New Roman" w:cs="Times New Roman"/>
          <w:sz w:val="24"/>
          <w:szCs w:val="24"/>
        </w:rPr>
        <w:t xml:space="preserve">espondents were represented by Mr </w:t>
      </w:r>
      <w:r w:rsidR="00CA1677">
        <w:rPr>
          <w:rFonts w:ascii="Times New Roman" w:hAnsi="Times New Roman" w:cs="Times New Roman"/>
          <w:i/>
          <w:sz w:val="24"/>
          <w:szCs w:val="24"/>
        </w:rPr>
        <w:t>Zhuwarara</w:t>
      </w:r>
      <w:r w:rsidR="002F7FB2">
        <w:rPr>
          <w:rFonts w:ascii="Times New Roman" w:hAnsi="Times New Roman" w:cs="Times New Roman"/>
          <w:i/>
          <w:sz w:val="24"/>
          <w:szCs w:val="24"/>
        </w:rPr>
        <w:t xml:space="preserve"> </w:t>
      </w:r>
      <w:r w:rsidR="002F7FB2">
        <w:rPr>
          <w:rFonts w:ascii="Times New Roman" w:hAnsi="Times New Roman" w:cs="Times New Roman"/>
          <w:sz w:val="24"/>
          <w:szCs w:val="24"/>
        </w:rPr>
        <w:t xml:space="preserve">instructed by Mr </w:t>
      </w:r>
      <w:r w:rsidR="002F7FB2" w:rsidRPr="002F7FB2">
        <w:rPr>
          <w:rFonts w:ascii="Times New Roman" w:hAnsi="Times New Roman" w:cs="Times New Roman"/>
          <w:i/>
          <w:sz w:val="24"/>
          <w:szCs w:val="24"/>
        </w:rPr>
        <w:t>Muchandiona</w:t>
      </w:r>
      <w:r w:rsidR="002F7FB2">
        <w:rPr>
          <w:rFonts w:ascii="Times New Roman" w:hAnsi="Times New Roman" w:cs="Times New Roman"/>
          <w:sz w:val="24"/>
          <w:szCs w:val="24"/>
        </w:rPr>
        <w:t xml:space="preserve"> and ninth and tenth respondents were represented by Mr </w:t>
      </w:r>
      <w:r w:rsidR="002F7FB2" w:rsidRPr="002F7FB2">
        <w:rPr>
          <w:rFonts w:ascii="Times New Roman" w:hAnsi="Times New Roman" w:cs="Times New Roman"/>
          <w:i/>
          <w:sz w:val="24"/>
          <w:szCs w:val="24"/>
        </w:rPr>
        <w:t>Chimiti</w:t>
      </w:r>
      <w:r w:rsidR="002F7FB2">
        <w:rPr>
          <w:rFonts w:ascii="Times New Roman" w:hAnsi="Times New Roman" w:cs="Times New Roman"/>
          <w:sz w:val="24"/>
          <w:szCs w:val="24"/>
        </w:rPr>
        <w:t xml:space="preserve">. </w:t>
      </w:r>
      <w:r w:rsidR="00CA1677" w:rsidRPr="00CA1677">
        <w:rPr>
          <w:rFonts w:ascii="Times New Roman" w:hAnsi="Times New Roman" w:cs="Times New Roman"/>
          <w:sz w:val="24"/>
          <w:szCs w:val="24"/>
        </w:rPr>
        <w:t xml:space="preserve"> </w:t>
      </w:r>
    </w:p>
    <w:p w:rsidR="008608F6" w:rsidRPr="008608F6" w:rsidRDefault="002F7FB2" w:rsidP="008608F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It is important to note that the applicants on 23 December 2016 when the applicants filed their application they</w:t>
      </w:r>
      <w:r w:rsidR="00E3431B">
        <w:rPr>
          <w:rFonts w:ascii="Times New Roman" w:hAnsi="Times New Roman" w:cs="Times New Roman"/>
          <w:sz w:val="24"/>
          <w:szCs w:val="24"/>
        </w:rPr>
        <w:t xml:space="preserve"> also</w:t>
      </w:r>
      <w:r>
        <w:rPr>
          <w:rFonts w:ascii="Times New Roman" w:hAnsi="Times New Roman" w:cs="Times New Roman"/>
          <w:sz w:val="24"/>
          <w:szCs w:val="24"/>
        </w:rPr>
        <w:t xml:space="preserve"> filed on the same date a certificate of </w:t>
      </w:r>
      <w:r w:rsidRPr="008608F6">
        <w:rPr>
          <w:rFonts w:ascii="Times New Roman" w:hAnsi="Times New Roman" w:cs="Times New Roman"/>
          <w:sz w:val="24"/>
          <w:szCs w:val="24"/>
        </w:rPr>
        <w:t>service</w:t>
      </w:r>
      <w:r w:rsidR="008608F6">
        <w:rPr>
          <w:rFonts w:ascii="Times New Roman" w:hAnsi="Times New Roman" w:cs="Times New Roman"/>
          <w:b/>
          <w:sz w:val="24"/>
          <w:szCs w:val="24"/>
        </w:rPr>
        <w:t xml:space="preserve"> </w:t>
      </w:r>
      <w:r w:rsidR="008608F6">
        <w:rPr>
          <w:rFonts w:ascii="Times New Roman" w:hAnsi="Times New Roman" w:cs="Times New Roman"/>
          <w:sz w:val="24"/>
          <w:szCs w:val="24"/>
        </w:rPr>
        <w:t>which purported to be proof of service on the first to eight respondents. The application could have been set down for hearing before the court took the Christmas break but for the invalid certificate of service in terms of which the appellant’s legal practitioners purported to have served the application on one Rene Mutu</w:t>
      </w:r>
      <w:r w:rsidR="00E3431B">
        <w:rPr>
          <w:rFonts w:ascii="Times New Roman" w:hAnsi="Times New Roman" w:cs="Times New Roman"/>
          <w:sz w:val="24"/>
          <w:szCs w:val="24"/>
        </w:rPr>
        <w:t>mbura</w:t>
      </w:r>
      <w:r w:rsidR="008608F6">
        <w:rPr>
          <w:rFonts w:ascii="Times New Roman" w:hAnsi="Times New Roman" w:cs="Times New Roman"/>
          <w:sz w:val="24"/>
          <w:szCs w:val="24"/>
        </w:rPr>
        <w:t xml:space="preserve"> </w:t>
      </w:r>
      <w:r w:rsidR="005A409C">
        <w:rPr>
          <w:rFonts w:ascii="Times New Roman" w:hAnsi="Times New Roman" w:cs="Times New Roman"/>
          <w:sz w:val="24"/>
          <w:szCs w:val="24"/>
        </w:rPr>
        <w:t xml:space="preserve">at </w:t>
      </w:r>
      <w:r w:rsidR="008608F6">
        <w:rPr>
          <w:rFonts w:ascii="Times New Roman" w:hAnsi="Times New Roman" w:cs="Times New Roman"/>
          <w:sz w:val="24"/>
          <w:szCs w:val="24"/>
        </w:rPr>
        <w:t xml:space="preserve">the first respondent’s residential address who </w:t>
      </w:r>
      <w:r w:rsidR="00E3431B">
        <w:rPr>
          <w:rFonts w:ascii="Times New Roman" w:hAnsi="Times New Roman" w:cs="Times New Roman"/>
          <w:sz w:val="24"/>
          <w:szCs w:val="24"/>
        </w:rPr>
        <w:t>allegedly</w:t>
      </w:r>
      <w:r w:rsidR="008608F6">
        <w:rPr>
          <w:rFonts w:ascii="Times New Roman" w:hAnsi="Times New Roman" w:cs="Times New Roman"/>
          <w:sz w:val="24"/>
          <w:szCs w:val="24"/>
        </w:rPr>
        <w:t xml:space="preserve"> accepted service for and on behalf of the first to eight respondents. I directed that service be made afresh. Then no service appeared to have been effected on the ninth and </w:t>
      </w:r>
      <w:r w:rsidR="008608F6">
        <w:rPr>
          <w:rFonts w:ascii="Times New Roman" w:hAnsi="Times New Roman" w:cs="Times New Roman"/>
          <w:sz w:val="24"/>
          <w:szCs w:val="24"/>
        </w:rPr>
        <w:lastRenderedPageBreak/>
        <w:t xml:space="preserve">tenth respondents. Proper service of the application had been done by 3 January 2017 and the matter was </w:t>
      </w:r>
      <w:r w:rsidR="00E3431B">
        <w:rPr>
          <w:rFonts w:ascii="Times New Roman" w:hAnsi="Times New Roman" w:cs="Times New Roman"/>
          <w:sz w:val="24"/>
          <w:szCs w:val="24"/>
        </w:rPr>
        <w:t xml:space="preserve">then </w:t>
      </w:r>
      <w:r w:rsidR="008608F6">
        <w:rPr>
          <w:rFonts w:ascii="Times New Roman" w:hAnsi="Times New Roman" w:cs="Times New Roman"/>
          <w:sz w:val="24"/>
          <w:szCs w:val="24"/>
        </w:rPr>
        <w:t xml:space="preserve">set down for hearing on 4 January 2017. </w:t>
      </w:r>
    </w:p>
    <w:p w:rsidR="008608F6" w:rsidRDefault="008608F6" w:rsidP="008608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commencement of the hearing Advocate </w:t>
      </w:r>
      <w:r w:rsidRPr="00363496">
        <w:rPr>
          <w:rFonts w:ascii="Times New Roman" w:hAnsi="Times New Roman" w:cs="Times New Roman"/>
          <w:i/>
          <w:sz w:val="24"/>
          <w:szCs w:val="24"/>
        </w:rPr>
        <w:t>Zhuwarara</w:t>
      </w:r>
      <w:r>
        <w:rPr>
          <w:rFonts w:ascii="Times New Roman" w:hAnsi="Times New Roman" w:cs="Times New Roman"/>
          <w:sz w:val="24"/>
          <w:szCs w:val="24"/>
        </w:rPr>
        <w:t xml:space="preserve"> took points </w:t>
      </w:r>
      <w:r>
        <w:rPr>
          <w:rFonts w:ascii="Times New Roman" w:hAnsi="Times New Roman" w:cs="Times New Roman"/>
          <w:i/>
          <w:sz w:val="24"/>
          <w:szCs w:val="24"/>
        </w:rPr>
        <w:t>in limine</w:t>
      </w:r>
      <w:r>
        <w:rPr>
          <w:rFonts w:ascii="Times New Roman" w:hAnsi="Times New Roman" w:cs="Times New Roman"/>
          <w:sz w:val="24"/>
          <w:szCs w:val="24"/>
        </w:rPr>
        <w:t xml:space="preserve"> namely that there was no urgent application before the court as there had been a failure to </w:t>
      </w:r>
      <w:r w:rsidR="00E3431B">
        <w:rPr>
          <w:rFonts w:ascii="Times New Roman" w:hAnsi="Times New Roman" w:cs="Times New Roman"/>
          <w:sz w:val="24"/>
          <w:szCs w:val="24"/>
        </w:rPr>
        <w:t>comply</w:t>
      </w:r>
      <w:r>
        <w:rPr>
          <w:rFonts w:ascii="Times New Roman" w:hAnsi="Times New Roman" w:cs="Times New Roman"/>
          <w:sz w:val="24"/>
          <w:szCs w:val="24"/>
        </w:rPr>
        <w:t xml:space="preserve"> with the rules regarding the format of the application and (ii) that the certificate of urgency was defective and thus there was no urgent application before the court. Mr. </w:t>
      </w:r>
      <w:r>
        <w:rPr>
          <w:rFonts w:ascii="Times New Roman" w:hAnsi="Times New Roman" w:cs="Times New Roman"/>
          <w:i/>
          <w:sz w:val="24"/>
          <w:szCs w:val="24"/>
        </w:rPr>
        <w:t>Chim</w:t>
      </w:r>
      <w:r w:rsidR="00E3431B">
        <w:rPr>
          <w:rFonts w:ascii="Times New Roman" w:hAnsi="Times New Roman" w:cs="Times New Roman"/>
          <w:i/>
          <w:sz w:val="24"/>
          <w:szCs w:val="24"/>
        </w:rPr>
        <w:t>i</w:t>
      </w:r>
      <w:r>
        <w:rPr>
          <w:rFonts w:ascii="Times New Roman" w:hAnsi="Times New Roman" w:cs="Times New Roman"/>
          <w:i/>
          <w:sz w:val="24"/>
          <w:szCs w:val="24"/>
        </w:rPr>
        <w:t>ti</w:t>
      </w:r>
      <w:r>
        <w:rPr>
          <w:rFonts w:ascii="Times New Roman" w:hAnsi="Times New Roman" w:cs="Times New Roman"/>
          <w:sz w:val="24"/>
          <w:szCs w:val="24"/>
        </w:rPr>
        <w:t xml:space="preserve"> also took a point </w:t>
      </w:r>
      <w:r>
        <w:rPr>
          <w:rFonts w:ascii="Times New Roman" w:hAnsi="Times New Roman" w:cs="Times New Roman"/>
          <w:i/>
          <w:sz w:val="24"/>
          <w:szCs w:val="24"/>
        </w:rPr>
        <w:t>in limine</w:t>
      </w:r>
      <w:r>
        <w:rPr>
          <w:rFonts w:ascii="Times New Roman" w:hAnsi="Times New Roman" w:cs="Times New Roman"/>
          <w:sz w:val="24"/>
          <w:szCs w:val="24"/>
        </w:rPr>
        <w:t xml:space="preserve"> namely that the relief sought was legally incompetent as police have no lawful authority to enforce High Court Orders as the power to enforce such court order </w:t>
      </w:r>
      <w:r w:rsidR="00E3431B">
        <w:rPr>
          <w:rFonts w:ascii="Times New Roman" w:hAnsi="Times New Roman" w:cs="Times New Roman"/>
          <w:sz w:val="24"/>
          <w:szCs w:val="24"/>
        </w:rPr>
        <w:t>reposes</w:t>
      </w:r>
      <w:r>
        <w:rPr>
          <w:rFonts w:ascii="Times New Roman" w:hAnsi="Times New Roman" w:cs="Times New Roman"/>
          <w:sz w:val="24"/>
          <w:szCs w:val="24"/>
        </w:rPr>
        <w:t xml:space="preserve"> in the Sheriff</w:t>
      </w:r>
      <w:r w:rsidR="00E3431B">
        <w:rPr>
          <w:rFonts w:ascii="Times New Roman" w:hAnsi="Times New Roman" w:cs="Times New Roman"/>
          <w:sz w:val="24"/>
          <w:szCs w:val="24"/>
        </w:rPr>
        <w:t>,</w:t>
      </w:r>
      <w:r>
        <w:rPr>
          <w:rFonts w:ascii="Times New Roman" w:hAnsi="Times New Roman" w:cs="Times New Roman"/>
          <w:sz w:val="24"/>
          <w:szCs w:val="24"/>
        </w:rPr>
        <w:t xml:space="preserve"> his deputy and assistants. </w:t>
      </w:r>
    </w:p>
    <w:p w:rsidR="008608F6" w:rsidRDefault="008608F6" w:rsidP="008608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Advocate </w:t>
      </w:r>
      <w:r w:rsidRPr="00363496">
        <w:rPr>
          <w:rFonts w:ascii="Times New Roman" w:hAnsi="Times New Roman" w:cs="Times New Roman"/>
          <w:i/>
          <w:sz w:val="24"/>
          <w:szCs w:val="24"/>
        </w:rPr>
        <w:t>Zhuwarara</w:t>
      </w:r>
      <w:r>
        <w:rPr>
          <w:rFonts w:ascii="Times New Roman" w:hAnsi="Times New Roman" w:cs="Times New Roman"/>
          <w:sz w:val="24"/>
          <w:szCs w:val="24"/>
        </w:rPr>
        <w:t xml:space="preserve"> citing the judgments of </w:t>
      </w:r>
      <w:r>
        <w:rPr>
          <w:rFonts w:ascii="Times New Roman" w:hAnsi="Times New Roman" w:cs="Times New Roman"/>
          <w:i/>
          <w:sz w:val="24"/>
          <w:szCs w:val="24"/>
        </w:rPr>
        <w:t xml:space="preserve">David Jack and Others </w:t>
      </w:r>
      <w:r>
        <w:rPr>
          <w:rFonts w:ascii="Times New Roman" w:hAnsi="Times New Roman" w:cs="Times New Roman"/>
          <w:sz w:val="24"/>
          <w:szCs w:val="24"/>
        </w:rPr>
        <w:t xml:space="preserve">v </w:t>
      </w:r>
      <w:r>
        <w:rPr>
          <w:rFonts w:ascii="Times New Roman" w:hAnsi="Times New Roman" w:cs="Times New Roman"/>
          <w:i/>
          <w:sz w:val="24"/>
          <w:szCs w:val="24"/>
        </w:rPr>
        <w:t xml:space="preserve">Lloyd Mushipe and Others </w:t>
      </w:r>
      <w:r>
        <w:rPr>
          <w:rFonts w:ascii="Times New Roman" w:hAnsi="Times New Roman" w:cs="Times New Roman"/>
          <w:sz w:val="24"/>
          <w:szCs w:val="24"/>
        </w:rPr>
        <w:t xml:space="preserve">HH 318/15 a judgment of </w:t>
      </w:r>
      <w:r w:rsidRPr="00C83A90">
        <w:rPr>
          <w:rFonts w:ascii="Times New Roman" w:hAnsi="Times New Roman" w:cs="Times New Roman"/>
          <w:smallCaps/>
          <w:sz w:val="24"/>
          <w:szCs w:val="24"/>
        </w:rPr>
        <w:t xml:space="preserve">Chitakunye </w:t>
      </w:r>
      <w:r>
        <w:rPr>
          <w:rFonts w:ascii="Times New Roman" w:hAnsi="Times New Roman" w:cs="Times New Roman"/>
          <w:sz w:val="24"/>
          <w:szCs w:val="24"/>
        </w:rPr>
        <w:t xml:space="preserve">J and </w:t>
      </w:r>
      <w:r>
        <w:rPr>
          <w:rFonts w:ascii="Times New Roman" w:hAnsi="Times New Roman" w:cs="Times New Roman"/>
          <w:i/>
          <w:sz w:val="24"/>
          <w:szCs w:val="24"/>
        </w:rPr>
        <w:t xml:space="preserve">Marick Trading P/L </w:t>
      </w:r>
      <w:r>
        <w:rPr>
          <w:rFonts w:ascii="Times New Roman" w:hAnsi="Times New Roman" w:cs="Times New Roman"/>
          <w:sz w:val="24"/>
          <w:szCs w:val="24"/>
        </w:rPr>
        <w:t xml:space="preserve">v </w:t>
      </w:r>
      <w:r>
        <w:rPr>
          <w:rFonts w:ascii="Times New Roman" w:hAnsi="Times New Roman" w:cs="Times New Roman"/>
          <w:i/>
          <w:sz w:val="24"/>
          <w:szCs w:val="24"/>
        </w:rPr>
        <w:t>Old Mutual Life Assurance Company P/L and the Sheriff for Zimbabwe</w:t>
      </w:r>
      <w:r w:rsidR="00E3431B">
        <w:rPr>
          <w:rFonts w:ascii="Times New Roman" w:hAnsi="Times New Roman" w:cs="Times New Roman"/>
          <w:sz w:val="24"/>
          <w:szCs w:val="24"/>
        </w:rPr>
        <w:t xml:space="preserve"> HH</w:t>
      </w:r>
      <w:r>
        <w:rPr>
          <w:rFonts w:ascii="Times New Roman" w:hAnsi="Times New Roman" w:cs="Times New Roman"/>
          <w:i/>
          <w:sz w:val="24"/>
          <w:szCs w:val="24"/>
        </w:rPr>
        <w:t xml:space="preserve"> </w:t>
      </w:r>
      <w:r>
        <w:rPr>
          <w:rFonts w:ascii="Times New Roman" w:hAnsi="Times New Roman" w:cs="Times New Roman"/>
          <w:sz w:val="24"/>
          <w:szCs w:val="24"/>
        </w:rPr>
        <w:t>667/15 argued that applicant’s failure to use form 29 with appropriate modification is</w:t>
      </w:r>
      <w:r w:rsidR="00E3431B">
        <w:rPr>
          <w:rFonts w:ascii="Times New Roman" w:hAnsi="Times New Roman" w:cs="Times New Roman"/>
          <w:sz w:val="24"/>
          <w:szCs w:val="24"/>
        </w:rPr>
        <w:t xml:space="preserve"> fatal</w:t>
      </w:r>
      <w:r>
        <w:rPr>
          <w:rFonts w:ascii="Times New Roman" w:hAnsi="Times New Roman" w:cs="Times New Roman"/>
          <w:sz w:val="24"/>
          <w:szCs w:val="24"/>
        </w:rPr>
        <w:t xml:space="preserve"> to its application as that is a failure to comply with r 241 of the High Court Rules.  </w:t>
      </w:r>
      <w:r>
        <w:rPr>
          <w:rFonts w:ascii="Times New Roman" w:hAnsi="Times New Roman" w:cs="Times New Roman"/>
          <w:sz w:val="24"/>
          <w:szCs w:val="24"/>
        </w:rPr>
        <w:tab/>
      </w:r>
    </w:p>
    <w:p w:rsidR="008608F6" w:rsidRDefault="008608F6" w:rsidP="008608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Order 32 r 241 (1) provides as follows:   </w:t>
      </w:r>
    </w:p>
    <w:p w:rsidR="008608F6" w:rsidRDefault="008608F6" w:rsidP="008608F6">
      <w:pPr>
        <w:spacing w:after="0" w:line="240" w:lineRule="auto"/>
        <w:ind w:left="1440" w:hanging="720"/>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A chamber application shall be made by means of an entry in the chamber book and should be accompanied by form 29 (b) duly completed and except as is provided in sub rule (2) shall be supported by one</w:t>
      </w:r>
      <w:r w:rsidR="00E3431B">
        <w:rPr>
          <w:rFonts w:ascii="Times New Roman" w:hAnsi="Times New Roman" w:cs="Times New Roman"/>
        </w:rPr>
        <w:t xml:space="preserve"> or</w:t>
      </w:r>
      <w:r>
        <w:rPr>
          <w:rFonts w:ascii="Times New Roman" w:hAnsi="Times New Roman" w:cs="Times New Roman"/>
        </w:rPr>
        <w:t xml:space="preserve"> more affidavits setting out the facts upon which the applicant relies:</w:t>
      </w:r>
    </w:p>
    <w:p w:rsidR="008608F6" w:rsidRDefault="008608F6" w:rsidP="008608F6">
      <w:pPr>
        <w:spacing w:after="0" w:line="240" w:lineRule="auto"/>
        <w:ind w:left="1440" w:hanging="720"/>
        <w:jc w:val="both"/>
        <w:rPr>
          <w:rFonts w:ascii="Times New Roman" w:hAnsi="Times New Roman" w:cs="Times New Roman"/>
        </w:rPr>
      </w:pPr>
      <w:r>
        <w:rPr>
          <w:rFonts w:ascii="Times New Roman" w:hAnsi="Times New Roman" w:cs="Times New Roman"/>
        </w:rPr>
        <w:tab/>
        <w:t>Provided that where a chamber application is to be served on an intended party, it shall be in form No. 29 with appropriate modifications. This proviso was inserted by Statutory Instrument 251/93.”</w:t>
      </w:r>
    </w:p>
    <w:p w:rsidR="008608F6" w:rsidRDefault="008608F6" w:rsidP="008608F6">
      <w:pPr>
        <w:spacing w:after="0" w:line="240" w:lineRule="auto"/>
        <w:jc w:val="both"/>
        <w:rPr>
          <w:rFonts w:ascii="Times New Roman" w:hAnsi="Times New Roman" w:cs="Times New Roman"/>
        </w:rPr>
      </w:pPr>
    </w:p>
    <w:p w:rsidR="008608F6" w:rsidRDefault="008608F6" w:rsidP="008608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In casu</w:t>
      </w:r>
      <w:r>
        <w:rPr>
          <w:rFonts w:ascii="Times New Roman" w:hAnsi="Times New Roman" w:cs="Times New Roman"/>
          <w:sz w:val="24"/>
          <w:szCs w:val="24"/>
        </w:rPr>
        <w:t>, it is common cause that the chamber application is one which had to be served on the respondents as evidenced by the initial albeit invalid attempt by the applicants to serve the respondents. That therefore the chamber application had to be in form No. 29 with appropriate modifications in terms of the proviso</w:t>
      </w:r>
      <w:r w:rsidR="00E3431B">
        <w:rPr>
          <w:rFonts w:ascii="Times New Roman" w:hAnsi="Times New Roman" w:cs="Times New Roman"/>
          <w:sz w:val="24"/>
          <w:szCs w:val="24"/>
        </w:rPr>
        <w:t xml:space="preserve"> to r 241 (1)</w:t>
      </w:r>
      <w:r>
        <w:rPr>
          <w:rFonts w:ascii="Times New Roman" w:hAnsi="Times New Roman" w:cs="Times New Roman"/>
          <w:sz w:val="24"/>
          <w:szCs w:val="24"/>
        </w:rPr>
        <w:t xml:space="preserve"> cannot be open to any debate. The applicant’s counsel’s response to this point </w:t>
      </w:r>
      <w:r>
        <w:rPr>
          <w:rFonts w:ascii="Times New Roman" w:hAnsi="Times New Roman" w:cs="Times New Roman"/>
          <w:i/>
          <w:sz w:val="24"/>
          <w:szCs w:val="24"/>
        </w:rPr>
        <w:t xml:space="preserve">in limine </w:t>
      </w:r>
      <w:r w:rsidRPr="00BF178F">
        <w:rPr>
          <w:rFonts w:ascii="Times New Roman" w:hAnsi="Times New Roman" w:cs="Times New Roman"/>
          <w:sz w:val="24"/>
          <w:szCs w:val="24"/>
        </w:rPr>
        <w:t>was therefore</w:t>
      </w:r>
      <w:r>
        <w:rPr>
          <w:rFonts w:ascii="Times New Roman" w:hAnsi="Times New Roman" w:cs="Times New Roman"/>
          <w:i/>
          <w:sz w:val="24"/>
          <w:szCs w:val="24"/>
        </w:rPr>
        <w:t xml:space="preserve"> </w:t>
      </w:r>
      <w:r>
        <w:rPr>
          <w:rFonts w:ascii="Times New Roman" w:hAnsi="Times New Roman" w:cs="Times New Roman"/>
          <w:sz w:val="24"/>
          <w:szCs w:val="24"/>
        </w:rPr>
        <w:t xml:space="preserve">startling. Mr </w:t>
      </w:r>
      <w:r w:rsidRPr="00E15AFE">
        <w:rPr>
          <w:rFonts w:ascii="Times New Roman" w:hAnsi="Times New Roman" w:cs="Times New Roman"/>
          <w:i/>
          <w:sz w:val="24"/>
          <w:szCs w:val="24"/>
        </w:rPr>
        <w:t xml:space="preserve">Mushonga </w:t>
      </w:r>
      <w:r>
        <w:rPr>
          <w:rFonts w:ascii="Times New Roman" w:hAnsi="Times New Roman" w:cs="Times New Roman"/>
          <w:sz w:val="24"/>
          <w:szCs w:val="24"/>
        </w:rPr>
        <w:t xml:space="preserve">quite surprisingly insisted and persisted that the applicant had more than adequately complied with r 241 (1) as he  considered that he was required to use form 29B and not form 29. </w:t>
      </w:r>
      <w:r w:rsidR="00E3431B">
        <w:rPr>
          <w:rFonts w:ascii="Times New Roman" w:hAnsi="Times New Roman" w:cs="Times New Roman"/>
          <w:sz w:val="24"/>
          <w:szCs w:val="24"/>
        </w:rPr>
        <w:t>He</w:t>
      </w:r>
      <w:r>
        <w:rPr>
          <w:rFonts w:ascii="Times New Roman" w:hAnsi="Times New Roman" w:cs="Times New Roman"/>
          <w:sz w:val="24"/>
          <w:szCs w:val="24"/>
        </w:rPr>
        <w:t xml:space="preserve"> went so far as to argue that form 29 was relevant only in court applications and that the applicants</w:t>
      </w:r>
      <w:r w:rsidR="00E3431B">
        <w:rPr>
          <w:rFonts w:ascii="Times New Roman" w:hAnsi="Times New Roman" w:cs="Times New Roman"/>
          <w:sz w:val="24"/>
          <w:szCs w:val="24"/>
        </w:rPr>
        <w:t>’</w:t>
      </w:r>
      <w:r>
        <w:rPr>
          <w:rFonts w:ascii="Times New Roman" w:hAnsi="Times New Roman" w:cs="Times New Roman"/>
          <w:sz w:val="24"/>
          <w:szCs w:val="24"/>
        </w:rPr>
        <w:t xml:space="preserve"> was not a </w:t>
      </w:r>
      <w:r w:rsidR="00E3431B">
        <w:rPr>
          <w:rFonts w:ascii="Times New Roman" w:hAnsi="Times New Roman" w:cs="Times New Roman"/>
          <w:sz w:val="24"/>
          <w:szCs w:val="24"/>
        </w:rPr>
        <w:t xml:space="preserve">court application but a </w:t>
      </w:r>
      <w:r>
        <w:rPr>
          <w:rFonts w:ascii="Times New Roman" w:hAnsi="Times New Roman" w:cs="Times New Roman"/>
          <w:sz w:val="24"/>
          <w:szCs w:val="24"/>
        </w:rPr>
        <w:t xml:space="preserve">chamber application. With respect counsel’s reading of the r 241 (1) was erroneous.  His set of rules was probably </w:t>
      </w:r>
      <w:r>
        <w:rPr>
          <w:rFonts w:ascii="Times New Roman" w:hAnsi="Times New Roman" w:cs="Times New Roman"/>
          <w:sz w:val="24"/>
          <w:szCs w:val="24"/>
        </w:rPr>
        <w:lastRenderedPageBreak/>
        <w:t xml:space="preserve">not amended in r 241 (1) otherwise the only other explanation for the </w:t>
      </w:r>
      <w:r w:rsidR="00582F52">
        <w:rPr>
          <w:rFonts w:ascii="Times New Roman" w:hAnsi="Times New Roman" w:cs="Times New Roman"/>
          <w:sz w:val="24"/>
          <w:szCs w:val="24"/>
        </w:rPr>
        <w:t>r</w:t>
      </w:r>
      <w:r>
        <w:rPr>
          <w:rFonts w:ascii="Times New Roman" w:hAnsi="Times New Roman" w:cs="Times New Roman"/>
          <w:sz w:val="24"/>
          <w:szCs w:val="24"/>
        </w:rPr>
        <w:t xml:space="preserve">eading of r 241 (1) urged upon by </w:t>
      </w:r>
      <w:r w:rsidR="00582F52">
        <w:rPr>
          <w:rFonts w:ascii="Times New Roman" w:hAnsi="Times New Roman" w:cs="Times New Roman"/>
          <w:sz w:val="24"/>
          <w:szCs w:val="24"/>
        </w:rPr>
        <w:t>him</w:t>
      </w:r>
      <w:r>
        <w:rPr>
          <w:rFonts w:ascii="Times New Roman" w:hAnsi="Times New Roman" w:cs="Times New Roman"/>
          <w:sz w:val="24"/>
          <w:szCs w:val="24"/>
        </w:rPr>
        <w:t xml:space="preserve"> betray</w:t>
      </w:r>
      <w:r w:rsidR="00582F52">
        <w:rPr>
          <w:rFonts w:ascii="Times New Roman" w:hAnsi="Times New Roman" w:cs="Times New Roman"/>
          <w:sz w:val="24"/>
          <w:szCs w:val="24"/>
        </w:rPr>
        <w:t>s</w:t>
      </w:r>
      <w:r>
        <w:rPr>
          <w:rFonts w:ascii="Times New Roman" w:hAnsi="Times New Roman" w:cs="Times New Roman"/>
          <w:sz w:val="24"/>
          <w:szCs w:val="24"/>
        </w:rPr>
        <w:t xml:space="preserve"> that he was not aware of the judgments of </w:t>
      </w:r>
      <w:r w:rsidRPr="003D0BEA">
        <w:rPr>
          <w:rFonts w:ascii="Times New Roman" w:hAnsi="Times New Roman" w:cs="Times New Roman"/>
          <w:smallCaps/>
          <w:sz w:val="24"/>
          <w:szCs w:val="24"/>
        </w:rPr>
        <w:t xml:space="preserve">Chitakunye </w:t>
      </w:r>
      <w:r>
        <w:rPr>
          <w:rFonts w:ascii="Times New Roman" w:hAnsi="Times New Roman" w:cs="Times New Roman"/>
          <w:sz w:val="24"/>
          <w:szCs w:val="24"/>
        </w:rPr>
        <w:t xml:space="preserve">and </w:t>
      </w:r>
      <w:r w:rsidRPr="003D0BEA">
        <w:rPr>
          <w:rFonts w:ascii="Times New Roman" w:hAnsi="Times New Roman" w:cs="Times New Roman"/>
          <w:smallCaps/>
          <w:sz w:val="24"/>
          <w:szCs w:val="24"/>
        </w:rPr>
        <w:t>Mafusire JJ</w:t>
      </w:r>
      <w:r>
        <w:rPr>
          <w:rFonts w:ascii="Times New Roman" w:hAnsi="Times New Roman" w:cs="Times New Roman"/>
          <w:sz w:val="24"/>
          <w:szCs w:val="24"/>
        </w:rPr>
        <w:t xml:space="preserve"> referred to him by advocate Zhuwarara. One can well appreciate </w:t>
      </w:r>
      <w:r w:rsidRPr="003D0BEA">
        <w:rPr>
          <w:rFonts w:ascii="Times New Roman" w:hAnsi="Times New Roman" w:cs="Times New Roman"/>
          <w:smallCaps/>
          <w:sz w:val="24"/>
          <w:szCs w:val="24"/>
        </w:rPr>
        <w:t>Mafusire J’s</w:t>
      </w:r>
      <w:r>
        <w:rPr>
          <w:rFonts w:ascii="Times New Roman" w:hAnsi="Times New Roman" w:cs="Times New Roman"/>
          <w:smallCaps/>
          <w:sz w:val="24"/>
          <w:szCs w:val="24"/>
        </w:rPr>
        <w:t xml:space="preserve"> </w:t>
      </w:r>
      <w:r>
        <w:rPr>
          <w:rFonts w:ascii="Times New Roman" w:hAnsi="Times New Roman" w:cs="Times New Roman"/>
          <w:sz w:val="24"/>
          <w:szCs w:val="24"/>
        </w:rPr>
        <w:t xml:space="preserve">opening remarks in the </w:t>
      </w:r>
      <w:r w:rsidRPr="003D0BEA">
        <w:rPr>
          <w:rFonts w:ascii="Times New Roman" w:hAnsi="Times New Roman" w:cs="Times New Roman"/>
          <w:i/>
          <w:sz w:val="24"/>
          <w:szCs w:val="24"/>
        </w:rPr>
        <w:t xml:space="preserve">Marick Trading P/L’s </w:t>
      </w:r>
      <w:r w:rsidRPr="003D0BEA">
        <w:rPr>
          <w:rFonts w:ascii="Times New Roman" w:hAnsi="Times New Roman" w:cs="Times New Roman"/>
          <w:sz w:val="24"/>
          <w:szCs w:val="24"/>
        </w:rPr>
        <w:t>case</w:t>
      </w:r>
      <w:r>
        <w:rPr>
          <w:rFonts w:ascii="Times New Roman" w:hAnsi="Times New Roman" w:cs="Times New Roman"/>
          <w:sz w:val="24"/>
          <w:szCs w:val="24"/>
        </w:rPr>
        <w:t xml:space="preserve"> when he said legal practitioners should keep abreast with the pronouncements from the courts. It is a duty.</w:t>
      </w:r>
    </w:p>
    <w:p w:rsidR="008608F6" w:rsidRDefault="008608F6" w:rsidP="008608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While it is correct as contented by Mr </w:t>
      </w:r>
      <w:r w:rsidRPr="00E15AFE">
        <w:rPr>
          <w:rFonts w:ascii="Times New Roman" w:hAnsi="Times New Roman" w:cs="Times New Roman"/>
          <w:i/>
          <w:sz w:val="24"/>
          <w:szCs w:val="24"/>
        </w:rPr>
        <w:t>Mushonga</w:t>
      </w:r>
      <w:r>
        <w:rPr>
          <w:rFonts w:ascii="Times New Roman" w:hAnsi="Times New Roman" w:cs="Times New Roman"/>
          <w:sz w:val="24"/>
          <w:szCs w:val="24"/>
        </w:rPr>
        <w:t xml:space="preserve"> that form 29 is for use in ordinary court applications it is also for use in those chamber applications that require to be served on interested parties. Both </w:t>
      </w:r>
      <w:r w:rsidRPr="003D0BEA">
        <w:rPr>
          <w:rFonts w:ascii="Times New Roman" w:hAnsi="Times New Roman" w:cs="Times New Roman"/>
          <w:smallCaps/>
          <w:sz w:val="24"/>
          <w:szCs w:val="24"/>
        </w:rPr>
        <w:t>Chitakunye</w:t>
      </w:r>
      <w:r>
        <w:rPr>
          <w:rFonts w:ascii="Times New Roman" w:hAnsi="Times New Roman" w:cs="Times New Roman"/>
          <w:sz w:val="24"/>
          <w:szCs w:val="24"/>
        </w:rPr>
        <w:t xml:space="preserve"> and </w:t>
      </w:r>
      <w:r w:rsidRPr="003D0BEA">
        <w:rPr>
          <w:rFonts w:ascii="Times New Roman" w:hAnsi="Times New Roman" w:cs="Times New Roman"/>
          <w:smallCaps/>
          <w:sz w:val="24"/>
          <w:szCs w:val="24"/>
        </w:rPr>
        <w:t>Mafusire JJ</w:t>
      </w:r>
      <w:r>
        <w:rPr>
          <w:rFonts w:ascii="Times New Roman" w:hAnsi="Times New Roman" w:cs="Times New Roman"/>
          <w:sz w:val="24"/>
          <w:szCs w:val="24"/>
        </w:rPr>
        <w:t xml:space="preserve"> make a pertinent observation namely that one of its (form 29) most </w:t>
      </w:r>
      <w:r w:rsidR="00582F52">
        <w:rPr>
          <w:rFonts w:ascii="Times New Roman" w:hAnsi="Times New Roman" w:cs="Times New Roman"/>
          <w:sz w:val="24"/>
          <w:szCs w:val="24"/>
        </w:rPr>
        <w:t>important</w:t>
      </w:r>
      <w:r>
        <w:rPr>
          <w:rFonts w:ascii="Times New Roman" w:hAnsi="Times New Roman" w:cs="Times New Roman"/>
          <w:sz w:val="24"/>
          <w:szCs w:val="24"/>
        </w:rPr>
        <w:t xml:space="preserve"> features is that it sets out a plethora of procedural rights. </w:t>
      </w:r>
      <w:r>
        <w:rPr>
          <w:rFonts w:ascii="Times New Roman" w:hAnsi="Times New Roman" w:cs="Times New Roman"/>
          <w:smallCaps/>
          <w:sz w:val="24"/>
          <w:szCs w:val="24"/>
        </w:rPr>
        <w:t>mafusire j</w:t>
      </w:r>
      <w:r>
        <w:rPr>
          <w:rFonts w:ascii="Times New Roman" w:hAnsi="Times New Roman" w:cs="Times New Roman"/>
          <w:sz w:val="24"/>
          <w:szCs w:val="24"/>
        </w:rPr>
        <w:t xml:space="preserve"> additionally observes that it alerts the respondent of those rights and warns the respondent of the consequences of failure to observe those procedural rights. I dare add that whilst the procedure for barring does not apply in urgent applications in </w:t>
      </w:r>
      <w:r w:rsidR="00582F52">
        <w:rPr>
          <w:rFonts w:ascii="Times New Roman" w:hAnsi="Times New Roman" w:cs="Times New Roman"/>
          <w:sz w:val="24"/>
          <w:szCs w:val="24"/>
        </w:rPr>
        <w:t>making</w:t>
      </w:r>
      <w:r w:rsidR="005A409C">
        <w:rPr>
          <w:rFonts w:ascii="Times New Roman" w:hAnsi="Times New Roman" w:cs="Times New Roman"/>
          <w:sz w:val="24"/>
          <w:szCs w:val="24"/>
        </w:rPr>
        <w:t xml:space="preserve"> the necessary adjustments to form</w:t>
      </w:r>
      <w:r>
        <w:rPr>
          <w:rFonts w:ascii="Times New Roman" w:hAnsi="Times New Roman" w:cs="Times New Roman"/>
          <w:sz w:val="24"/>
          <w:szCs w:val="24"/>
        </w:rPr>
        <w:t xml:space="preserve"> 29 the other procedural rights will need to be provided for as appropriate.</w:t>
      </w:r>
    </w:p>
    <w:p w:rsidR="008608F6" w:rsidRDefault="008608F6" w:rsidP="008608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observed above in the absence of condonation of the failure to comply with r 241 (1) as aforesaid the application is fatally defective. Had the applicant not been adamant that they had complied with the rules the applicant would </w:t>
      </w:r>
      <w:r w:rsidR="00582F52">
        <w:rPr>
          <w:rFonts w:ascii="Times New Roman" w:hAnsi="Times New Roman" w:cs="Times New Roman"/>
          <w:sz w:val="24"/>
          <w:szCs w:val="24"/>
        </w:rPr>
        <w:t xml:space="preserve">have </w:t>
      </w:r>
      <w:r>
        <w:rPr>
          <w:rFonts w:ascii="Times New Roman" w:hAnsi="Times New Roman" w:cs="Times New Roman"/>
          <w:sz w:val="24"/>
          <w:szCs w:val="24"/>
        </w:rPr>
        <w:t>been advised to seek condonation. Regrettably the applicant’s counsel was dismissive of the objection</w:t>
      </w:r>
      <w:r w:rsidR="00582F52">
        <w:rPr>
          <w:rFonts w:ascii="Times New Roman" w:hAnsi="Times New Roman" w:cs="Times New Roman"/>
          <w:sz w:val="24"/>
          <w:szCs w:val="24"/>
        </w:rPr>
        <w:t xml:space="preserve"> taken by the respondent’s counsel</w:t>
      </w:r>
      <w:r>
        <w:rPr>
          <w:rFonts w:ascii="Times New Roman" w:hAnsi="Times New Roman" w:cs="Times New Roman"/>
          <w:sz w:val="24"/>
          <w:szCs w:val="24"/>
        </w:rPr>
        <w:t xml:space="preserve">. What triggers the exercise of the court or judge’s discretion to grant condonation is the application for condonation. The court or a judge does not consider condonation </w:t>
      </w:r>
      <w:r w:rsidRPr="00E15AFE">
        <w:rPr>
          <w:rFonts w:ascii="Times New Roman" w:hAnsi="Times New Roman" w:cs="Times New Roman"/>
          <w:i/>
          <w:sz w:val="24"/>
          <w:szCs w:val="24"/>
        </w:rPr>
        <w:t>mero motu</w:t>
      </w:r>
      <w:r>
        <w:rPr>
          <w:rFonts w:ascii="Times New Roman" w:hAnsi="Times New Roman" w:cs="Times New Roman"/>
          <w:sz w:val="24"/>
          <w:szCs w:val="24"/>
        </w:rPr>
        <w:t>. A party has to move it for such relief.</w:t>
      </w:r>
    </w:p>
    <w:p w:rsidR="008608F6" w:rsidRDefault="008608F6" w:rsidP="008608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attitude has not really been helpful to its cause as it has persisted with a position untenable. It has made its bed of roses and must therefore lie on it. There being no application before </w:t>
      </w:r>
      <w:r w:rsidR="00582F52">
        <w:rPr>
          <w:rFonts w:ascii="Times New Roman" w:hAnsi="Times New Roman" w:cs="Times New Roman"/>
          <w:sz w:val="24"/>
          <w:szCs w:val="24"/>
        </w:rPr>
        <w:t>me</w:t>
      </w:r>
      <w:r>
        <w:rPr>
          <w:rFonts w:ascii="Times New Roman" w:hAnsi="Times New Roman" w:cs="Times New Roman"/>
          <w:sz w:val="24"/>
          <w:szCs w:val="24"/>
        </w:rPr>
        <w:t xml:space="preserve"> the application must simply be struck off the roll with the applicants paying the wa</w:t>
      </w:r>
      <w:r w:rsidR="005A409C">
        <w:rPr>
          <w:rFonts w:ascii="Times New Roman" w:hAnsi="Times New Roman" w:cs="Times New Roman"/>
          <w:sz w:val="24"/>
          <w:szCs w:val="24"/>
        </w:rPr>
        <w:t xml:space="preserve">sted </w:t>
      </w:r>
      <w:r>
        <w:rPr>
          <w:rFonts w:ascii="Times New Roman" w:hAnsi="Times New Roman" w:cs="Times New Roman"/>
          <w:sz w:val="24"/>
          <w:szCs w:val="24"/>
        </w:rPr>
        <w:t>costs.</w:t>
      </w:r>
    </w:p>
    <w:p w:rsidR="00582F52" w:rsidRDefault="008608F6" w:rsidP="008608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light of the conclusion I have reached on this point </w:t>
      </w:r>
      <w:r w:rsidRPr="003D0BEA">
        <w:rPr>
          <w:rFonts w:ascii="Times New Roman" w:hAnsi="Times New Roman" w:cs="Times New Roman"/>
          <w:i/>
          <w:sz w:val="24"/>
          <w:szCs w:val="24"/>
        </w:rPr>
        <w:t>in limine</w:t>
      </w:r>
      <w:r>
        <w:rPr>
          <w:rFonts w:ascii="Times New Roman" w:hAnsi="Times New Roman" w:cs="Times New Roman"/>
          <w:sz w:val="24"/>
          <w:szCs w:val="24"/>
        </w:rPr>
        <w:t xml:space="preserve"> there will be no need to determine the other points </w:t>
      </w:r>
      <w:r w:rsidRPr="00E15AFE">
        <w:rPr>
          <w:rFonts w:ascii="Times New Roman" w:hAnsi="Times New Roman" w:cs="Times New Roman"/>
          <w:i/>
          <w:sz w:val="24"/>
          <w:szCs w:val="24"/>
        </w:rPr>
        <w:t>in limine</w:t>
      </w:r>
      <w:r>
        <w:rPr>
          <w:rFonts w:ascii="Times New Roman" w:hAnsi="Times New Roman" w:cs="Times New Roman"/>
          <w:sz w:val="24"/>
          <w:szCs w:val="24"/>
        </w:rPr>
        <w:t xml:space="preserve"> taken. In the circumstances it is ordered that</w:t>
      </w:r>
      <w:r w:rsidR="00582F52">
        <w:rPr>
          <w:rFonts w:ascii="Times New Roman" w:hAnsi="Times New Roman" w:cs="Times New Roman"/>
          <w:sz w:val="24"/>
          <w:szCs w:val="24"/>
        </w:rPr>
        <w:t>:</w:t>
      </w:r>
      <w:r>
        <w:rPr>
          <w:rFonts w:ascii="Times New Roman" w:hAnsi="Times New Roman" w:cs="Times New Roman"/>
          <w:sz w:val="24"/>
          <w:szCs w:val="24"/>
        </w:rPr>
        <w:t xml:space="preserve"> </w:t>
      </w:r>
    </w:p>
    <w:p w:rsidR="00582F52" w:rsidRDefault="008608F6" w:rsidP="00582F52">
      <w:pPr>
        <w:pStyle w:val="ListParagraph"/>
        <w:numPr>
          <w:ilvl w:val="0"/>
          <w:numId w:val="2"/>
        </w:numPr>
        <w:spacing w:after="0" w:line="360" w:lineRule="auto"/>
        <w:jc w:val="both"/>
        <w:rPr>
          <w:rFonts w:ascii="Times New Roman" w:hAnsi="Times New Roman" w:cs="Times New Roman"/>
          <w:sz w:val="24"/>
          <w:szCs w:val="24"/>
        </w:rPr>
      </w:pPr>
      <w:r w:rsidRPr="00582F52">
        <w:rPr>
          <w:rFonts w:ascii="Times New Roman" w:hAnsi="Times New Roman" w:cs="Times New Roman"/>
          <w:sz w:val="24"/>
          <w:szCs w:val="24"/>
        </w:rPr>
        <w:t xml:space="preserve">the application </w:t>
      </w:r>
      <w:r w:rsidR="00582F52" w:rsidRPr="00582F52">
        <w:rPr>
          <w:rFonts w:ascii="Times New Roman" w:hAnsi="Times New Roman" w:cs="Times New Roman"/>
          <w:sz w:val="24"/>
          <w:szCs w:val="24"/>
        </w:rPr>
        <w:t xml:space="preserve">be </w:t>
      </w:r>
      <w:r w:rsidRPr="00582F52">
        <w:rPr>
          <w:rFonts w:ascii="Times New Roman" w:hAnsi="Times New Roman" w:cs="Times New Roman"/>
          <w:sz w:val="24"/>
          <w:szCs w:val="24"/>
        </w:rPr>
        <w:t xml:space="preserve">and is hereby struck off the roll. </w:t>
      </w:r>
    </w:p>
    <w:p w:rsidR="008608F6" w:rsidRPr="00582F52" w:rsidRDefault="00582F52" w:rsidP="00582F5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8608F6" w:rsidRPr="00582F52">
        <w:rPr>
          <w:rFonts w:ascii="Times New Roman" w:hAnsi="Times New Roman" w:cs="Times New Roman"/>
          <w:sz w:val="24"/>
          <w:szCs w:val="24"/>
        </w:rPr>
        <w:t>he applicants bear the respondents</w:t>
      </w:r>
      <w:r w:rsidR="005A409C">
        <w:rPr>
          <w:rFonts w:ascii="Times New Roman" w:hAnsi="Times New Roman" w:cs="Times New Roman"/>
          <w:sz w:val="24"/>
          <w:szCs w:val="24"/>
        </w:rPr>
        <w:t>’</w:t>
      </w:r>
      <w:r w:rsidR="008608F6" w:rsidRPr="00582F52">
        <w:rPr>
          <w:rFonts w:ascii="Times New Roman" w:hAnsi="Times New Roman" w:cs="Times New Roman"/>
          <w:sz w:val="24"/>
          <w:szCs w:val="24"/>
        </w:rPr>
        <w:t xml:space="preserve"> costs jointly and severally the one paying the other to be absolved. </w:t>
      </w:r>
    </w:p>
    <w:p w:rsidR="009971E3" w:rsidRDefault="009971E3" w:rsidP="008608F6">
      <w:pPr>
        <w:spacing w:after="0" w:line="360" w:lineRule="auto"/>
        <w:jc w:val="both"/>
        <w:rPr>
          <w:rFonts w:ascii="Times New Roman" w:hAnsi="Times New Roman" w:cs="Times New Roman"/>
          <w:sz w:val="24"/>
          <w:szCs w:val="24"/>
        </w:rPr>
      </w:pPr>
    </w:p>
    <w:p w:rsidR="00582F52" w:rsidRDefault="00582F52" w:rsidP="008608F6">
      <w:pPr>
        <w:spacing w:after="0" w:line="360" w:lineRule="auto"/>
        <w:jc w:val="both"/>
        <w:rPr>
          <w:rFonts w:ascii="Times New Roman" w:hAnsi="Times New Roman" w:cs="Times New Roman"/>
          <w:sz w:val="24"/>
          <w:szCs w:val="24"/>
        </w:rPr>
      </w:pPr>
    </w:p>
    <w:p w:rsidR="00582F52" w:rsidRDefault="00582F52" w:rsidP="008608F6">
      <w:pPr>
        <w:spacing w:after="0" w:line="360" w:lineRule="auto"/>
        <w:jc w:val="both"/>
        <w:rPr>
          <w:rFonts w:ascii="Times New Roman" w:hAnsi="Times New Roman" w:cs="Times New Roman"/>
          <w:sz w:val="24"/>
          <w:szCs w:val="24"/>
        </w:rPr>
      </w:pPr>
    </w:p>
    <w:p w:rsidR="00582F52" w:rsidRDefault="00582F52" w:rsidP="008608F6">
      <w:pPr>
        <w:spacing w:after="0" w:line="360" w:lineRule="auto"/>
        <w:jc w:val="both"/>
        <w:rPr>
          <w:rFonts w:ascii="Times New Roman" w:hAnsi="Times New Roman" w:cs="Times New Roman"/>
          <w:sz w:val="24"/>
          <w:szCs w:val="24"/>
        </w:rPr>
      </w:pPr>
    </w:p>
    <w:p w:rsidR="009971E3" w:rsidRDefault="009971E3" w:rsidP="009971E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Mushonga Mutsvairo &amp; Associates, </w:t>
      </w:r>
      <w:r>
        <w:rPr>
          <w:rFonts w:ascii="Times New Roman" w:hAnsi="Times New Roman" w:cs="Times New Roman"/>
          <w:sz w:val="24"/>
          <w:szCs w:val="24"/>
        </w:rPr>
        <w:t>applicants’ legal practitioners</w:t>
      </w:r>
    </w:p>
    <w:p w:rsidR="009971E3" w:rsidRPr="009971E3" w:rsidRDefault="009971E3" w:rsidP="009971E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Danziger &amp; Partners, </w:t>
      </w:r>
      <w:r>
        <w:rPr>
          <w:rFonts w:ascii="Times New Roman" w:hAnsi="Times New Roman" w:cs="Times New Roman"/>
          <w:sz w:val="24"/>
          <w:szCs w:val="24"/>
        </w:rPr>
        <w:t>1</w:t>
      </w:r>
      <w:r w:rsidRPr="009971E3">
        <w:rPr>
          <w:rFonts w:ascii="Times New Roman" w:hAnsi="Times New Roman" w:cs="Times New Roman"/>
          <w:sz w:val="24"/>
          <w:szCs w:val="24"/>
          <w:vertAlign w:val="superscript"/>
        </w:rPr>
        <w:t>st</w:t>
      </w:r>
      <w:r>
        <w:rPr>
          <w:rFonts w:ascii="Times New Roman" w:hAnsi="Times New Roman" w:cs="Times New Roman"/>
          <w:sz w:val="24"/>
          <w:szCs w:val="24"/>
        </w:rPr>
        <w:t xml:space="preserve"> to 8</w:t>
      </w:r>
      <w:r w:rsidRPr="009971E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p w:rsidR="00F62E64" w:rsidRDefault="00707095" w:rsidP="00F62E64">
      <w:pPr>
        <w:spacing w:after="0" w:line="240" w:lineRule="auto"/>
        <w:jc w:val="both"/>
        <w:rPr>
          <w:rFonts w:ascii="Times New Roman" w:hAnsi="Times New Roman" w:cs="Times New Roman"/>
          <w:b/>
          <w:sz w:val="24"/>
          <w:szCs w:val="24"/>
        </w:rPr>
      </w:pPr>
      <w:r w:rsidRPr="00707095">
        <w:rPr>
          <w:rFonts w:ascii="Times New Roman" w:hAnsi="Times New Roman" w:cs="Times New Roman"/>
          <w:i/>
          <w:sz w:val="24"/>
          <w:szCs w:val="24"/>
        </w:rPr>
        <w:t>Civil Division of Attorney General’s Office</w:t>
      </w:r>
      <w:r w:rsidRPr="00707095">
        <w:rPr>
          <w:rFonts w:ascii="Times New Roman" w:hAnsi="Times New Roman" w:cs="Times New Roman"/>
          <w:sz w:val="24"/>
          <w:szCs w:val="24"/>
        </w:rPr>
        <w:t>,</w:t>
      </w:r>
      <w:r>
        <w:rPr>
          <w:rFonts w:ascii="Times New Roman" w:hAnsi="Times New Roman" w:cs="Times New Roman"/>
          <w:b/>
          <w:sz w:val="24"/>
          <w:szCs w:val="24"/>
        </w:rPr>
        <w:t xml:space="preserve"> </w:t>
      </w:r>
      <w:r w:rsidRPr="00707095">
        <w:rPr>
          <w:rFonts w:ascii="Times New Roman" w:hAnsi="Times New Roman" w:cs="Times New Roman"/>
          <w:sz w:val="24"/>
          <w:szCs w:val="24"/>
        </w:rPr>
        <w:t>9</w:t>
      </w:r>
      <w:r w:rsidRPr="00707095">
        <w:rPr>
          <w:rFonts w:ascii="Times New Roman" w:hAnsi="Times New Roman" w:cs="Times New Roman"/>
          <w:sz w:val="24"/>
          <w:szCs w:val="24"/>
          <w:vertAlign w:val="superscript"/>
        </w:rPr>
        <w:t>th</w:t>
      </w:r>
      <w:r w:rsidRPr="00707095">
        <w:rPr>
          <w:rFonts w:ascii="Times New Roman" w:hAnsi="Times New Roman" w:cs="Times New Roman"/>
          <w:sz w:val="24"/>
          <w:szCs w:val="24"/>
        </w:rPr>
        <w:t xml:space="preserve"> &amp; 10</w:t>
      </w:r>
      <w:r w:rsidRPr="00707095">
        <w:rPr>
          <w:rFonts w:ascii="Times New Roman" w:hAnsi="Times New Roman" w:cs="Times New Roman"/>
          <w:sz w:val="24"/>
          <w:szCs w:val="24"/>
          <w:vertAlign w:val="superscript"/>
        </w:rPr>
        <w:t>th</w:t>
      </w:r>
      <w:r w:rsidRPr="00707095">
        <w:rPr>
          <w:rFonts w:ascii="Times New Roman" w:hAnsi="Times New Roman" w:cs="Times New Roman"/>
          <w:sz w:val="24"/>
          <w:szCs w:val="24"/>
        </w:rPr>
        <w:t xml:space="preserve"> respondent’s legal practitioners</w:t>
      </w:r>
    </w:p>
    <w:p w:rsidR="00F62E64" w:rsidRPr="00F62E64" w:rsidRDefault="00F62E64" w:rsidP="00F62E64">
      <w:pPr>
        <w:spacing w:after="0" w:line="240" w:lineRule="auto"/>
        <w:jc w:val="both"/>
        <w:rPr>
          <w:rFonts w:ascii="Times New Roman" w:hAnsi="Times New Roman" w:cs="Times New Roman"/>
          <w:b/>
          <w:sz w:val="24"/>
          <w:szCs w:val="24"/>
        </w:rPr>
      </w:pPr>
    </w:p>
    <w:sectPr w:rsidR="00F62E64" w:rsidRPr="00F62E6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D0B" w:rsidRDefault="00965D0B" w:rsidP="00EF5090">
      <w:pPr>
        <w:spacing w:after="0" w:line="240" w:lineRule="auto"/>
      </w:pPr>
      <w:r>
        <w:separator/>
      </w:r>
    </w:p>
  </w:endnote>
  <w:endnote w:type="continuationSeparator" w:id="0">
    <w:p w:rsidR="00965D0B" w:rsidRDefault="00965D0B" w:rsidP="00EF5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D0B" w:rsidRDefault="00965D0B" w:rsidP="00EF5090">
      <w:pPr>
        <w:spacing w:after="0" w:line="240" w:lineRule="auto"/>
      </w:pPr>
      <w:r>
        <w:separator/>
      </w:r>
    </w:p>
  </w:footnote>
  <w:footnote w:type="continuationSeparator" w:id="0">
    <w:p w:rsidR="00965D0B" w:rsidRDefault="00965D0B" w:rsidP="00EF50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983636"/>
      <w:docPartObj>
        <w:docPartGallery w:val="Page Numbers (Top of Page)"/>
        <w:docPartUnique/>
      </w:docPartObj>
    </w:sdtPr>
    <w:sdtEndPr>
      <w:rPr>
        <w:noProof/>
      </w:rPr>
    </w:sdtEndPr>
    <w:sdtContent>
      <w:p w:rsidR="00EF5090" w:rsidRDefault="00EF5090">
        <w:pPr>
          <w:pStyle w:val="Header"/>
          <w:jc w:val="right"/>
          <w:rPr>
            <w:noProof/>
          </w:rPr>
        </w:pPr>
        <w:r>
          <w:fldChar w:fldCharType="begin"/>
        </w:r>
        <w:r>
          <w:instrText xml:space="preserve"> PAGE   \* MERGEFORMAT </w:instrText>
        </w:r>
        <w:r>
          <w:fldChar w:fldCharType="separate"/>
        </w:r>
        <w:r w:rsidR="00BB14A8">
          <w:rPr>
            <w:noProof/>
          </w:rPr>
          <w:t>1</w:t>
        </w:r>
        <w:r>
          <w:rPr>
            <w:noProof/>
          </w:rPr>
          <w:fldChar w:fldCharType="end"/>
        </w:r>
      </w:p>
      <w:p w:rsidR="00EF5090" w:rsidRDefault="00EF5090">
        <w:pPr>
          <w:pStyle w:val="Header"/>
          <w:jc w:val="right"/>
          <w:rPr>
            <w:noProof/>
          </w:rPr>
        </w:pPr>
        <w:r>
          <w:rPr>
            <w:noProof/>
          </w:rPr>
          <w:t>HH</w:t>
        </w:r>
        <w:r w:rsidR="009169D6">
          <w:rPr>
            <w:noProof/>
          </w:rPr>
          <w:t xml:space="preserve"> </w:t>
        </w:r>
        <w:r w:rsidR="005314D7">
          <w:rPr>
            <w:noProof/>
          </w:rPr>
          <w:t>29</w:t>
        </w:r>
        <w:r w:rsidR="009169D6">
          <w:rPr>
            <w:noProof/>
          </w:rPr>
          <w:t>-17</w:t>
        </w:r>
      </w:p>
      <w:p w:rsidR="00B2743A" w:rsidRDefault="00B2743A">
        <w:pPr>
          <w:pStyle w:val="Header"/>
          <w:jc w:val="right"/>
          <w:rPr>
            <w:noProof/>
          </w:rPr>
        </w:pPr>
        <w:r>
          <w:rPr>
            <w:noProof/>
          </w:rPr>
          <w:t>HC 12943/16</w:t>
        </w:r>
      </w:p>
      <w:p w:rsidR="00B2743A" w:rsidRDefault="00B2743A">
        <w:pPr>
          <w:pStyle w:val="Header"/>
          <w:jc w:val="right"/>
          <w:rPr>
            <w:noProof/>
          </w:rPr>
        </w:pPr>
        <w:r>
          <w:rPr>
            <w:noProof/>
          </w:rPr>
          <w:t>Ref HC 3499/14</w:t>
        </w:r>
      </w:p>
      <w:p w:rsidR="00B2743A" w:rsidRDefault="00B2743A">
        <w:pPr>
          <w:pStyle w:val="Header"/>
          <w:jc w:val="right"/>
          <w:rPr>
            <w:noProof/>
          </w:rPr>
        </w:pPr>
        <w:r>
          <w:rPr>
            <w:noProof/>
          </w:rPr>
          <w:t>Ref HH 425/14</w:t>
        </w:r>
      </w:p>
      <w:p w:rsidR="00B2743A" w:rsidRDefault="00B2743A">
        <w:pPr>
          <w:pStyle w:val="Header"/>
          <w:jc w:val="right"/>
          <w:rPr>
            <w:noProof/>
          </w:rPr>
        </w:pPr>
        <w:r>
          <w:rPr>
            <w:noProof/>
          </w:rPr>
          <w:t>Ref SC 409/15</w:t>
        </w:r>
      </w:p>
      <w:p w:rsidR="00B2743A" w:rsidRDefault="00B2743A">
        <w:pPr>
          <w:pStyle w:val="Header"/>
          <w:jc w:val="right"/>
          <w:rPr>
            <w:noProof/>
          </w:rPr>
        </w:pPr>
        <w:r>
          <w:rPr>
            <w:noProof/>
          </w:rPr>
          <w:t>Ref SC 275/16</w:t>
        </w:r>
      </w:p>
      <w:p w:rsidR="00EF5090" w:rsidRDefault="00B2743A">
        <w:pPr>
          <w:pStyle w:val="Header"/>
          <w:jc w:val="right"/>
        </w:pPr>
        <w:r>
          <w:rPr>
            <w:noProof/>
          </w:rPr>
          <w:t xml:space="preserve">Ref SC 699/6 </w:t>
        </w:r>
      </w:p>
    </w:sdtContent>
  </w:sdt>
  <w:p w:rsidR="00EF5090" w:rsidRDefault="00EF50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D7BC1"/>
    <w:multiLevelType w:val="hybridMultilevel"/>
    <w:tmpl w:val="9926EC54"/>
    <w:lvl w:ilvl="0" w:tplc="DC2E86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9255004"/>
    <w:multiLevelType w:val="hybridMultilevel"/>
    <w:tmpl w:val="22D83A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64"/>
    <w:rsid w:val="00033F60"/>
    <w:rsid w:val="000543D8"/>
    <w:rsid w:val="001B6FE6"/>
    <w:rsid w:val="002F7FB2"/>
    <w:rsid w:val="00380D73"/>
    <w:rsid w:val="004437A5"/>
    <w:rsid w:val="004D0F5C"/>
    <w:rsid w:val="005314D7"/>
    <w:rsid w:val="00582F52"/>
    <w:rsid w:val="005A409C"/>
    <w:rsid w:val="00707095"/>
    <w:rsid w:val="008608F6"/>
    <w:rsid w:val="008F45A1"/>
    <w:rsid w:val="009169D6"/>
    <w:rsid w:val="00965D0B"/>
    <w:rsid w:val="009971E3"/>
    <w:rsid w:val="00A729B8"/>
    <w:rsid w:val="00A8680C"/>
    <w:rsid w:val="00B2743A"/>
    <w:rsid w:val="00BB14A8"/>
    <w:rsid w:val="00BE13D9"/>
    <w:rsid w:val="00CA1677"/>
    <w:rsid w:val="00CB7E32"/>
    <w:rsid w:val="00CE3834"/>
    <w:rsid w:val="00D71572"/>
    <w:rsid w:val="00DE1B02"/>
    <w:rsid w:val="00E3431B"/>
    <w:rsid w:val="00EC7A37"/>
    <w:rsid w:val="00EF5090"/>
    <w:rsid w:val="00F47A23"/>
    <w:rsid w:val="00F62E64"/>
    <w:rsid w:val="00F9537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834"/>
    <w:pPr>
      <w:ind w:left="720"/>
      <w:contextualSpacing/>
    </w:pPr>
  </w:style>
  <w:style w:type="paragraph" w:styleId="Header">
    <w:name w:val="header"/>
    <w:basedOn w:val="Normal"/>
    <w:link w:val="HeaderChar"/>
    <w:uiPriority w:val="99"/>
    <w:unhideWhenUsed/>
    <w:rsid w:val="00EF50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090"/>
  </w:style>
  <w:style w:type="paragraph" w:styleId="Footer">
    <w:name w:val="footer"/>
    <w:basedOn w:val="Normal"/>
    <w:link w:val="FooterChar"/>
    <w:uiPriority w:val="99"/>
    <w:unhideWhenUsed/>
    <w:rsid w:val="00EF5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834"/>
    <w:pPr>
      <w:ind w:left="720"/>
      <w:contextualSpacing/>
    </w:pPr>
  </w:style>
  <w:style w:type="paragraph" w:styleId="Header">
    <w:name w:val="header"/>
    <w:basedOn w:val="Normal"/>
    <w:link w:val="HeaderChar"/>
    <w:uiPriority w:val="99"/>
    <w:unhideWhenUsed/>
    <w:rsid w:val="00EF50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090"/>
  </w:style>
  <w:style w:type="paragraph" w:styleId="Footer">
    <w:name w:val="footer"/>
    <w:basedOn w:val="Normal"/>
    <w:link w:val="FooterChar"/>
    <w:uiPriority w:val="99"/>
    <w:unhideWhenUsed/>
    <w:rsid w:val="00EF5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2017-01-17T08:30:00Z</cp:lastPrinted>
  <dcterms:created xsi:type="dcterms:W3CDTF">2017-01-20T13:56:00Z</dcterms:created>
  <dcterms:modified xsi:type="dcterms:W3CDTF">2017-01-20T13:56:00Z</dcterms:modified>
</cp:coreProperties>
</file>