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1FA2" w14:textId="59BB1697" w:rsidR="0030115E" w:rsidRDefault="0030115E" w:rsidP="0030115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JOSHUA KACHASU </w:t>
      </w:r>
    </w:p>
    <w:p w14:paraId="3329469F" w14:textId="77777777"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33D42C" w14:textId="5511981F"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SUNNINGDALE 2 MEDICAL CENTRE</w:t>
      </w:r>
    </w:p>
    <w:p w14:paraId="3B2E3C85" w14:textId="77777777" w:rsidR="0030115E" w:rsidRDefault="0030115E" w:rsidP="0030115E">
      <w:pPr>
        <w:spacing w:after="0" w:line="240" w:lineRule="auto"/>
        <w:jc w:val="both"/>
        <w:rPr>
          <w:rFonts w:ascii="Times New Roman" w:hAnsi="Times New Roman" w:cs="Times New Roman"/>
          <w:sz w:val="24"/>
          <w:szCs w:val="24"/>
        </w:rPr>
      </w:pPr>
    </w:p>
    <w:p w14:paraId="1807A716" w14:textId="77777777" w:rsidR="0030115E" w:rsidRDefault="0030115E" w:rsidP="0030115E">
      <w:pPr>
        <w:spacing w:line="240" w:lineRule="auto"/>
        <w:jc w:val="both"/>
        <w:rPr>
          <w:rFonts w:ascii="Times New Roman" w:hAnsi="Times New Roman" w:cs="Times New Roman"/>
          <w:sz w:val="24"/>
          <w:szCs w:val="24"/>
        </w:rPr>
      </w:pPr>
    </w:p>
    <w:p w14:paraId="175F589B" w14:textId="77777777"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FD6E3C3" w14:textId="77777777" w:rsidR="0030115E" w:rsidRPr="0030115E" w:rsidRDefault="0030115E" w:rsidP="0030115E">
      <w:pPr>
        <w:spacing w:after="0" w:line="240" w:lineRule="auto"/>
        <w:jc w:val="both"/>
        <w:rPr>
          <w:rFonts w:ascii="Times New Roman" w:hAnsi="Times New Roman" w:cs="Times New Roman"/>
          <w:b/>
          <w:bCs/>
          <w:sz w:val="24"/>
          <w:szCs w:val="24"/>
        </w:rPr>
      </w:pPr>
      <w:r w:rsidRPr="0030115E">
        <w:rPr>
          <w:rFonts w:ascii="Times New Roman" w:hAnsi="Times New Roman" w:cs="Times New Roman"/>
          <w:b/>
          <w:bCs/>
          <w:sz w:val="24"/>
          <w:szCs w:val="24"/>
        </w:rPr>
        <w:t>TAKUVA J</w:t>
      </w:r>
    </w:p>
    <w:p w14:paraId="31EC852F" w14:textId="6AFB63DB"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11 March &amp; </w:t>
      </w:r>
      <w:r w:rsidR="008E69BA">
        <w:rPr>
          <w:rFonts w:ascii="Times New Roman" w:hAnsi="Times New Roman" w:cs="Times New Roman"/>
          <w:sz w:val="24"/>
          <w:szCs w:val="24"/>
        </w:rPr>
        <w:t>27</w:t>
      </w:r>
      <w:r>
        <w:rPr>
          <w:rFonts w:ascii="Times New Roman" w:hAnsi="Times New Roman" w:cs="Times New Roman"/>
          <w:sz w:val="24"/>
          <w:szCs w:val="24"/>
        </w:rPr>
        <w:t xml:space="preserve"> November 2024</w:t>
      </w:r>
    </w:p>
    <w:p w14:paraId="1D4E048F" w14:textId="77777777" w:rsidR="0030115E" w:rsidRDefault="0030115E" w:rsidP="0030115E">
      <w:pPr>
        <w:spacing w:after="0" w:line="240" w:lineRule="auto"/>
        <w:jc w:val="both"/>
        <w:rPr>
          <w:rFonts w:ascii="Times New Roman" w:hAnsi="Times New Roman" w:cs="Times New Roman"/>
          <w:sz w:val="24"/>
          <w:szCs w:val="24"/>
        </w:rPr>
      </w:pPr>
    </w:p>
    <w:p w14:paraId="59BE31A4" w14:textId="77777777" w:rsidR="0030115E" w:rsidRDefault="0030115E" w:rsidP="0030115E">
      <w:pPr>
        <w:spacing w:line="240" w:lineRule="auto"/>
        <w:jc w:val="both"/>
        <w:rPr>
          <w:rFonts w:ascii="Times New Roman" w:hAnsi="Times New Roman" w:cs="Times New Roman"/>
          <w:sz w:val="24"/>
          <w:szCs w:val="24"/>
        </w:rPr>
      </w:pPr>
    </w:p>
    <w:p w14:paraId="70834B0C" w14:textId="72F71CC1" w:rsidR="0030115E" w:rsidRDefault="0030115E" w:rsidP="0030115E">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Court Applicant</w:t>
      </w:r>
    </w:p>
    <w:p w14:paraId="77E30FD4" w14:textId="77777777" w:rsidR="0030115E" w:rsidRDefault="0030115E" w:rsidP="0030115E">
      <w:pPr>
        <w:spacing w:line="240" w:lineRule="auto"/>
        <w:jc w:val="both"/>
        <w:rPr>
          <w:rFonts w:ascii="Times New Roman" w:hAnsi="Times New Roman" w:cs="Times New Roman"/>
          <w:b/>
          <w:sz w:val="24"/>
          <w:szCs w:val="24"/>
        </w:rPr>
      </w:pPr>
    </w:p>
    <w:p w14:paraId="5CE33D9D" w14:textId="4F7472C8"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K Masasike</w:t>
      </w:r>
      <w:r>
        <w:rPr>
          <w:rFonts w:ascii="Times New Roman" w:hAnsi="Times New Roman" w:cs="Times New Roman"/>
          <w:sz w:val="24"/>
          <w:szCs w:val="24"/>
        </w:rPr>
        <w:t>, for the applicant</w:t>
      </w:r>
    </w:p>
    <w:p w14:paraId="14BF84C8" w14:textId="56E3B8F5" w:rsidR="0030115E" w:rsidRDefault="0030115E" w:rsidP="003011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Shonai</w:t>
      </w:r>
      <w:r>
        <w:rPr>
          <w:rFonts w:ascii="Times New Roman" w:hAnsi="Times New Roman" w:cs="Times New Roman"/>
          <w:sz w:val="24"/>
          <w:szCs w:val="24"/>
        </w:rPr>
        <w:t xml:space="preserve">, for the respondent </w:t>
      </w:r>
    </w:p>
    <w:p w14:paraId="1255B0D8" w14:textId="77777777" w:rsidR="0030115E" w:rsidRPr="00F90829" w:rsidRDefault="0030115E" w:rsidP="0030115E">
      <w:pPr>
        <w:spacing w:after="0" w:line="240" w:lineRule="auto"/>
        <w:jc w:val="both"/>
        <w:rPr>
          <w:rFonts w:ascii="Times New Roman" w:hAnsi="Times New Roman" w:cs="Times New Roman"/>
          <w:sz w:val="24"/>
          <w:szCs w:val="24"/>
        </w:rPr>
      </w:pPr>
    </w:p>
    <w:p w14:paraId="7C6E0D2E" w14:textId="77777777" w:rsidR="0030115E" w:rsidRDefault="0030115E" w:rsidP="0030115E">
      <w:pPr>
        <w:spacing w:line="240" w:lineRule="auto"/>
        <w:jc w:val="both"/>
        <w:rPr>
          <w:rFonts w:ascii="Times New Roman" w:hAnsi="Times New Roman" w:cs="Times New Roman"/>
          <w:sz w:val="24"/>
          <w:szCs w:val="24"/>
        </w:rPr>
      </w:pPr>
    </w:p>
    <w:p w14:paraId="24FC9F30" w14:textId="77777777" w:rsidR="0030115E" w:rsidRDefault="0030115E" w:rsidP="003011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w:t>
      </w:r>
    </w:p>
    <w:p w14:paraId="775FF611" w14:textId="504B5809" w:rsidR="0030115E" w:rsidRDefault="0030115E" w:rsidP="003011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court application for summary judgment in terms of Rule 30(1)(2) of the High Court Rule 2021.</w:t>
      </w:r>
    </w:p>
    <w:p w14:paraId="3963A298" w14:textId="7384B117" w:rsidR="0030115E" w:rsidRPr="001C43EA" w:rsidRDefault="0030115E" w:rsidP="0030115E">
      <w:pPr>
        <w:spacing w:line="360" w:lineRule="auto"/>
        <w:ind w:firstLine="720"/>
        <w:jc w:val="both"/>
        <w:rPr>
          <w:rFonts w:ascii="Times New Roman" w:hAnsi="Times New Roman" w:cs="Times New Roman"/>
          <w:sz w:val="24"/>
          <w:szCs w:val="24"/>
          <w:u w:val="single"/>
        </w:rPr>
      </w:pPr>
      <w:r w:rsidRPr="001C43EA">
        <w:rPr>
          <w:rFonts w:ascii="Times New Roman" w:hAnsi="Times New Roman" w:cs="Times New Roman"/>
          <w:sz w:val="24"/>
          <w:szCs w:val="24"/>
          <w:u w:val="single"/>
        </w:rPr>
        <w:t>BACKGROUND FACTS</w:t>
      </w:r>
    </w:p>
    <w:p w14:paraId="19178BCE" w14:textId="3503482A" w:rsidR="0030115E" w:rsidRDefault="0030115E" w:rsidP="003011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was employed by the respondent.   The latter terminated the contract of employment.  Applicant was aggrieved and he filed a claim against respondent with the National Employment Council for the Medical Industry.  The matter </w:t>
      </w:r>
      <w:r w:rsidR="00DF0774">
        <w:rPr>
          <w:rFonts w:ascii="Times New Roman" w:hAnsi="Times New Roman" w:cs="Times New Roman"/>
          <w:sz w:val="24"/>
          <w:szCs w:val="24"/>
        </w:rPr>
        <w:t>was determined by a DESIGNATED AGENT of the NEC for the Medical Industry who ordered that respondent pays a total sum of US$10366.62 or equivalent being back pay and damages in lie</w:t>
      </w:r>
      <w:r w:rsidR="00BE093B">
        <w:rPr>
          <w:rFonts w:ascii="Times New Roman" w:hAnsi="Times New Roman" w:cs="Times New Roman"/>
          <w:sz w:val="24"/>
          <w:szCs w:val="24"/>
        </w:rPr>
        <w:t>u</w:t>
      </w:r>
      <w:r w:rsidR="00DF0774">
        <w:rPr>
          <w:rFonts w:ascii="Times New Roman" w:hAnsi="Times New Roman" w:cs="Times New Roman"/>
          <w:sz w:val="24"/>
          <w:szCs w:val="24"/>
        </w:rPr>
        <w:t xml:space="preserve"> of reinstatement</w:t>
      </w:r>
      <w:r w:rsidR="00D220B7">
        <w:rPr>
          <w:rFonts w:ascii="Times New Roman" w:hAnsi="Times New Roman" w:cs="Times New Roman"/>
          <w:sz w:val="24"/>
          <w:szCs w:val="24"/>
        </w:rPr>
        <w:t xml:space="preserve">.  The respondent failed to pay the amount so ordered resulting in applicant issuing summons in this Court against respondent claiming US$10366.62 or its equivalent.  Respondent entered an appearance to defend.  Applicant believed that the appearance to defend has been filed solely to delay the inevitable as there is </w:t>
      </w:r>
      <w:r w:rsidR="00BE093B">
        <w:rPr>
          <w:rFonts w:ascii="Times New Roman" w:hAnsi="Times New Roman" w:cs="Times New Roman"/>
          <w:sz w:val="24"/>
          <w:szCs w:val="24"/>
        </w:rPr>
        <w:t>no</w:t>
      </w:r>
      <w:r w:rsidR="00D220B7">
        <w:rPr>
          <w:rFonts w:ascii="Times New Roman" w:hAnsi="Times New Roman" w:cs="Times New Roman"/>
          <w:sz w:val="24"/>
          <w:szCs w:val="24"/>
        </w:rPr>
        <w:t xml:space="preserve"> genuine or sincere defence that can be raised by the respondent.</w:t>
      </w:r>
    </w:p>
    <w:p w14:paraId="07E4DAE6" w14:textId="2C608AC5" w:rsidR="001C43EA" w:rsidRPr="001C43EA" w:rsidRDefault="001C43EA" w:rsidP="0030115E">
      <w:pPr>
        <w:spacing w:line="360" w:lineRule="auto"/>
        <w:ind w:firstLine="720"/>
        <w:jc w:val="both"/>
        <w:rPr>
          <w:rFonts w:ascii="Times New Roman" w:hAnsi="Times New Roman" w:cs="Times New Roman"/>
          <w:sz w:val="24"/>
          <w:szCs w:val="24"/>
          <w:u w:val="single"/>
        </w:rPr>
      </w:pPr>
      <w:r w:rsidRPr="001C43EA">
        <w:rPr>
          <w:rFonts w:ascii="Times New Roman" w:hAnsi="Times New Roman" w:cs="Times New Roman"/>
          <w:sz w:val="24"/>
          <w:szCs w:val="24"/>
          <w:u w:val="single"/>
        </w:rPr>
        <w:t>APPLICANT’S CASE</w:t>
      </w:r>
    </w:p>
    <w:p w14:paraId="56B0EB4E" w14:textId="79E17BE6" w:rsidR="001C43EA" w:rsidRDefault="001C43EA" w:rsidP="003011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applied for summary judgment seeking the following order; </w:t>
      </w:r>
    </w:p>
    <w:p w14:paraId="732A71FB" w14:textId="2B5F7224" w:rsidR="001C43EA" w:rsidRPr="001C43EA" w:rsidRDefault="001C43EA" w:rsidP="001C43EA">
      <w:pPr>
        <w:spacing w:line="240" w:lineRule="auto"/>
        <w:ind w:firstLine="720"/>
        <w:jc w:val="both"/>
        <w:rPr>
          <w:rFonts w:ascii="Times New Roman" w:hAnsi="Times New Roman" w:cs="Times New Roman"/>
        </w:rPr>
      </w:pPr>
      <w:r w:rsidRPr="001C43EA">
        <w:rPr>
          <w:rFonts w:ascii="Times New Roman" w:hAnsi="Times New Roman" w:cs="Times New Roman"/>
        </w:rPr>
        <w:t>“1. The application for summary judgment be and is hereby granted,</w:t>
      </w:r>
    </w:p>
    <w:p w14:paraId="34368D96" w14:textId="0B630C87" w:rsidR="001C43EA" w:rsidRPr="001C43EA" w:rsidRDefault="001C43EA" w:rsidP="001C43EA">
      <w:pPr>
        <w:spacing w:line="240" w:lineRule="auto"/>
        <w:ind w:firstLine="720"/>
        <w:jc w:val="both"/>
        <w:rPr>
          <w:rFonts w:ascii="Times New Roman" w:hAnsi="Times New Roman" w:cs="Times New Roman"/>
        </w:rPr>
      </w:pPr>
      <w:r w:rsidRPr="001C43EA">
        <w:rPr>
          <w:rFonts w:ascii="Times New Roman" w:hAnsi="Times New Roman" w:cs="Times New Roman"/>
        </w:rPr>
        <w:lastRenderedPageBreak/>
        <w:t>2. The respondent be and is hereby ordered to pay applicants a total sum of US$10366.62,</w:t>
      </w:r>
    </w:p>
    <w:p w14:paraId="603F08A4" w14:textId="369945A8" w:rsidR="001C43EA" w:rsidRDefault="001C43EA" w:rsidP="001C43EA">
      <w:pPr>
        <w:spacing w:line="240" w:lineRule="auto"/>
        <w:ind w:firstLine="720"/>
        <w:jc w:val="both"/>
        <w:rPr>
          <w:rFonts w:ascii="Times New Roman" w:hAnsi="Times New Roman" w:cs="Times New Roman"/>
        </w:rPr>
      </w:pPr>
      <w:r w:rsidRPr="001C43EA">
        <w:rPr>
          <w:rFonts w:ascii="Times New Roman" w:hAnsi="Times New Roman" w:cs="Times New Roman"/>
        </w:rPr>
        <w:t>3. The respondent to pay costs of suit on an attorney client scale.”</w:t>
      </w:r>
    </w:p>
    <w:p w14:paraId="2DF07EDA" w14:textId="77777777" w:rsidR="001C43EA" w:rsidRPr="001C43EA" w:rsidRDefault="001C43EA" w:rsidP="001C43EA">
      <w:pPr>
        <w:spacing w:line="240" w:lineRule="auto"/>
        <w:ind w:firstLine="720"/>
        <w:jc w:val="both"/>
        <w:rPr>
          <w:rFonts w:ascii="Times New Roman" w:hAnsi="Times New Roman" w:cs="Times New Roman"/>
        </w:rPr>
      </w:pPr>
    </w:p>
    <w:p w14:paraId="1B677780" w14:textId="035E9638" w:rsidR="001C43EA" w:rsidRDefault="001C43EA"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to enforce the determination hence the filing of this application.  It is applicant’s contention that the de</w:t>
      </w:r>
      <w:r w:rsidR="00BE093B">
        <w:rPr>
          <w:rFonts w:ascii="Times New Roman" w:hAnsi="Times New Roman" w:cs="Times New Roman"/>
          <w:sz w:val="24"/>
          <w:szCs w:val="24"/>
        </w:rPr>
        <w:t>ponent</w:t>
      </w:r>
      <w:r>
        <w:rPr>
          <w:rFonts w:ascii="Times New Roman" w:hAnsi="Times New Roman" w:cs="Times New Roman"/>
          <w:sz w:val="24"/>
          <w:szCs w:val="24"/>
        </w:rPr>
        <w:t xml:space="preserve"> to the opposing affidavit has no authority in that there is no resolution authorizing the same to act on behalf of the respondent.  </w:t>
      </w:r>
    </w:p>
    <w:p w14:paraId="53E5668B" w14:textId="07D99CCC" w:rsidR="001C43EA" w:rsidRDefault="001C43EA"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293A84">
        <w:rPr>
          <w:rFonts w:ascii="Times New Roman" w:hAnsi="Times New Roman" w:cs="Times New Roman"/>
          <w:sz w:val="24"/>
          <w:szCs w:val="24"/>
        </w:rPr>
        <w:t>it was submitted that there are no pending cases before this Court or the Labour Court for the simpl</w:t>
      </w:r>
      <w:r w:rsidR="00BE093B">
        <w:rPr>
          <w:rFonts w:ascii="Times New Roman" w:hAnsi="Times New Roman" w:cs="Times New Roman"/>
          <w:sz w:val="24"/>
          <w:szCs w:val="24"/>
        </w:rPr>
        <w:t>e</w:t>
      </w:r>
      <w:r w:rsidR="00293A84">
        <w:rPr>
          <w:rFonts w:ascii="Times New Roman" w:hAnsi="Times New Roman" w:cs="Times New Roman"/>
          <w:sz w:val="24"/>
          <w:szCs w:val="24"/>
        </w:rPr>
        <w:t xml:space="preserve"> reason that the summons for Provisional Sentence matter has been withdrawn while the application </w:t>
      </w:r>
      <w:r w:rsidR="00B520DC">
        <w:rPr>
          <w:rFonts w:ascii="Times New Roman" w:hAnsi="Times New Roman" w:cs="Times New Roman"/>
          <w:sz w:val="24"/>
          <w:szCs w:val="24"/>
        </w:rPr>
        <w:t>for condonation was dismissed by the Labour Court.  Applicant argued that a determination issued by the Designated Agent is final and definitive.  If aggrieved by it, one can only seek its setting aside either by appeal or review by the appropriate court.</w:t>
      </w:r>
    </w:p>
    <w:p w14:paraId="68F2A03E" w14:textId="3002D456" w:rsidR="00B520DC" w:rsidRDefault="00B520DC"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520DC">
        <w:rPr>
          <w:rFonts w:ascii="Times New Roman" w:hAnsi="Times New Roman" w:cs="Times New Roman"/>
          <w:i/>
          <w:iCs/>
          <w:sz w:val="24"/>
          <w:szCs w:val="24"/>
        </w:rPr>
        <w:t>casu</w:t>
      </w:r>
      <w:r>
        <w:rPr>
          <w:rFonts w:ascii="Times New Roman" w:hAnsi="Times New Roman" w:cs="Times New Roman"/>
          <w:sz w:val="24"/>
          <w:szCs w:val="24"/>
        </w:rPr>
        <w:t xml:space="preserve">, the determination remains extant and has not been complied with.  The provisions of the Labour </w:t>
      </w:r>
      <w:r w:rsidR="00BE093B">
        <w:rPr>
          <w:rFonts w:ascii="Times New Roman" w:hAnsi="Times New Roman" w:cs="Times New Roman"/>
          <w:sz w:val="24"/>
          <w:szCs w:val="24"/>
        </w:rPr>
        <w:t>Act</w:t>
      </w:r>
      <w:r>
        <w:rPr>
          <w:rFonts w:ascii="Times New Roman" w:hAnsi="Times New Roman" w:cs="Times New Roman"/>
          <w:sz w:val="24"/>
          <w:szCs w:val="24"/>
        </w:rPr>
        <w:t xml:space="preserve"> do not provide ways of enforcing a determination.  It can not be registered like an arbitral award or a labour court order.  The only way of enforcing the order is through action procedure and treat the determination as a liquid document</w:t>
      </w:r>
      <w:r w:rsidR="00BE093B">
        <w:rPr>
          <w:rFonts w:ascii="Times New Roman" w:hAnsi="Times New Roman" w:cs="Times New Roman"/>
          <w:sz w:val="24"/>
          <w:szCs w:val="24"/>
        </w:rPr>
        <w:t xml:space="preserve">. </w:t>
      </w:r>
      <w:r>
        <w:rPr>
          <w:rFonts w:ascii="Times New Roman" w:hAnsi="Times New Roman" w:cs="Times New Roman"/>
          <w:sz w:val="24"/>
          <w:szCs w:val="24"/>
        </w:rPr>
        <w:t xml:space="preserve"> </w:t>
      </w:r>
      <w:r w:rsidR="00BE093B">
        <w:rPr>
          <w:rFonts w:ascii="Times New Roman" w:hAnsi="Times New Roman" w:cs="Times New Roman"/>
          <w:sz w:val="24"/>
          <w:szCs w:val="24"/>
        </w:rPr>
        <w:t>A</w:t>
      </w:r>
      <w:r>
        <w:rPr>
          <w:rFonts w:ascii="Times New Roman" w:hAnsi="Times New Roman" w:cs="Times New Roman"/>
          <w:sz w:val="24"/>
          <w:szCs w:val="24"/>
        </w:rPr>
        <w:t xml:space="preserve">pplicant relied on </w:t>
      </w:r>
      <w:r w:rsidRPr="00B520DC">
        <w:rPr>
          <w:rFonts w:ascii="Times New Roman" w:hAnsi="Times New Roman" w:cs="Times New Roman"/>
          <w:i/>
          <w:iCs/>
          <w:sz w:val="24"/>
          <w:szCs w:val="24"/>
        </w:rPr>
        <w:t xml:space="preserve">Chiwenga </w:t>
      </w:r>
      <w:r w:rsidRPr="00B520DC">
        <w:rPr>
          <w:rFonts w:ascii="Times New Roman" w:hAnsi="Times New Roman" w:cs="Times New Roman"/>
          <w:sz w:val="24"/>
          <w:szCs w:val="24"/>
        </w:rPr>
        <w:t xml:space="preserve">v </w:t>
      </w:r>
      <w:r w:rsidRPr="00B520DC">
        <w:rPr>
          <w:rFonts w:ascii="Times New Roman" w:hAnsi="Times New Roman" w:cs="Times New Roman"/>
          <w:i/>
          <w:iCs/>
          <w:sz w:val="24"/>
          <w:szCs w:val="24"/>
        </w:rPr>
        <w:t xml:space="preserve">Chiwenga </w:t>
      </w:r>
      <w:r>
        <w:rPr>
          <w:rFonts w:ascii="Times New Roman" w:hAnsi="Times New Roman" w:cs="Times New Roman"/>
          <w:sz w:val="24"/>
          <w:szCs w:val="24"/>
        </w:rPr>
        <w:t>SC 2/14.</w:t>
      </w:r>
    </w:p>
    <w:p w14:paraId="5231DA3B" w14:textId="77D5DE34" w:rsidR="00B520DC" w:rsidRDefault="00B520DC" w:rsidP="001C43EA">
      <w:pPr>
        <w:spacing w:after="0" w:line="360" w:lineRule="auto"/>
        <w:ind w:firstLine="720"/>
        <w:jc w:val="both"/>
        <w:rPr>
          <w:rFonts w:ascii="Times New Roman" w:hAnsi="Times New Roman" w:cs="Times New Roman"/>
          <w:sz w:val="24"/>
          <w:szCs w:val="24"/>
        </w:rPr>
      </w:pPr>
      <w:r w:rsidRPr="00B520DC">
        <w:rPr>
          <w:rFonts w:ascii="Times New Roman" w:hAnsi="Times New Roman" w:cs="Times New Roman"/>
          <w:i/>
          <w:iCs/>
          <w:sz w:val="24"/>
          <w:szCs w:val="24"/>
        </w:rPr>
        <w:t xml:space="preserve">C.F.U. </w:t>
      </w:r>
      <w:r w:rsidRPr="00B520DC">
        <w:rPr>
          <w:rFonts w:ascii="Times New Roman" w:hAnsi="Times New Roman" w:cs="Times New Roman"/>
          <w:sz w:val="24"/>
          <w:szCs w:val="24"/>
        </w:rPr>
        <w:t>v</w:t>
      </w:r>
      <w:r w:rsidRPr="00B520DC">
        <w:rPr>
          <w:rFonts w:ascii="Times New Roman" w:hAnsi="Times New Roman" w:cs="Times New Roman"/>
          <w:i/>
          <w:iCs/>
          <w:sz w:val="24"/>
          <w:szCs w:val="24"/>
        </w:rPr>
        <w:t xml:space="preserve"> Mhuriro and Ors</w:t>
      </w:r>
      <w:r>
        <w:rPr>
          <w:rFonts w:ascii="Times New Roman" w:hAnsi="Times New Roman" w:cs="Times New Roman"/>
          <w:sz w:val="24"/>
          <w:szCs w:val="24"/>
        </w:rPr>
        <w:t xml:space="preserve"> 2000(2) ZLR 405(S).  </w:t>
      </w:r>
      <w:r w:rsidRPr="00B520DC">
        <w:rPr>
          <w:rFonts w:ascii="Times New Roman" w:hAnsi="Times New Roman" w:cs="Times New Roman"/>
          <w:i/>
          <w:iCs/>
          <w:sz w:val="24"/>
          <w:szCs w:val="24"/>
        </w:rPr>
        <w:t xml:space="preserve">Zimbabwe Rural District Council Workers Union </w:t>
      </w:r>
      <w:r w:rsidRPr="00B520DC">
        <w:rPr>
          <w:rFonts w:ascii="Times New Roman" w:hAnsi="Times New Roman" w:cs="Times New Roman"/>
          <w:sz w:val="24"/>
          <w:szCs w:val="24"/>
        </w:rPr>
        <w:t>v</w:t>
      </w:r>
      <w:r w:rsidRPr="00B520DC">
        <w:rPr>
          <w:rFonts w:ascii="Times New Roman" w:hAnsi="Times New Roman" w:cs="Times New Roman"/>
          <w:i/>
          <w:iCs/>
          <w:sz w:val="24"/>
          <w:szCs w:val="24"/>
        </w:rPr>
        <w:t xml:space="preserve"> Nyanga Rural District Council &amp; Ors</w:t>
      </w:r>
      <w:r>
        <w:rPr>
          <w:rFonts w:ascii="Times New Roman" w:hAnsi="Times New Roman" w:cs="Times New Roman"/>
          <w:sz w:val="24"/>
          <w:szCs w:val="24"/>
        </w:rPr>
        <w:t xml:space="preserve"> HH 11822 where the Court stated that </w:t>
      </w:r>
      <w:r w:rsidR="00E30D49">
        <w:rPr>
          <w:rFonts w:ascii="Times New Roman" w:hAnsi="Times New Roman" w:cs="Times New Roman"/>
          <w:sz w:val="24"/>
          <w:szCs w:val="24"/>
        </w:rPr>
        <w:t>“</w:t>
      </w:r>
      <w:r>
        <w:rPr>
          <w:rFonts w:ascii="Times New Roman" w:hAnsi="Times New Roman" w:cs="Times New Roman"/>
          <w:sz w:val="24"/>
          <w:szCs w:val="24"/>
        </w:rPr>
        <w:t>the determination by</w:t>
      </w:r>
      <w:r w:rsidR="00E30D49">
        <w:rPr>
          <w:rFonts w:ascii="Times New Roman" w:hAnsi="Times New Roman" w:cs="Times New Roman"/>
          <w:sz w:val="24"/>
          <w:szCs w:val="24"/>
        </w:rPr>
        <w:t xml:space="preserve"> the Designated Agents can </w:t>
      </w:r>
      <w:r w:rsidR="00BE093B">
        <w:rPr>
          <w:rFonts w:ascii="Times New Roman" w:hAnsi="Times New Roman" w:cs="Times New Roman"/>
          <w:sz w:val="24"/>
          <w:szCs w:val="24"/>
        </w:rPr>
        <w:t>f</w:t>
      </w:r>
      <w:r w:rsidR="00E30D49">
        <w:rPr>
          <w:rFonts w:ascii="Times New Roman" w:hAnsi="Times New Roman" w:cs="Times New Roman"/>
          <w:sz w:val="24"/>
          <w:szCs w:val="24"/>
        </w:rPr>
        <w:t>orm the basis of proceedings for judgments from this Court in much the same wa</w:t>
      </w:r>
      <w:r w:rsidR="00BE093B">
        <w:rPr>
          <w:rFonts w:ascii="Times New Roman" w:hAnsi="Times New Roman" w:cs="Times New Roman"/>
          <w:sz w:val="24"/>
          <w:szCs w:val="24"/>
        </w:rPr>
        <w:t>y</w:t>
      </w:r>
      <w:r w:rsidR="00E30D49">
        <w:rPr>
          <w:rFonts w:ascii="Times New Roman" w:hAnsi="Times New Roman" w:cs="Times New Roman"/>
          <w:sz w:val="24"/>
          <w:szCs w:val="24"/>
        </w:rPr>
        <w:t xml:space="preserve"> as liquid documents are.”</w:t>
      </w:r>
    </w:p>
    <w:p w14:paraId="1F711210" w14:textId="0C0F3A9A" w:rsidR="00E30D49" w:rsidRDefault="00E30D49"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was argued that </w:t>
      </w:r>
      <w:r w:rsidRPr="00E30D49">
        <w:rPr>
          <w:rFonts w:ascii="Times New Roman" w:hAnsi="Times New Roman" w:cs="Times New Roman"/>
          <w:i/>
          <w:iCs/>
          <w:sz w:val="24"/>
          <w:szCs w:val="24"/>
        </w:rPr>
        <w:t>in casu</w:t>
      </w:r>
      <w:r>
        <w:rPr>
          <w:rFonts w:ascii="Times New Roman" w:hAnsi="Times New Roman" w:cs="Times New Roman"/>
          <w:sz w:val="24"/>
          <w:szCs w:val="24"/>
        </w:rPr>
        <w:t>, the determination being unchallenged qualifies as a liquid document.  The d</w:t>
      </w:r>
      <w:r w:rsidR="005350B2">
        <w:rPr>
          <w:rFonts w:ascii="Times New Roman" w:hAnsi="Times New Roman" w:cs="Times New Roman"/>
          <w:sz w:val="24"/>
          <w:szCs w:val="24"/>
        </w:rPr>
        <w:t>e</w:t>
      </w:r>
      <w:r>
        <w:rPr>
          <w:rFonts w:ascii="Times New Roman" w:hAnsi="Times New Roman" w:cs="Times New Roman"/>
          <w:sz w:val="24"/>
          <w:szCs w:val="24"/>
        </w:rPr>
        <w:t>termination issued created a new cause of action for purposes of its enforcement.  It was submitted that the appearance to defend has been essentially filed to delay the execution process and frustrate the applicant from enjoying his money.</w:t>
      </w:r>
    </w:p>
    <w:p w14:paraId="43A06812" w14:textId="6FEA28B7" w:rsidR="005350B2" w:rsidRDefault="005350B2"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RESPONDENTS’S CASE</w:t>
      </w:r>
    </w:p>
    <w:p w14:paraId="0CB04CD0" w14:textId="13C12560" w:rsidR="005350B2" w:rsidRDefault="005350B2"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respondent who raised </w:t>
      </w:r>
      <w:r w:rsidRPr="005350B2">
        <w:rPr>
          <w:rFonts w:ascii="Times New Roman" w:hAnsi="Times New Roman" w:cs="Times New Roman"/>
          <w:i/>
          <w:iCs/>
          <w:sz w:val="24"/>
          <w:szCs w:val="24"/>
        </w:rPr>
        <w:t>Lis Pendenis</w:t>
      </w:r>
      <w:r>
        <w:rPr>
          <w:rFonts w:ascii="Times New Roman" w:hAnsi="Times New Roman" w:cs="Times New Roman"/>
          <w:sz w:val="24"/>
          <w:szCs w:val="24"/>
        </w:rPr>
        <w:t xml:space="preserve"> as a point </w:t>
      </w:r>
      <w:r w:rsidRPr="005350B2">
        <w:rPr>
          <w:rFonts w:ascii="Times New Roman" w:hAnsi="Times New Roman" w:cs="Times New Roman"/>
          <w:i/>
          <w:iCs/>
          <w:sz w:val="24"/>
          <w:szCs w:val="24"/>
        </w:rPr>
        <w:t>in limine</w:t>
      </w:r>
      <w:r>
        <w:rPr>
          <w:rFonts w:ascii="Times New Roman" w:hAnsi="Times New Roman" w:cs="Times New Roman"/>
          <w:sz w:val="24"/>
          <w:szCs w:val="24"/>
        </w:rPr>
        <w:t>.  The argument</w:t>
      </w:r>
      <w:r w:rsidR="00E36094">
        <w:rPr>
          <w:rFonts w:ascii="Times New Roman" w:hAnsi="Times New Roman" w:cs="Times New Roman"/>
          <w:sz w:val="24"/>
          <w:szCs w:val="24"/>
        </w:rPr>
        <w:t xml:space="preserve"> is that this matter is pending before the courts under case number</w:t>
      </w:r>
      <w:r w:rsidR="00BE093B">
        <w:rPr>
          <w:rFonts w:ascii="Times New Roman" w:hAnsi="Times New Roman" w:cs="Times New Roman"/>
          <w:sz w:val="24"/>
          <w:szCs w:val="24"/>
        </w:rPr>
        <w:t>s</w:t>
      </w:r>
      <w:r w:rsidR="00E36094">
        <w:rPr>
          <w:rFonts w:ascii="Times New Roman" w:hAnsi="Times New Roman" w:cs="Times New Roman"/>
          <w:sz w:val="24"/>
          <w:szCs w:val="24"/>
        </w:rPr>
        <w:t xml:space="preserve"> HCH 281/22 and </w:t>
      </w:r>
      <w:r w:rsidR="00DE4F0D">
        <w:rPr>
          <w:rFonts w:ascii="Times New Roman" w:hAnsi="Times New Roman" w:cs="Times New Roman"/>
          <w:sz w:val="24"/>
          <w:szCs w:val="24"/>
        </w:rPr>
        <w:t>LC/H/</w:t>
      </w:r>
      <w:r w:rsidR="00E36094">
        <w:rPr>
          <w:rFonts w:ascii="Times New Roman" w:hAnsi="Times New Roman" w:cs="Times New Roman"/>
          <w:sz w:val="24"/>
          <w:szCs w:val="24"/>
        </w:rPr>
        <w:t xml:space="preserve">781/22.  In the former, a summons was issued by Musoni Masasire Law Chambers in 2022 but on 15 March 2023, Masasire Law Chambers filed a notice of </w:t>
      </w:r>
      <w:r w:rsidR="00DE4F0D">
        <w:rPr>
          <w:rFonts w:ascii="Times New Roman" w:hAnsi="Times New Roman" w:cs="Times New Roman"/>
          <w:sz w:val="24"/>
          <w:szCs w:val="24"/>
        </w:rPr>
        <w:t>withdrawal before Musoni Masasire Law Chambers renounce</w:t>
      </w:r>
      <w:r w:rsidR="00BE093B">
        <w:rPr>
          <w:rFonts w:ascii="Times New Roman" w:hAnsi="Times New Roman" w:cs="Times New Roman"/>
          <w:sz w:val="24"/>
          <w:szCs w:val="24"/>
        </w:rPr>
        <w:t>d</w:t>
      </w:r>
      <w:r w:rsidR="00DE4F0D">
        <w:rPr>
          <w:rFonts w:ascii="Times New Roman" w:hAnsi="Times New Roman" w:cs="Times New Roman"/>
          <w:sz w:val="24"/>
          <w:szCs w:val="24"/>
        </w:rPr>
        <w:t xml:space="preserve"> agency.  Masasire Law Chambers s</w:t>
      </w:r>
      <w:r w:rsidR="00BE093B">
        <w:rPr>
          <w:rFonts w:ascii="Times New Roman" w:hAnsi="Times New Roman" w:cs="Times New Roman"/>
          <w:sz w:val="24"/>
          <w:szCs w:val="24"/>
        </w:rPr>
        <w:t>i</w:t>
      </w:r>
      <w:r w:rsidR="00DE4F0D">
        <w:rPr>
          <w:rFonts w:ascii="Times New Roman" w:hAnsi="Times New Roman" w:cs="Times New Roman"/>
          <w:sz w:val="24"/>
          <w:szCs w:val="24"/>
        </w:rPr>
        <w:t xml:space="preserve">mply </w:t>
      </w:r>
      <w:r w:rsidR="00DE4F0D">
        <w:rPr>
          <w:rFonts w:ascii="Times New Roman" w:hAnsi="Times New Roman" w:cs="Times New Roman"/>
          <w:sz w:val="24"/>
          <w:szCs w:val="24"/>
        </w:rPr>
        <w:lastRenderedPageBreak/>
        <w:t>assumed agency.  According to the respondent</w:t>
      </w:r>
      <w:r w:rsidR="00BE093B">
        <w:rPr>
          <w:rFonts w:ascii="Times New Roman" w:hAnsi="Times New Roman" w:cs="Times New Roman"/>
          <w:sz w:val="24"/>
          <w:szCs w:val="24"/>
        </w:rPr>
        <w:t>,</w:t>
      </w:r>
      <w:r w:rsidR="00DE4F0D">
        <w:rPr>
          <w:rFonts w:ascii="Times New Roman" w:hAnsi="Times New Roman" w:cs="Times New Roman"/>
          <w:sz w:val="24"/>
          <w:szCs w:val="24"/>
        </w:rPr>
        <w:t xml:space="preserve"> applicant’s conduct violated Rules 9(1) and 9(5) of the High Court Rules 2021.  As a result, so the argument goes, the matter in HC 6281/22 was not withdrawn and it is still pending in this Court.  Case No. LC/H/781/22 is still pending since judgment was reserved in 2022.</w:t>
      </w:r>
    </w:p>
    <w:p w14:paraId="11C088B9" w14:textId="6527F7BA" w:rsidR="00DE4F0D" w:rsidRDefault="00DE4F0D"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respondent submitted that the determination is unenforceable in that it refers to one Joshua Kachasu Geza and not to the applicant.  Further, it was contented that the award refers to a figure of US$7771.22 not US 10366.62.  Also, respondent is contesting the NEC determination in the Labour Court under case No. LC/H/781/22 (an application for Condonation for late filing of Review of the NEC determination).</w:t>
      </w:r>
    </w:p>
    <w:p w14:paraId="4977B9EF" w14:textId="77777777" w:rsidR="00F35ECB" w:rsidRDefault="00DE4F0D"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summary judgment is an extra</w:t>
      </w:r>
      <w:r w:rsidR="00964CFA">
        <w:rPr>
          <w:rFonts w:ascii="Times New Roman" w:hAnsi="Times New Roman" w:cs="Times New Roman"/>
          <w:sz w:val="24"/>
          <w:szCs w:val="24"/>
        </w:rPr>
        <w:t xml:space="preserve">-ordinary and drastic remedy which negates the benefits of the </w:t>
      </w:r>
      <w:r w:rsidR="00964CFA" w:rsidRPr="00964CFA">
        <w:rPr>
          <w:rFonts w:ascii="Times New Roman" w:hAnsi="Times New Roman" w:cs="Times New Roman"/>
          <w:i/>
          <w:iCs/>
          <w:sz w:val="24"/>
          <w:szCs w:val="24"/>
        </w:rPr>
        <w:t>audi alterain partem</w:t>
      </w:r>
      <w:r w:rsidR="00964CFA">
        <w:rPr>
          <w:rFonts w:ascii="Times New Roman" w:hAnsi="Times New Roman" w:cs="Times New Roman"/>
          <w:sz w:val="24"/>
          <w:szCs w:val="24"/>
        </w:rPr>
        <w:t xml:space="preserve"> principles, it should be exercised cautiously to enable respondent to plead his defence to the applicant’s claim.</w:t>
      </w:r>
    </w:p>
    <w:p w14:paraId="3F3002BE" w14:textId="5F6D64D8" w:rsidR="00DE4F0D" w:rsidRDefault="00BE093B"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F35ECB">
        <w:rPr>
          <w:rFonts w:ascii="Times New Roman" w:hAnsi="Times New Roman" w:cs="Times New Roman"/>
          <w:sz w:val="24"/>
          <w:szCs w:val="24"/>
        </w:rPr>
        <w:t xml:space="preserve"> submitted that NEC determinations are not convertible to begin with, they are just determinations </w:t>
      </w:r>
      <w:r w:rsidR="0017408B">
        <w:rPr>
          <w:rFonts w:ascii="Times New Roman" w:hAnsi="Times New Roman" w:cs="Times New Roman"/>
          <w:sz w:val="24"/>
          <w:szCs w:val="24"/>
        </w:rPr>
        <w:t xml:space="preserve">which do not require any conversion.  According to the respondent, there is no law that </w:t>
      </w:r>
      <w:r w:rsidR="007143BA">
        <w:rPr>
          <w:rFonts w:ascii="Times New Roman" w:hAnsi="Times New Roman" w:cs="Times New Roman"/>
          <w:sz w:val="24"/>
          <w:szCs w:val="24"/>
        </w:rPr>
        <w:t>empowers courts to convert such determination</w:t>
      </w:r>
      <w:r>
        <w:rPr>
          <w:rFonts w:ascii="Times New Roman" w:hAnsi="Times New Roman" w:cs="Times New Roman"/>
          <w:sz w:val="24"/>
          <w:szCs w:val="24"/>
        </w:rPr>
        <w:t>s</w:t>
      </w:r>
      <w:r w:rsidR="007143BA">
        <w:rPr>
          <w:rFonts w:ascii="Times New Roman" w:hAnsi="Times New Roman" w:cs="Times New Roman"/>
          <w:sz w:val="24"/>
          <w:szCs w:val="24"/>
        </w:rPr>
        <w:t xml:space="preserve">. </w:t>
      </w:r>
      <w:r w:rsidR="00AC314B">
        <w:rPr>
          <w:rFonts w:ascii="Times New Roman" w:hAnsi="Times New Roman" w:cs="Times New Roman"/>
          <w:sz w:val="24"/>
          <w:szCs w:val="24"/>
        </w:rPr>
        <w:t>Also</w:t>
      </w:r>
      <w:r w:rsidR="007957F0">
        <w:rPr>
          <w:rFonts w:ascii="Times New Roman" w:hAnsi="Times New Roman" w:cs="Times New Roman"/>
          <w:sz w:val="24"/>
          <w:szCs w:val="24"/>
        </w:rPr>
        <w:t>,</w:t>
      </w:r>
      <w:r w:rsidR="00AC314B">
        <w:rPr>
          <w:rFonts w:ascii="Times New Roman" w:hAnsi="Times New Roman" w:cs="Times New Roman"/>
          <w:sz w:val="24"/>
          <w:szCs w:val="24"/>
        </w:rPr>
        <w:t xml:space="preserve"> there are no enforcement </w:t>
      </w:r>
      <w:r w:rsidR="007957F0">
        <w:rPr>
          <w:rFonts w:ascii="Times New Roman" w:hAnsi="Times New Roman" w:cs="Times New Roman"/>
          <w:sz w:val="24"/>
          <w:szCs w:val="24"/>
        </w:rPr>
        <w:t>mechanisms of the NEC determinations in the Labour Act.</w:t>
      </w:r>
    </w:p>
    <w:p w14:paraId="04800292" w14:textId="705C1A39" w:rsidR="007957F0" w:rsidRDefault="007C2F9E"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insisted that it has a valid and bona fide defence to the applicant’s claim.  Respondents prayed for the dismissal of the application for summary judgment.</w:t>
      </w:r>
    </w:p>
    <w:p w14:paraId="3F4C87A2" w14:textId="2BBF5E6C" w:rsidR="007C2F9E" w:rsidRPr="007C2F9E" w:rsidRDefault="007C2F9E" w:rsidP="001C43EA">
      <w:pPr>
        <w:spacing w:after="0" w:line="360" w:lineRule="auto"/>
        <w:ind w:firstLine="720"/>
        <w:jc w:val="both"/>
        <w:rPr>
          <w:rFonts w:ascii="Times New Roman" w:hAnsi="Times New Roman" w:cs="Times New Roman"/>
          <w:sz w:val="24"/>
          <w:szCs w:val="24"/>
          <w:u w:val="single"/>
        </w:rPr>
      </w:pPr>
      <w:r w:rsidRPr="007C2F9E">
        <w:rPr>
          <w:rFonts w:ascii="Times New Roman" w:hAnsi="Times New Roman" w:cs="Times New Roman"/>
          <w:sz w:val="24"/>
          <w:szCs w:val="24"/>
          <w:u w:val="single"/>
        </w:rPr>
        <w:t>ANALYSIS</w:t>
      </w:r>
    </w:p>
    <w:p w14:paraId="03D2E908" w14:textId="3D1E0D2F" w:rsidR="007C2F9E" w:rsidRDefault="007C2F9E"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C2F9E">
        <w:rPr>
          <w:rFonts w:ascii="Times New Roman" w:hAnsi="Times New Roman" w:cs="Times New Roman"/>
          <w:i/>
          <w:iCs/>
          <w:sz w:val="24"/>
          <w:szCs w:val="24"/>
        </w:rPr>
        <w:t xml:space="preserve">Bastin </w:t>
      </w:r>
      <w:r w:rsidRPr="007C2F9E">
        <w:rPr>
          <w:rFonts w:ascii="Times New Roman" w:hAnsi="Times New Roman" w:cs="Times New Roman"/>
          <w:sz w:val="24"/>
          <w:szCs w:val="24"/>
        </w:rPr>
        <w:t>v</w:t>
      </w:r>
      <w:r w:rsidRPr="007C2F9E">
        <w:rPr>
          <w:rFonts w:ascii="Times New Roman" w:hAnsi="Times New Roman" w:cs="Times New Roman"/>
          <w:i/>
          <w:iCs/>
          <w:sz w:val="24"/>
          <w:szCs w:val="24"/>
        </w:rPr>
        <w:t xml:space="preserve"> Madima</w:t>
      </w:r>
      <w:r>
        <w:rPr>
          <w:rFonts w:ascii="Times New Roman" w:hAnsi="Times New Roman" w:cs="Times New Roman"/>
          <w:sz w:val="24"/>
          <w:szCs w:val="24"/>
        </w:rPr>
        <w:t xml:space="preserve"> NO 2020(1) 542(</w:t>
      </w:r>
      <w:r w:rsidR="00BE093B">
        <w:rPr>
          <w:rFonts w:ascii="Times New Roman" w:hAnsi="Times New Roman" w:cs="Times New Roman"/>
          <w:sz w:val="24"/>
          <w:szCs w:val="24"/>
        </w:rPr>
        <w:t>S</w:t>
      </w:r>
      <w:r>
        <w:rPr>
          <w:rFonts w:ascii="Times New Roman" w:hAnsi="Times New Roman" w:cs="Times New Roman"/>
          <w:sz w:val="24"/>
          <w:szCs w:val="24"/>
        </w:rPr>
        <w:t xml:space="preserve">) at 548D – E it was held that while summary judgment is an extra ordinary remedy given that it deprives a litigant, desirous of defending an action, the opportunity to do so without regards to the </w:t>
      </w:r>
      <w:r w:rsidRPr="00740780">
        <w:rPr>
          <w:rFonts w:ascii="Times New Roman" w:hAnsi="Times New Roman" w:cs="Times New Roman"/>
          <w:i/>
          <w:iCs/>
          <w:sz w:val="24"/>
          <w:szCs w:val="24"/>
        </w:rPr>
        <w:t>audi alteram partem</w:t>
      </w:r>
      <w:r>
        <w:rPr>
          <w:rFonts w:ascii="Times New Roman" w:hAnsi="Times New Roman" w:cs="Times New Roman"/>
          <w:sz w:val="24"/>
          <w:szCs w:val="24"/>
        </w:rPr>
        <w:t xml:space="preserve"> rule, it has always been granted by the courts to an applicant </w:t>
      </w:r>
      <w:r w:rsidR="00740780">
        <w:rPr>
          <w:rFonts w:ascii="Times New Roman" w:hAnsi="Times New Roman" w:cs="Times New Roman"/>
          <w:sz w:val="24"/>
          <w:szCs w:val="24"/>
        </w:rPr>
        <w:t xml:space="preserve">possessing an unanswerable case.  It is trite that such applicant should not be delayed by resort to a trial, whose outcome is a foregone conclusion.  It is also trite that in order to defeat an application for summary judgment, a respondent must set out a </w:t>
      </w:r>
      <w:r w:rsidR="00740780" w:rsidRPr="00740780">
        <w:rPr>
          <w:rFonts w:ascii="Times New Roman" w:hAnsi="Times New Roman" w:cs="Times New Roman"/>
          <w:i/>
          <w:iCs/>
          <w:sz w:val="24"/>
          <w:szCs w:val="24"/>
        </w:rPr>
        <w:t>bona fide</w:t>
      </w:r>
      <w:r w:rsidR="00740780">
        <w:rPr>
          <w:rFonts w:ascii="Times New Roman" w:hAnsi="Times New Roman" w:cs="Times New Roman"/>
          <w:sz w:val="24"/>
          <w:szCs w:val="24"/>
        </w:rPr>
        <w:t xml:space="preserve"> defence with sufficient clarity and completeness </w:t>
      </w:r>
      <w:r w:rsidR="00BE093B">
        <w:rPr>
          <w:rFonts w:ascii="Times New Roman" w:hAnsi="Times New Roman" w:cs="Times New Roman"/>
          <w:sz w:val="24"/>
          <w:szCs w:val="24"/>
        </w:rPr>
        <w:t>t</w:t>
      </w:r>
      <w:r w:rsidR="00740780">
        <w:rPr>
          <w:rFonts w:ascii="Times New Roman" w:hAnsi="Times New Roman" w:cs="Times New Roman"/>
          <w:sz w:val="24"/>
          <w:szCs w:val="24"/>
        </w:rPr>
        <w:t>o enable the court to decide whether the opposing affidavit disclose facts which i</w:t>
      </w:r>
      <w:r w:rsidR="00BE093B">
        <w:rPr>
          <w:rFonts w:ascii="Times New Roman" w:hAnsi="Times New Roman" w:cs="Times New Roman"/>
          <w:sz w:val="24"/>
          <w:szCs w:val="24"/>
        </w:rPr>
        <w:t>f</w:t>
      </w:r>
      <w:r w:rsidR="00740780">
        <w:rPr>
          <w:rFonts w:ascii="Times New Roman" w:hAnsi="Times New Roman" w:cs="Times New Roman"/>
          <w:sz w:val="24"/>
          <w:szCs w:val="24"/>
        </w:rPr>
        <w:t xml:space="preserve"> proved at the trial, would entitle the </w:t>
      </w:r>
      <w:r w:rsidR="008D5183">
        <w:rPr>
          <w:rFonts w:ascii="Times New Roman" w:hAnsi="Times New Roman" w:cs="Times New Roman"/>
          <w:sz w:val="24"/>
          <w:szCs w:val="24"/>
        </w:rPr>
        <w:t xml:space="preserve">respondent to succeed.”  See also </w:t>
      </w:r>
      <w:r w:rsidR="008D5183" w:rsidRPr="008D5183">
        <w:rPr>
          <w:rFonts w:ascii="Times New Roman" w:hAnsi="Times New Roman" w:cs="Times New Roman"/>
          <w:i/>
          <w:iCs/>
          <w:sz w:val="24"/>
          <w:szCs w:val="24"/>
        </w:rPr>
        <w:t xml:space="preserve">Kingston Ltd v L D Ineson (Pvt) Ltd </w:t>
      </w:r>
      <w:r w:rsidR="008D5183">
        <w:rPr>
          <w:rFonts w:ascii="Times New Roman" w:hAnsi="Times New Roman" w:cs="Times New Roman"/>
          <w:sz w:val="24"/>
          <w:szCs w:val="24"/>
        </w:rPr>
        <w:t>2006(1) ZLR 45(S) at 458F – 459A.</w:t>
      </w:r>
    </w:p>
    <w:p w14:paraId="45CF9D88" w14:textId="2ECE7E7E" w:rsidR="008D5183" w:rsidRDefault="008D5183"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w:t>
      </w:r>
      <w:r w:rsidR="00903E36">
        <w:rPr>
          <w:rFonts w:ascii="Times New Roman" w:hAnsi="Times New Roman" w:cs="Times New Roman"/>
          <w:sz w:val="24"/>
          <w:szCs w:val="24"/>
        </w:rPr>
        <w:t xml:space="preserve">matter, the respondent has reached that </w:t>
      </w:r>
      <w:r w:rsidR="00BE093B">
        <w:rPr>
          <w:rFonts w:ascii="Times New Roman" w:hAnsi="Times New Roman" w:cs="Times New Roman"/>
          <w:sz w:val="24"/>
          <w:szCs w:val="24"/>
        </w:rPr>
        <w:t xml:space="preserve">threshold </w:t>
      </w:r>
      <w:r w:rsidR="00903E36">
        <w:rPr>
          <w:rFonts w:ascii="Times New Roman" w:hAnsi="Times New Roman" w:cs="Times New Roman"/>
          <w:sz w:val="24"/>
          <w:szCs w:val="24"/>
        </w:rPr>
        <w:t xml:space="preserve">in that he has raised in its opposing affidavit the defence of </w:t>
      </w:r>
      <w:r w:rsidR="00903E36" w:rsidRPr="00903E36">
        <w:rPr>
          <w:rFonts w:ascii="Times New Roman" w:hAnsi="Times New Roman" w:cs="Times New Roman"/>
          <w:i/>
          <w:iCs/>
          <w:sz w:val="24"/>
          <w:szCs w:val="24"/>
        </w:rPr>
        <w:t>lis pende</w:t>
      </w:r>
      <w:r w:rsidR="00BE093B">
        <w:rPr>
          <w:rFonts w:ascii="Times New Roman" w:hAnsi="Times New Roman" w:cs="Times New Roman"/>
          <w:i/>
          <w:iCs/>
          <w:sz w:val="24"/>
          <w:szCs w:val="24"/>
        </w:rPr>
        <w:t>n</w:t>
      </w:r>
      <w:r w:rsidR="00903E36" w:rsidRPr="00903E36">
        <w:rPr>
          <w:rFonts w:ascii="Times New Roman" w:hAnsi="Times New Roman" w:cs="Times New Roman"/>
          <w:i/>
          <w:iCs/>
          <w:sz w:val="24"/>
          <w:szCs w:val="24"/>
        </w:rPr>
        <w:t>is</w:t>
      </w:r>
      <w:r w:rsidR="00903E36">
        <w:rPr>
          <w:rFonts w:ascii="Times New Roman" w:hAnsi="Times New Roman" w:cs="Times New Roman"/>
          <w:sz w:val="24"/>
          <w:szCs w:val="24"/>
        </w:rPr>
        <w:t xml:space="preserve"> with sufficient clarity an completeness.  The </w:t>
      </w:r>
      <w:r w:rsidR="00903E36">
        <w:rPr>
          <w:rFonts w:ascii="Times New Roman" w:hAnsi="Times New Roman" w:cs="Times New Roman"/>
          <w:sz w:val="24"/>
          <w:szCs w:val="24"/>
        </w:rPr>
        <w:lastRenderedPageBreak/>
        <w:t>opposing affidavit disclose</w:t>
      </w:r>
      <w:r w:rsidR="00BE093B">
        <w:rPr>
          <w:rFonts w:ascii="Times New Roman" w:hAnsi="Times New Roman" w:cs="Times New Roman"/>
          <w:sz w:val="24"/>
          <w:szCs w:val="24"/>
        </w:rPr>
        <w:t>s</w:t>
      </w:r>
      <w:r w:rsidR="00903E36">
        <w:rPr>
          <w:rFonts w:ascii="Times New Roman" w:hAnsi="Times New Roman" w:cs="Times New Roman"/>
          <w:sz w:val="24"/>
          <w:szCs w:val="24"/>
        </w:rPr>
        <w:t xml:space="preserve"> facts which if proved at a trial, would enable the respondent to succeed.  It also challenges the appropriateness of the procedure adopted by the applicant to enforce a determination by a Designated Agent.</w:t>
      </w:r>
    </w:p>
    <w:p w14:paraId="5FAC2E28" w14:textId="2D8A62E6" w:rsidR="00903E36" w:rsidRDefault="00903E36"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these are genuine and sincere defences to the applicant’s claim.  The nature and grounds of the defence and the material facts relied upon by the respondent have been fully disclosed.  It is only just </w:t>
      </w:r>
      <w:r w:rsidR="00BE093B">
        <w:rPr>
          <w:rFonts w:ascii="Times New Roman" w:hAnsi="Times New Roman" w:cs="Times New Roman"/>
          <w:sz w:val="24"/>
          <w:szCs w:val="24"/>
        </w:rPr>
        <w:t xml:space="preserve">and fair </w:t>
      </w:r>
      <w:r>
        <w:rPr>
          <w:rFonts w:ascii="Times New Roman" w:hAnsi="Times New Roman" w:cs="Times New Roman"/>
          <w:sz w:val="24"/>
          <w:szCs w:val="24"/>
        </w:rPr>
        <w:t xml:space="preserve">that the legal points raised </w:t>
      </w:r>
      <w:r w:rsidR="005E6787">
        <w:rPr>
          <w:rFonts w:ascii="Times New Roman" w:hAnsi="Times New Roman" w:cs="Times New Roman"/>
          <w:sz w:val="24"/>
          <w:szCs w:val="24"/>
        </w:rPr>
        <w:t>be fully ventilated during a trial.</w:t>
      </w:r>
    </w:p>
    <w:p w14:paraId="378B93FB" w14:textId="33F5D00E" w:rsidR="005E6787" w:rsidRDefault="005E6787" w:rsidP="001C4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take the view that summary judgment is an inappropriate remedy.  Accordingly, it is ordered that;</w:t>
      </w:r>
    </w:p>
    <w:p w14:paraId="1B770E2A" w14:textId="108E72FE" w:rsidR="005E6787" w:rsidRDefault="005E6787" w:rsidP="005E6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summary judgment be and is hereby dismissed with costs.</w:t>
      </w:r>
    </w:p>
    <w:p w14:paraId="3D4EB344" w14:textId="49666A45" w:rsidR="005E6787" w:rsidRDefault="005E6787" w:rsidP="005E6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action shall proceed as if no application for summary judgment had been made.</w:t>
      </w:r>
    </w:p>
    <w:p w14:paraId="3A6F5D09" w14:textId="77777777" w:rsidR="005E6787" w:rsidRDefault="005E6787" w:rsidP="005E6787">
      <w:pPr>
        <w:spacing w:after="0" w:line="360" w:lineRule="auto"/>
        <w:jc w:val="both"/>
        <w:rPr>
          <w:rFonts w:ascii="Times New Roman" w:hAnsi="Times New Roman" w:cs="Times New Roman"/>
          <w:sz w:val="24"/>
          <w:szCs w:val="24"/>
        </w:rPr>
      </w:pPr>
    </w:p>
    <w:p w14:paraId="1F2A825C" w14:textId="77777777" w:rsidR="005E6787" w:rsidRDefault="005E6787" w:rsidP="005E6787">
      <w:pPr>
        <w:spacing w:after="0" w:line="360" w:lineRule="auto"/>
        <w:jc w:val="both"/>
        <w:rPr>
          <w:rFonts w:ascii="Times New Roman" w:hAnsi="Times New Roman" w:cs="Times New Roman"/>
          <w:sz w:val="24"/>
          <w:szCs w:val="24"/>
        </w:rPr>
      </w:pPr>
    </w:p>
    <w:p w14:paraId="28E405BE" w14:textId="77777777" w:rsidR="00AA2A42" w:rsidRDefault="00AA2A42" w:rsidP="005E6787">
      <w:pPr>
        <w:spacing w:after="0" w:line="360" w:lineRule="auto"/>
        <w:jc w:val="both"/>
        <w:rPr>
          <w:rFonts w:ascii="Times New Roman" w:hAnsi="Times New Roman" w:cs="Times New Roman"/>
          <w:sz w:val="24"/>
          <w:szCs w:val="24"/>
        </w:rPr>
      </w:pPr>
    </w:p>
    <w:p w14:paraId="45EE1EF2" w14:textId="3EF188C1" w:rsidR="00AA2A42" w:rsidRDefault="00AA2A42" w:rsidP="00AA2A42">
      <w:pPr>
        <w:spacing w:after="0" w:line="240" w:lineRule="auto"/>
        <w:jc w:val="both"/>
        <w:rPr>
          <w:rFonts w:ascii="Times New Roman" w:hAnsi="Times New Roman" w:cs="Times New Roman"/>
          <w:sz w:val="24"/>
          <w:szCs w:val="24"/>
        </w:rPr>
      </w:pPr>
      <w:r w:rsidRPr="00AA2A42">
        <w:rPr>
          <w:rFonts w:ascii="Times New Roman" w:hAnsi="Times New Roman" w:cs="Times New Roman"/>
          <w:i/>
          <w:iCs/>
          <w:sz w:val="24"/>
          <w:szCs w:val="24"/>
        </w:rPr>
        <w:t>Masasire Law Chambers</w:t>
      </w:r>
      <w:r>
        <w:rPr>
          <w:rFonts w:ascii="Times New Roman" w:hAnsi="Times New Roman" w:cs="Times New Roman"/>
          <w:sz w:val="24"/>
          <w:szCs w:val="24"/>
        </w:rPr>
        <w:t>, applicant’s legal practitioners</w:t>
      </w:r>
    </w:p>
    <w:p w14:paraId="63B8A384" w14:textId="4947588B" w:rsidR="00AA2A42" w:rsidRDefault="00AA2A42" w:rsidP="00AA2A42">
      <w:pPr>
        <w:spacing w:after="0" w:line="240" w:lineRule="auto"/>
        <w:jc w:val="both"/>
        <w:rPr>
          <w:rFonts w:ascii="Times New Roman" w:hAnsi="Times New Roman" w:cs="Times New Roman"/>
          <w:sz w:val="24"/>
          <w:szCs w:val="24"/>
        </w:rPr>
      </w:pPr>
      <w:r w:rsidRPr="00AA2A42">
        <w:rPr>
          <w:rFonts w:ascii="Times New Roman" w:hAnsi="Times New Roman" w:cs="Times New Roman"/>
          <w:i/>
          <w:iCs/>
          <w:sz w:val="24"/>
          <w:szCs w:val="24"/>
        </w:rPr>
        <w:t>Shonai Law Chambers</w:t>
      </w:r>
      <w:r>
        <w:rPr>
          <w:rFonts w:ascii="Times New Roman" w:hAnsi="Times New Roman" w:cs="Times New Roman"/>
          <w:sz w:val="24"/>
          <w:szCs w:val="24"/>
        </w:rPr>
        <w:t>, respondent’s legal practitioners</w:t>
      </w:r>
    </w:p>
    <w:p w14:paraId="0DE0281D" w14:textId="77777777" w:rsidR="00AA2A42" w:rsidRDefault="00AA2A42" w:rsidP="00AA2A42">
      <w:pPr>
        <w:spacing w:after="0" w:line="240" w:lineRule="auto"/>
        <w:jc w:val="both"/>
        <w:rPr>
          <w:rFonts w:ascii="Times New Roman" w:hAnsi="Times New Roman" w:cs="Times New Roman"/>
          <w:sz w:val="24"/>
          <w:szCs w:val="24"/>
        </w:rPr>
      </w:pPr>
    </w:p>
    <w:p w14:paraId="343A557E" w14:textId="77777777" w:rsidR="00AA2A42" w:rsidRDefault="00AA2A42" w:rsidP="00AA2A42">
      <w:pPr>
        <w:spacing w:after="0" w:line="240" w:lineRule="auto"/>
        <w:jc w:val="both"/>
        <w:rPr>
          <w:rFonts w:ascii="Times New Roman" w:hAnsi="Times New Roman" w:cs="Times New Roman"/>
          <w:sz w:val="24"/>
          <w:szCs w:val="24"/>
        </w:rPr>
      </w:pPr>
    </w:p>
    <w:p w14:paraId="4B444C55" w14:textId="77777777" w:rsidR="00AA2A42" w:rsidRDefault="00AA2A42" w:rsidP="00AA2A42">
      <w:pPr>
        <w:spacing w:after="0" w:line="240" w:lineRule="auto"/>
        <w:jc w:val="both"/>
        <w:rPr>
          <w:rFonts w:ascii="Times New Roman" w:hAnsi="Times New Roman" w:cs="Times New Roman"/>
          <w:sz w:val="24"/>
          <w:szCs w:val="24"/>
        </w:rPr>
      </w:pPr>
    </w:p>
    <w:p w14:paraId="3EDD55B2" w14:textId="70C22870" w:rsidR="005E6787" w:rsidRPr="005E6787" w:rsidRDefault="005E6787" w:rsidP="005E6787">
      <w:pPr>
        <w:spacing w:after="0" w:line="360" w:lineRule="auto"/>
        <w:jc w:val="both"/>
        <w:rPr>
          <w:rFonts w:ascii="Times New Roman" w:hAnsi="Times New Roman" w:cs="Times New Roman"/>
          <w:sz w:val="24"/>
          <w:szCs w:val="24"/>
        </w:rPr>
      </w:pPr>
      <w:r w:rsidRPr="005E6787">
        <w:rPr>
          <w:rFonts w:ascii="Times New Roman" w:hAnsi="Times New Roman" w:cs="Times New Roman"/>
          <w:b/>
          <w:bCs/>
          <w:smallCaps/>
          <w:sz w:val="24"/>
          <w:szCs w:val="24"/>
        </w:rPr>
        <w:t>Takuva</w:t>
      </w:r>
      <w:r w:rsidRPr="005E6787">
        <w:rPr>
          <w:rFonts w:ascii="Times New Roman" w:hAnsi="Times New Roman" w:cs="Times New Roman"/>
          <w:b/>
          <w:bCs/>
          <w:sz w:val="24"/>
          <w:szCs w:val="24"/>
        </w:rPr>
        <w:t xml:space="preserve"> J</w:t>
      </w:r>
      <w:r>
        <w:rPr>
          <w:rFonts w:ascii="Times New Roman" w:hAnsi="Times New Roman" w:cs="Times New Roman"/>
          <w:sz w:val="24"/>
          <w:szCs w:val="24"/>
        </w:rPr>
        <w:t>:………………</w:t>
      </w:r>
    </w:p>
    <w:p w14:paraId="6EB2DBB5" w14:textId="77777777" w:rsidR="008D5183" w:rsidRDefault="008D5183" w:rsidP="001C43EA">
      <w:pPr>
        <w:spacing w:after="0" w:line="360" w:lineRule="auto"/>
        <w:ind w:firstLine="720"/>
        <w:jc w:val="both"/>
        <w:rPr>
          <w:rFonts w:ascii="Times New Roman" w:hAnsi="Times New Roman" w:cs="Times New Roman"/>
          <w:sz w:val="24"/>
          <w:szCs w:val="24"/>
        </w:rPr>
      </w:pPr>
    </w:p>
    <w:p w14:paraId="398E75A7" w14:textId="77777777" w:rsidR="00E30D49" w:rsidRDefault="00E30D49" w:rsidP="001C43EA">
      <w:pPr>
        <w:spacing w:after="0" w:line="360" w:lineRule="auto"/>
        <w:ind w:firstLine="720"/>
        <w:jc w:val="both"/>
        <w:rPr>
          <w:rFonts w:ascii="Times New Roman" w:hAnsi="Times New Roman" w:cs="Times New Roman"/>
          <w:sz w:val="24"/>
          <w:szCs w:val="24"/>
        </w:rPr>
      </w:pPr>
    </w:p>
    <w:p w14:paraId="5EC0AB27" w14:textId="77777777" w:rsidR="00E30D49" w:rsidRDefault="00E30D49" w:rsidP="001C43EA">
      <w:pPr>
        <w:spacing w:after="0" w:line="360" w:lineRule="auto"/>
        <w:ind w:firstLine="720"/>
        <w:jc w:val="both"/>
        <w:rPr>
          <w:rFonts w:ascii="Times New Roman" w:hAnsi="Times New Roman" w:cs="Times New Roman"/>
          <w:sz w:val="24"/>
          <w:szCs w:val="24"/>
        </w:rPr>
      </w:pPr>
    </w:p>
    <w:p w14:paraId="1F625293" w14:textId="77777777" w:rsidR="001C43EA" w:rsidRDefault="001C43EA" w:rsidP="0030115E">
      <w:pPr>
        <w:spacing w:line="360" w:lineRule="auto"/>
        <w:ind w:firstLine="720"/>
        <w:jc w:val="both"/>
        <w:rPr>
          <w:rFonts w:ascii="Times New Roman" w:hAnsi="Times New Roman" w:cs="Times New Roman"/>
          <w:sz w:val="24"/>
          <w:szCs w:val="24"/>
        </w:rPr>
      </w:pPr>
    </w:p>
    <w:p w14:paraId="346738FA" w14:textId="77777777" w:rsidR="0030115E" w:rsidRDefault="0030115E"/>
    <w:sectPr w:rsidR="003011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62892" w14:textId="77777777" w:rsidR="00E00407" w:rsidRDefault="00E00407" w:rsidP="0030115E">
      <w:pPr>
        <w:spacing w:after="0" w:line="240" w:lineRule="auto"/>
      </w:pPr>
      <w:r>
        <w:separator/>
      </w:r>
    </w:p>
  </w:endnote>
  <w:endnote w:type="continuationSeparator" w:id="0">
    <w:p w14:paraId="5B15772E" w14:textId="77777777" w:rsidR="00E00407" w:rsidRDefault="00E00407" w:rsidP="0030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C815" w14:textId="77777777" w:rsidR="00E00407" w:rsidRDefault="00E00407" w:rsidP="0030115E">
      <w:pPr>
        <w:spacing w:after="0" w:line="240" w:lineRule="auto"/>
      </w:pPr>
      <w:r>
        <w:separator/>
      </w:r>
    </w:p>
  </w:footnote>
  <w:footnote w:type="continuationSeparator" w:id="0">
    <w:p w14:paraId="63755C37" w14:textId="77777777" w:rsidR="00E00407" w:rsidRDefault="00E00407" w:rsidP="0030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895394"/>
      <w:docPartObj>
        <w:docPartGallery w:val="Page Numbers (Top of Page)"/>
        <w:docPartUnique/>
      </w:docPartObj>
    </w:sdtPr>
    <w:sdtEndPr>
      <w:rPr>
        <w:noProof/>
      </w:rPr>
    </w:sdtEndPr>
    <w:sdtContent>
      <w:p w14:paraId="0D0B3C8F" w14:textId="499F9525" w:rsidR="0030115E" w:rsidRDefault="0030115E">
        <w:pPr>
          <w:pStyle w:val="Header"/>
          <w:jc w:val="right"/>
          <w:rPr>
            <w:noProof/>
          </w:rPr>
        </w:pPr>
        <w:r>
          <w:fldChar w:fldCharType="begin"/>
        </w:r>
        <w:r>
          <w:instrText xml:space="preserve"> PAGE   \* MERGEFORMAT </w:instrText>
        </w:r>
        <w:r>
          <w:fldChar w:fldCharType="separate"/>
        </w:r>
        <w:r w:rsidR="002748FB">
          <w:rPr>
            <w:noProof/>
          </w:rPr>
          <w:t>1</w:t>
        </w:r>
        <w:r>
          <w:rPr>
            <w:noProof/>
          </w:rPr>
          <w:fldChar w:fldCharType="end"/>
        </w:r>
      </w:p>
      <w:p w14:paraId="697BCD53" w14:textId="36951708" w:rsidR="0030115E" w:rsidRDefault="0030115E">
        <w:pPr>
          <w:pStyle w:val="Header"/>
          <w:jc w:val="right"/>
          <w:rPr>
            <w:noProof/>
          </w:rPr>
        </w:pPr>
        <w:r>
          <w:rPr>
            <w:noProof/>
          </w:rPr>
          <w:t>HH</w:t>
        </w:r>
        <w:r w:rsidR="008E69BA">
          <w:rPr>
            <w:noProof/>
          </w:rPr>
          <w:t xml:space="preserve"> 564-24</w:t>
        </w:r>
      </w:p>
      <w:p w14:paraId="57078469" w14:textId="4FB73D5E" w:rsidR="0030115E" w:rsidRDefault="0030115E">
        <w:pPr>
          <w:pStyle w:val="Header"/>
          <w:jc w:val="right"/>
        </w:pPr>
        <w:r>
          <w:rPr>
            <w:noProof/>
          </w:rPr>
          <w:t>HCH 1764/23</w:t>
        </w:r>
      </w:p>
    </w:sdtContent>
  </w:sdt>
  <w:p w14:paraId="43D01860" w14:textId="77777777" w:rsidR="0030115E" w:rsidRDefault="003011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60BA"/>
    <w:multiLevelType w:val="hybridMultilevel"/>
    <w:tmpl w:val="713EAFF6"/>
    <w:lvl w:ilvl="0" w:tplc="38940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5E"/>
    <w:rsid w:val="0017408B"/>
    <w:rsid w:val="001C43EA"/>
    <w:rsid w:val="002748FB"/>
    <w:rsid w:val="00293A84"/>
    <w:rsid w:val="0030115E"/>
    <w:rsid w:val="00383396"/>
    <w:rsid w:val="003958CC"/>
    <w:rsid w:val="005350B2"/>
    <w:rsid w:val="005E6787"/>
    <w:rsid w:val="006E2159"/>
    <w:rsid w:val="007143BA"/>
    <w:rsid w:val="00740780"/>
    <w:rsid w:val="007957F0"/>
    <w:rsid w:val="007C2F9E"/>
    <w:rsid w:val="008D5183"/>
    <w:rsid w:val="008E69BA"/>
    <w:rsid w:val="00903E36"/>
    <w:rsid w:val="00964CFA"/>
    <w:rsid w:val="00AA2A42"/>
    <w:rsid w:val="00AC314B"/>
    <w:rsid w:val="00B520DC"/>
    <w:rsid w:val="00BE093B"/>
    <w:rsid w:val="00D220B7"/>
    <w:rsid w:val="00DE4F0D"/>
    <w:rsid w:val="00DF0774"/>
    <w:rsid w:val="00E00407"/>
    <w:rsid w:val="00E30D49"/>
    <w:rsid w:val="00E36094"/>
    <w:rsid w:val="00EA206E"/>
    <w:rsid w:val="00EC223E"/>
    <w:rsid w:val="00F3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3E98"/>
  <w15:chartTrackingRefBased/>
  <w15:docId w15:val="{ED8F09B9-2C41-446D-BD2C-50A50F0E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15E"/>
    <w:rPr>
      <w:kern w:val="0"/>
      <w14:ligatures w14:val="none"/>
    </w:rPr>
  </w:style>
  <w:style w:type="paragraph" w:styleId="Footer">
    <w:name w:val="footer"/>
    <w:basedOn w:val="Normal"/>
    <w:link w:val="FooterChar"/>
    <w:uiPriority w:val="99"/>
    <w:unhideWhenUsed/>
    <w:rsid w:val="00301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5E"/>
    <w:rPr>
      <w:kern w:val="0"/>
      <w14:ligatures w14:val="none"/>
    </w:rPr>
  </w:style>
  <w:style w:type="paragraph" w:styleId="ListParagraph">
    <w:name w:val="List Paragraph"/>
    <w:basedOn w:val="Normal"/>
    <w:uiPriority w:val="34"/>
    <w:qFormat/>
    <w:rsid w:val="005E6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2024-11-29T10:09:00Z</dcterms:created>
  <dcterms:modified xsi:type="dcterms:W3CDTF">2024-11-29T10:09:00Z</dcterms:modified>
</cp:coreProperties>
</file>