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C1F1A" w14:textId="77777777" w:rsidR="000F3EE4" w:rsidRDefault="000F3EE4" w:rsidP="003174E8">
      <w:pPr>
        <w:spacing w:after="0" w:line="240" w:lineRule="auto"/>
        <w:jc w:val="both"/>
        <w:rPr>
          <w:rFonts w:ascii="Times New Roman" w:hAnsi="Times New Roman"/>
          <w:sz w:val="24"/>
          <w:szCs w:val="24"/>
        </w:rPr>
      </w:pPr>
      <w:bookmarkStart w:id="0" w:name="_GoBack"/>
      <w:bookmarkEnd w:id="0"/>
      <w:r>
        <w:rPr>
          <w:rFonts w:ascii="Times New Roman" w:hAnsi="Times New Roman"/>
          <w:sz w:val="24"/>
          <w:szCs w:val="24"/>
        </w:rPr>
        <w:t>JOSEPHINE MAKONDORA</w:t>
      </w:r>
    </w:p>
    <w:p w14:paraId="42520A74" w14:textId="63900E85" w:rsidR="000F3EE4" w:rsidRDefault="003174E8" w:rsidP="003174E8">
      <w:pPr>
        <w:spacing w:after="0" w:line="240" w:lineRule="auto"/>
        <w:jc w:val="both"/>
        <w:rPr>
          <w:rFonts w:ascii="Times New Roman" w:hAnsi="Times New Roman"/>
          <w:sz w:val="24"/>
          <w:szCs w:val="24"/>
        </w:rPr>
      </w:pPr>
      <w:r>
        <w:rPr>
          <w:rFonts w:ascii="Times New Roman" w:hAnsi="Times New Roman"/>
          <w:sz w:val="24"/>
          <w:szCs w:val="24"/>
        </w:rPr>
        <w:t>v</w:t>
      </w:r>
      <w:r w:rsidR="000F3EE4">
        <w:rPr>
          <w:rFonts w:ascii="Times New Roman" w:hAnsi="Times New Roman"/>
          <w:sz w:val="24"/>
          <w:szCs w:val="24"/>
        </w:rPr>
        <w:t xml:space="preserve">ersus </w:t>
      </w:r>
    </w:p>
    <w:p w14:paraId="6067CE18" w14:textId="77777777" w:rsidR="000F3EE4" w:rsidRDefault="000F3EE4" w:rsidP="003174E8">
      <w:pPr>
        <w:spacing w:after="0" w:line="240" w:lineRule="auto"/>
        <w:jc w:val="both"/>
        <w:rPr>
          <w:rFonts w:ascii="Times New Roman" w:hAnsi="Times New Roman"/>
          <w:sz w:val="24"/>
          <w:szCs w:val="24"/>
        </w:rPr>
      </w:pPr>
      <w:r>
        <w:rPr>
          <w:rFonts w:ascii="Times New Roman" w:hAnsi="Times New Roman"/>
          <w:sz w:val="24"/>
          <w:szCs w:val="24"/>
        </w:rPr>
        <w:t xml:space="preserve">THE VINCENT KANONGOVERE TRUST </w:t>
      </w:r>
    </w:p>
    <w:p w14:paraId="095A5347" w14:textId="650ACCB8" w:rsidR="000F3EE4" w:rsidRDefault="003174E8" w:rsidP="003174E8">
      <w:pPr>
        <w:spacing w:after="0" w:line="240" w:lineRule="auto"/>
        <w:jc w:val="both"/>
        <w:rPr>
          <w:rFonts w:ascii="Times New Roman" w:hAnsi="Times New Roman"/>
          <w:sz w:val="24"/>
          <w:szCs w:val="24"/>
        </w:rPr>
      </w:pPr>
      <w:r>
        <w:rPr>
          <w:rFonts w:ascii="Times New Roman" w:hAnsi="Times New Roman"/>
          <w:sz w:val="24"/>
          <w:szCs w:val="24"/>
        </w:rPr>
        <w:t>a</w:t>
      </w:r>
      <w:r w:rsidR="000F3EE4">
        <w:rPr>
          <w:rFonts w:ascii="Times New Roman" w:hAnsi="Times New Roman"/>
          <w:sz w:val="24"/>
          <w:szCs w:val="24"/>
        </w:rPr>
        <w:t xml:space="preserve">nd </w:t>
      </w:r>
    </w:p>
    <w:p w14:paraId="69397520" w14:textId="77777777" w:rsidR="000F3EE4" w:rsidRDefault="000F3EE4" w:rsidP="003174E8">
      <w:pPr>
        <w:spacing w:after="0" w:line="240" w:lineRule="auto"/>
        <w:jc w:val="both"/>
        <w:rPr>
          <w:rFonts w:ascii="Times New Roman" w:hAnsi="Times New Roman"/>
          <w:sz w:val="24"/>
          <w:szCs w:val="24"/>
        </w:rPr>
      </w:pPr>
      <w:r>
        <w:rPr>
          <w:rFonts w:ascii="Times New Roman" w:hAnsi="Times New Roman"/>
          <w:sz w:val="24"/>
          <w:szCs w:val="24"/>
        </w:rPr>
        <w:t>EVISON ZUZE</w:t>
      </w:r>
    </w:p>
    <w:p w14:paraId="5C4F3E84" w14:textId="002D171D" w:rsidR="000F3EE4" w:rsidRDefault="003174E8" w:rsidP="003174E8">
      <w:pPr>
        <w:spacing w:after="0" w:line="240" w:lineRule="auto"/>
        <w:jc w:val="both"/>
        <w:rPr>
          <w:rFonts w:ascii="Times New Roman" w:hAnsi="Times New Roman"/>
          <w:sz w:val="24"/>
          <w:szCs w:val="24"/>
        </w:rPr>
      </w:pPr>
      <w:r>
        <w:rPr>
          <w:rFonts w:ascii="Times New Roman" w:hAnsi="Times New Roman"/>
          <w:sz w:val="24"/>
          <w:szCs w:val="24"/>
        </w:rPr>
        <w:t>a</w:t>
      </w:r>
      <w:r w:rsidR="000F3EE4">
        <w:rPr>
          <w:rFonts w:ascii="Times New Roman" w:hAnsi="Times New Roman"/>
          <w:sz w:val="24"/>
          <w:szCs w:val="24"/>
        </w:rPr>
        <w:t xml:space="preserve">nd </w:t>
      </w:r>
    </w:p>
    <w:p w14:paraId="671E2B63" w14:textId="77777777" w:rsidR="000F3EE4" w:rsidRDefault="000F3EE4" w:rsidP="003174E8">
      <w:pPr>
        <w:spacing w:after="0" w:line="240" w:lineRule="auto"/>
        <w:jc w:val="both"/>
        <w:rPr>
          <w:rFonts w:ascii="Times New Roman" w:hAnsi="Times New Roman"/>
          <w:sz w:val="24"/>
          <w:szCs w:val="24"/>
        </w:rPr>
      </w:pPr>
      <w:r>
        <w:rPr>
          <w:rFonts w:ascii="Times New Roman" w:hAnsi="Times New Roman"/>
          <w:sz w:val="24"/>
          <w:szCs w:val="24"/>
        </w:rPr>
        <w:t>THE REGISTRAR OF DEEDS N.O</w:t>
      </w:r>
    </w:p>
    <w:p w14:paraId="0B736237" w14:textId="10658F8B" w:rsidR="000F3EE4" w:rsidRDefault="003174E8" w:rsidP="003174E8">
      <w:pPr>
        <w:spacing w:after="0" w:line="240" w:lineRule="auto"/>
        <w:jc w:val="both"/>
        <w:rPr>
          <w:rFonts w:ascii="Times New Roman" w:hAnsi="Times New Roman"/>
          <w:sz w:val="24"/>
          <w:szCs w:val="24"/>
        </w:rPr>
      </w:pPr>
      <w:r>
        <w:rPr>
          <w:rFonts w:ascii="Times New Roman" w:hAnsi="Times New Roman"/>
          <w:sz w:val="24"/>
          <w:szCs w:val="24"/>
        </w:rPr>
        <w:t>a</w:t>
      </w:r>
      <w:r w:rsidR="000F3EE4">
        <w:rPr>
          <w:rFonts w:ascii="Times New Roman" w:hAnsi="Times New Roman"/>
          <w:sz w:val="24"/>
          <w:szCs w:val="24"/>
        </w:rPr>
        <w:t xml:space="preserve">nd </w:t>
      </w:r>
    </w:p>
    <w:p w14:paraId="648B8503" w14:textId="77777777" w:rsidR="000F3EE4" w:rsidRDefault="000F3EE4" w:rsidP="003174E8">
      <w:pPr>
        <w:spacing w:after="0" w:line="240" w:lineRule="auto"/>
        <w:jc w:val="both"/>
        <w:rPr>
          <w:rFonts w:ascii="Times New Roman" w:hAnsi="Times New Roman"/>
          <w:sz w:val="24"/>
          <w:szCs w:val="24"/>
        </w:rPr>
      </w:pPr>
      <w:r>
        <w:rPr>
          <w:rFonts w:ascii="Times New Roman" w:hAnsi="Times New Roman"/>
          <w:sz w:val="24"/>
          <w:szCs w:val="24"/>
        </w:rPr>
        <w:t>THE SHERIFF FOR ZIMBABWE N.O</w:t>
      </w:r>
    </w:p>
    <w:p w14:paraId="577AA44C" w14:textId="234071AF" w:rsidR="000F3EE4" w:rsidRDefault="000F3EE4" w:rsidP="003174E8">
      <w:pPr>
        <w:spacing w:after="0" w:line="240" w:lineRule="auto"/>
        <w:jc w:val="both"/>
        <w:rPr>
          <w:rFonts w:ascii="Times New Roman" w:hAnsi="Times New Roman"/>
          <w:sz w:val="24"/>
          <w:szCs w:val="24"/>
        </w:rPr>
      </w:pPr>
    </w:p>
    <w:p w14:paraId="7A560429" w14:textId="77777777" w:rsidR="003174E8" w:rsidRDefault="003174E8" w:rsidP="003174E8">
      <w:pPr>
        <w:spacing w:after="0" w:line="240" w:lineRule="auto"/>
        <w:jc w:val="both"/>
        <w:rPr>
          <w:rFonts w:ascii="Times New Roman" w:hAnsi="Times New Roman"/>
          <w:sz w:val="24"/>
          <w:szCs w:val="24"/>
        </w:rPr>
      </w:pPr>
    </w:p>
    <w:p w14:paraId="16FDDA25" w14:textId="77777777" w:rsidR="000F3EE4" w:rsidRDefault="000F3EE4" w:rsidP="003174E8">
      <w:pPr>
        <w:spacing w:after="0" w:line="240" w:lineRule="auto"/>
        <w:jc w:val="both"/>
        <w:rPr>
          <w:rFonts w:ascii="Times New Roman" w:hAnsi="Times New Roman"/>
          <w:sz w:val="24"/>
          <w:szCs w:val="24"/>
        </w:rPr>
      </w:pPr>
      <w:r>
        <w:rPr>
          <w:rFonts w:ascii="Times New Roman" w:hAnsi="Times New Roman"/>
          <w:sz w:val="24"/>
          <w:szCs w:val="24"/>
        </w:rPr>
        <w:t>HIGH COURT OF ZIMBABWE</w:t>
      </w:r>
    </w:p>
    <w:p w14:paraId="23A66B73" w14:textId="77777777" w:rsidR="000F3EE4" w:rsidRDefault="000F3EE4" w:rsidP="003174E8">
      <w:pPr>
        <w:spacing w:after="0" w:line="240" w:lineRule="auto"/>
        <w:jc w:val="both"/>
        <w:rPr>
          <w:rFonts w:ascii="Times New Roman" w:hAnsi="Times New Roman"/>
          <w:sz w:val="24"/>
          <w:szCs w:val="24"/>
        </w:rPr>
      </w:pPr>
      <w:r>
        <w:rPr>
          <w:rFonts w:ascii="Times New Roman" w:hAnsi="Times New Roman"/>
          <w:sz w:val="24"/>
          <w:szCs w:val="24"/>
        </w:rPr>
        <w:t>MUZOFA J</w:t>
      </w:r>
    </w:p>
    <w:p w14:paraId="4274E27C" w14:textId="64DDBF26" w:rsidR="000F3EE4" w:rsidRDefault="00C34AB2" w:rsidP="003174E8">
      <w:pPr>
        <w:spacing w:after="0" w:line="240" w:lineRule="auto"/>
        <w:jc w:val="both"/>
        <w:rPr>
          <w:rFonts w:ascii="Times New Roman" w:hAnsi="Times New Roman"/>
          <w:sz w:val="24"/>
          <w:szCs w:val="24"/>
        </w:rPr>
      </w:pPr>
      <w:r>
        <w:rPr>
          <w:rFonts w:ascii="Times New Roman" w:hAnsi="Times New Roman"/>
          <w:sz w:val="24"/>
          <w:szCs w:val="24"/>
        </w:rPr>
        <w:t xml:space="preserve">HARARE, 13 October 2021 &amp; 3 </w:t>
      </w:r>
      <w:r w:rsidR="00617051">
        <w:rPr>
          <w:rFonts w:ascii="Times New Roman" w:hAnsi="Times New Roman"/>
          <w:sz w:val="24"/>
          <w:szCs w:val="24"/>
        </w:rPr>
        <w:t>February</w:t>
      </w:r>
      <w:r w:rsidR="000F3EE4">
        <w:rPr>
          <w:rFonts w:ascii="Times New Roman" w:hAnsi="Times New Roman"/>
          <w:sz w:val="24"/>
          <w:szCs w:val="24"/>
        </w:rPr>
        <w:t xml:space="preserve"> 2022</w:t>
      </w:r>
    </w:p>
    <w:p w14:paraId="1921825F" w14:textId="50EAA4EF" w:rsidR="000F3EE4" w:rsidRDefault="000F3EE4" w:rsidP="003174E8">
      <w:pPr>
        <w:spacing w:after="0" w:line="240" w:lineRule="auto"/>
        <w:jc w:val="both"/>
        <w:rPr>
          <w:rFonts w:ascii="Times New Roman" w:hAnsi="Times New Roman"/>
          <w:sz w:val="24"/>
          <w:szCs w:val="24"/>
        </w:rPr>
      </w:pPr>
    </w:p>
    <w:p w14:paraId="54C65165" w14:textId="77777777" w:rsidR="003174E8" w:rsidRDefault="003174E8" w:rsidP="003174E8">
      <w:pPr>
        <w:spacing w:after="0" w:line="240" w:lineRule="auto"/>
        <w:jc w:val="both"/>
        <w:rPr>
          <w:rFonts w:ascii="Times New Roman" w:hAnsi="Times New Roman"/>
          <w:sz w:val="24"/>
          <w:szCs w:val="24"/>
        </w:rPr>
      </w:pPr>
    </w:p>
    <w:p w14:paraId="35932964" w14:textId="6CA49D0B" w:rsidR="000F3EE4" w:rsidRPr="003174E8" w:rsidRDefault="000F3EE4" w:rsidP="003174E8">
      <w:pPr>
        <w:spacing w:after="0" w:line="240" w:lineRule="auto"/>
        <w:jc w:val="both"/>
        <w:rPr>
          <w:rFonts w:ascii="Times New Roman" w:hAnsi="Times New Roman"/>
          <w:b/>
          <w:sz w:val="24"/>
          <w:szCs w:val="24"/>
        </w:rPr>
      </w:pPr>
      <w:r w:rsidRPr="003174E8">
        <w:rPr>
          <w:rFonts w:ascii="Times New Roman" w:hAnsi="Times New Roman"/>
          <w:b/>
          <w:sz w:val="24"/>
          <w:szCs w:val="24"/>
        </w:rPr>
        <w:t>Opposed</w:t>
      </w:r>
      <w:r w:rsidR="00873A76" w:rsidRPr="003174E8">
        <w:rPr>
          <w:rFonts w:ascii="Times New Roman" w:hAnsi="Times New Roman"/>
          <w:b/>
          <w:sz w:val="24"/>
          <w:szCs w:val="24"/>
        </w:rPr>
        <w:t xml:space="preserve"> Court</w:t>
      </w:r>
      <w:r w:rsidRPr="003174E8">
        <w:rPr>
          <w:rFonts w:ascii="Times New Roman" w:hAnsi="Times New Roman"/>
          <w:b/>
          <w:sz w:val="24"/>
          <w:szCs w:val="24"/>
        </w:rPr>
        <w:t xml:space="preserve"> Application</w:t>
      </w:r>
    </w:p>
    <w:p w14:paraId="69A7A19D" w14:textId="77777777" w:rsidR="000F3EE4" w:rsidRDefault="000F3EE4" w:rsidP="003174E8">
      <w:pPr>
        <w:spacing w:after="0" w:line="240" w:lineRule="auto"/>
        <w:jc w:val="both"/>
        <w:rPr>
          <w:rFonts w:ascii="Times New Roman" w:hAnsi="Times New Roman"/>
          <w:sz w:val="24"/>
          <w:szCs w:val="24"/>
        </w:rPr>
      </w:pPr>
    </w:p>
    <w:p w14:paraId="5EEFFE64" w14:textId="77777777" w:rsidR="000F3EE4" w:rsidRDefault="000F3EE4" w:rsidP="003174E8">
      <w:pPr>
        <w:spacing w:after="0" w:line="240" w:lineRule="auto"/>
        <w:jc w:val="both"/>
        <w:rPr>
          <w:rFonts w:ascii="Times New Roman" w:hAnsi="Times New Roman"/>
          <w:sz w:val="24"/>
          <w:szCs w:val="24"/>
        </w:rPr>
      </w:pPr>
      <w:r w:rsidRPr="000F3EE4">
        <w:rPr>
          <w:rFonts w:ascii="Times New Roman" w:hAnsi="Times New Roman"/>
          <w:i/>
          <w:sz w:val="24"/>
          <w:szCs w:val="24"/>
        </w:rPr>
        <w:t>T Zhuwarara</w:t>
      </w:r>
      <w:r>
        <w:rPr>
          <w:rFonts w:ascii="Times New Roman" w:hAnsi="Times New Roman"/>
          <w:sz w:val="24"/>
          <w:szCs w:val="24"/>
        </w:rPr>
        <w:t>, for the applicant</w:t>
      </w:r>
    </w:p>
    <w:p w14:paraId="37FF33EC" w14:textId="77777777" w:rsidR="000F3EE4" w:rsidRDefault="000F3EE4" w:rsidP="003174E8">
      <w:pPr>
        <w:spacing w:after="0" w:line="240" w:lineRule="auto"/>
        <w:jc w:val="both"/>
        <w:rPr>
          <w:rFonts w:ascii="Times New Roman" w:hAnsi="Times New Roman"/>
          <w:sz w:val="24"/>
          <w:szCs w:val="24"/>
        </w:rPr>
      </w:pPr>
      <w:r w:rsidRPr="000F3EE4">
        <w:rPr>
          <w:rFonts w:ascii="Times New Roman" w:hAnsi="Times New Roman"/>
          <w:i/>
          <w:sz w:val="24"/>
          <w:szCs w:val="24"/>
        </w:rPr>
        <w:t>N Munetsi</w:t>
      </w:r>
      <w:r>
        <w:rPr>
          <w:rFonts w:ascii="Times New Roman" w:hAnsi="Times New Roman"/>
          <w:sz w:val="24"/>
          <w:szCs w:val="24"/>
        </w:rPr>
        <w:t>, for the 1</w:t>
      </w:r>
      <w:r w:rsidRPr="000F3EE4">
        <w:rPr>
          <w:rFonts w:ascii="Times New Roman" w:hAnsi="Times New Roman"/>
          <w:sz w:val="24"/>
          <w:szCs w:val="24"/>
          <w:vertAlign w:val="superscript"/>
        </w:rPr>
        <w:t>st</w:t>
      </w:r>
      <w:r>
        <w:rPr>
          <w:rFonts w:ascii="Times New Roman" w:hAnsi="Times New Roman"/>
          <w:sz w:val="24"/>
          <w:szCs w:val="24"/>
        </w:rPr>
        <w:t xml:space="preserve"> respondent</w:t>
      </w:r>
    </w:p>
    <w:p w14:paraId="5477A64C" w14:textId="77777777" w:rsidR="000F3EE4" w:rsidRDefault="000F3EE4" w:rsidP="003174E8">
      <w:pPr>
        <w:spacing w:after="0" w:line="240" w:lineRule="auto"/>
        <w:jc w:val="both"/>
        <w:rPr>
          <w:rFonts w:ascii="Times New Roman" w:hAnsi="Times New Roman"/>
          <w:sz w:val="24"/>
          <w:szCs w:val="24"/>
        </w:rPr>
      </w:pPr>
      <w:r w:rsidRPr="000F3EE4">
        <w:rPr>
          <w:rFonts w:ascii="Times New Roman" w:hAnsi="Times New Roman"/>
          <w:i/>
          <w:sz w:val="24"/>
          <w:szCs w:val="24"/>
        </w:rPr>
        <w:t>L Madhuku</w:t>
      </w:r>
      <w:r>
        <w:rPr>
          <w:rFonts w:ascii="Times New Roman" w:hAnsi="Times New Roman"/>
          <w:sz w:val="24"/>
          <w:szCs w:val="24"/>
        </w:rPr>
        <w:t>, for the 2</w:t>
      </w:r>
      <w:r w:rsidRPr="000F3EE4">
        <w:rPr>
          <w:rFonts w:ascii="Times New Roman" w:hAnsi="Times New Roman"/>
          <w:sz w:val="24"/>
          <w:szCs w:val="24"/>
          <w:vertAlign w:val="superscript"/>
        </w:rPr>
        <w:t>nd</w:t>
      </w:r>
      <w:r>
        <w:rPr>
          <w:rFonts w:ascii="Times New Roman" w:hAnsi="Times New Roman"/>
          <w:sz w:val="24"/>
          <w:szCs w:val="24"/>
        </w:rPr>
        <w:t xml:space="preserve"> respondent</w:t>
      </w:r>
    </w:p>
    <w:p w14:paraId="0D3388FB" w14:textId="77777777" w:rsidR="000F3EE4" w:rsidRDefault="000F3EE4" w:rsidP="003174E8">
      <w:pPr>
        <w:spacing w:after="0" w:line="240" w:lineRule="auto"/>
        <w:jc w:val="both"/>
        <w:rPr>
          <w:rFonts w:ascii="Times New Roman" w:hAnsi="Times New Roman"/>
          <w:sz w:val="24"/>
          <w:szCs w:val="24"/>
        </w:rPr>
      </w:pPr>
    </w:p>
    <w:p w14:paraId="0D1AB0B8" w14:textId="77777777" w:rsidR="000F3EE4" w:rsidRDefault="000F3EE4" w:rsidP="003174E8">
      <w:pPr>
        <w:spacing w:after="0" w:line="240" w:lineRule="auto"/>
        <w:jc w:val="both"/>
        <w:rPr>
          <w:rFonts w:ascii="Times New Roman" w:hAnsi="Times New Roman"/>
          <w:sz w:val="24"/>
          <w:szCs w:val="24"/>
        </w:rPr>
      </w:pPr>
    </w:p>
    <w:p w14:paraId="53FA4AC6" w14:textId="5F517BF6" w:rsidR="000F3EE4" w:rsidRDefault="000F3EE4" w:rsidP="00093988">
      <w:pPr>
        <w:spacing w:after="0" w:line="360" w:lineRule="auto"/>
        <w:ind w:firstLine="720"/>
        <w:jc w:val="both"/>
        <w:rPr>
          <w:rFonts w:ascii="Times New Roman" w:hAnsi="Times New Roman"/>
          <w:sz w:val="24"/>
          <w:szCs w:val="24"/>
        </w:rPr>
      </w:pPr>
      <w:r>
        <w:rPr>
          <w:rFonts w:ascii="Times New Roman" w:hAnsi="Times New Roman"/>
          <w:sz w:val="24"/>
          <w:szCs w:val="24"/>
        </w:rPr>
        <w:t>MUZOFA J. This is an application for a declaratur and consequential relief arising out of a sale of property belong</w:t>
      </w:r>
      <w:r w:rsidR="00593B15">
        <w:rPr>
          <w:rFonts w:ascii="Times New Roman" w:hAnsi="Times New Roman"/>
          <w:sz w:val="24"/>
          <w:szCs w:val="24"/>
        </w:rPr>
        <w:t>ing</w:t>
      </w:r>
      <w:r>
        <w:rPr>
          <w:rFonts w:ascii="Times New Roman" w:hAnsi="Times New Roman"/>
          <w:sz w:val="24"/>
          <w:szCs w:val="24"/>
        </w:rPr>
        <w:t xml:space="preserve"> to the applicant.</w:t>
      </w:r>
    </w:p>
    <w:p w14:paraId="44137628" w14:textId="3E17B81C" w:rsidR="000F3EE4" w:rsidRDefault="000F3EE4" w:rsidP="00093988">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applicant is a female adult who can sue in her capacity. The first respondent is a Trust </w:t>
      </w:r>
      <w:r w:rsidR="00D018A3">
        <w:rPr>
          <w:rFonts w:ascii="Times New Roman" w:hAnsi="Times New Roman"/>
          <w:sz w:val="24"/>
          <w:szCs w:val="24"/>
        </w:rPr>
        <w:t>re</w:t>
      </w:r>
      <w:r w:rsidR="00593B15">
        <w:rPr>
          <w:rFonts w:ascii="Times New Roman" w:hAnsi="Times New Roman"/>
          <w:sz w:val="24"/>
          <w:szCs w:val="24"/>
        </w:rPr>
        <w:t>gistered in terms of the laws of</w:t>
      </w:r>
      <w:r w:rsidR="00D018A3">
        <w:rPr>
          <w:rFonts w:ascii="Times New Roman" w:hAnsi="Times New Roman"/>
          <w:sz w:val="24"/>
          <w:szCs w:val="24"/>
        </w:rPr>
        <w:t xml:space="preserve"> </w:t>
      </w:r>
      <w:r w:rsidR="008F3C2F">
        <w:rPr>
          <w:rFonts w:ascii="Times New Roman" w:hAnsi="Times New Roman"/>
          <w:sz w:val="24"/>
          <w:szCs w:val="24"/>
        </w:rPr>
        <w:t>Zimbabwe. The</w:t>
      </w:r>
      <w:r w:rsidR="00D018A3">
        <w:rPr>
          <w:rFonts w:ascii="Times New Roman" w:hAnsi="Times New Roman"/>
          <w:sz w:val="24"/>
          <w:szCs w:val="24"/>
        </w:rPr>
        <w:t xml:space="preserve"> second respondent is a male </w:t>
      </w:r>
      <w:r w:rsidR="008F3C2F">
        <w:rPr>
          <w:rFonts w:ascii="Times New Roman" w:hAnsi="Times New Roman"/>
          <w:sz w:val="24"/>
          <w:szCs w:val="24"/>
        </w:rPr>
        <w:t>adult. The</w:t>
      </w:r>
      <w:r w:rsidR="00D018A3">
        <w:rPr>
          <w:rFonts w:ascii="Times New Roman" w:hAnsi="Times New Roman"/>
          <w:sz w:val="24"/>
          <w:szCs w:val="24"/>
        </w:rPr>
        <w:t xml:space="preserve"> third and fourth respondents are cited in their official capacity.</w:t>
      </w:r>
    </w:p>
    <w:p w14:paraId="39A8A969" w14:textId="77ED9FEF" w:rsidR="00C37A75" w:rsidRDefault="00593B15" w:rsidP="00093988">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w:t>
      </w:r>
      <w:r w:rsidR="005450E3">
        <w:rPr>
          <w:rFonts w:ascii="Times New Roman" w:hAnsi="Times New Roman"/>
          <w:sz w:val="24"/>
          <w:szCs w:val="24"/>
        </w:rPr>
        <w:t xml:space="preserve">applicant is employed by the United </w:t>
      </w:r>
      <w:r w:rsidR="008B047A">
        <w:rPr>
          <w:rFonts w:ascii="Times New Roman" w:hAnsi="Times New Roman"/>
          <w:sz w:val="24"/>
          <w:szCs w:val="24"/>
        </w:rPr>
        <w:t>Nations and</w:t>
      </w:r>
      <w:r w:rsidR="005450E3">
        <w:rPr>
          <w:rFonts w:ascii="Times New Roman" w:hAnsi="Times New Roman"/>
          <w:sz w:val="24"/>
          <w:szCs w:val="24"/>
        </w:rPr>
        <w:t xml:space="preserve"> she is based in </w:t>
      </w:r>
      <w:r w:rsidR="008B047A">
        <w:rPr>
          <w:rFonts w:ascii="Times New Roman" w:hAnsi="Times New Roman"/>
          <w:sz w:val="24"/>
          <w:szCs w:val="24"/>
        </w:rPr>
        <w:t>the United</w:t>
      </w:r>
      <w:r w:rsidR="00D018A3">
        <w:rPr>
          <w:rFonts w:ascii="Times New Roman" w:hAnsi="Times New Roman"/>
          <w:sz w:val="24"/>
          <w:szCs w:val="24"/>
        </w:rPr>
        <w:t xml:space="preserve"> State</w:t>
      </w:r>
      <w:r w:rsidR="008F3C2F">
        <w:rPr>
          <w:rFonts w:ascii="Times New Roman" w:hAnsi="Times New Roman"/>
          <w:sz w:val="24"/>
          <w:szCs w:val="24"/>
        </w:rPr>
        <w:t>s of America</w:t>
      </w:r>
      <w:r w:rsidR="005450E3">
        <w:rPr>
          <w:rFonts w:ascii="Times New Roman" w:hAnsi="Times New Roman"/>
          <w:sz w:val="24"/>
          <w:szCs w:val="24"/>
        </w:rPr>
        <w:t>.</w:t>
      </w:r>
      <w:r w:rsidR="00D018A3">
        <w:rPr>
          <w:rFonts w:ascii="Times New Roman" w:hAnsi="Times New Roman"/>
          <w:sz w:val="24"/>
          <w:szCs w:val="24"/>
        </w:rPr>
        <w:t xml:space="preserve"> She is the owner of a property known as Stand 363 Helensvale Township of Stand 344 Helensvale Township ‘hereinafter referred to as the property’ held under Deed of Transfer 2111/98.Around March 2018 she was in Zimbabwe. She discovered some building materials on the property. After in</w:t>
      </w:r>
      <w:r w:rsidR="008F3C2F">
        <w:rPr>
          <w:rFonts w:ascii="Times New Roman" w:hAnsi="Times New Roman"/>
          <w:sz w:val="24"/>
          <w:szCs w:val="24"/>
        </w:rPr>
        <w:t xml:space="preserve">vestigations she </w:t>
      </w:r>
      <w:r w:rsidR="0008064E">
        <w:rPr>
          <w:rFonts w:ascii="Times New Roman" w:hAnsi="Times New Roman"/>
          <w:sz w:val="24"/>
          <w:szCs w:val="24"/>
        </w:rPr>
        <w:t>discovered that</w:t>
      </w:r>
      <w:r w:rsidR="00D018A3">
        <w:rPr>
          <w:rFonts w:ascii="Times New Roman" w:hAnsi="Times New Roman"/>
          <w:sz w:val="24"/>
          <w:szCs w:val="24"/>
        </w:rPr>
        <w:t xml:space="preserve"> one Mr Kanongovere was </w:t>
      </w:r>
      <w:r>
        <w:rPr>
          <w:rFonts w:ascii="Times New Roman" w:hAnsi="Times New Roman"/>
          <w:sz w:val="24"/>
          <w:szCs w:val="24"/>
        </w:rPr>
        <w:t xml:space="preserve">the owner of the </w:t>
      </w:r>
      <w:r w:rsidR="00D018A3">
        <w:rPr>
          <w:rFonts w:ascii="Times New Roman" w:hAnsi="Times New Roman"/>
          <w:sz w:val="24"/>
          <w:szCs w:val="24"/>
        </w:rPr>
        <w:t xml:space="preserve">building </w:t>
      </w:r>
      <w:r w:rsidR="0008064E">
        <w:rPr>
          <w:rFonts w:ascii="Times New Roman" w:hAnsi="Times New Roman"/>
          <w:sz w:val="24"/>
          <w:szCs w:val="24"/>
        </w:rPr>
        <w:t xml:space="preserve">materials. Further investigations revealed that the property was allegedly sold to the second respondent by </w:t>
      </w:r>
      <w:r w:rsidR="00C77685">
        <w:rPr>
          <w:rFonts w:ascii="Times New Roman" w:hAnsi="Times New Roman"/>
          <w:sz w:val="24"/>
          <w:szCs w:val="24"/>
        </w:rPr>
        <w:t>her. It ap</w:t>
      </w:r>
      <w:r w:rsidR="004952D4">
        <w:rPr>
          <w:rFonts w:ascii="Times New Roman" w:hAnsi="Times New Roman"/>
          <w:sz w:val="24"/>
          <w:szCs w:val="24"/>
        </w:rPr>
        <w:t>peared that when the applicant</w:t>
      </w:r>
      <w:r w:rsidR="00C77685">
        <w:rPr>
          <w:rFonts w:ascii="Times New Roman" w:hAnsi="Times New Roman"/>
          <w:sz w:val="24"/>
          <w:szCs w:val="24"/>
        </w:rPr>
        <w:t xml:space="preserve"> as the</w:t>
      </w:r>
      <w:r w:rsidR="004952D4">
        <w:rPr>
          <w:rFonts w:ascii="Times New Roman" w:hAnsi="Times New Roman"/>
          <w:sz w:val="24"/>
          <w:szCs w:val="24"/>
        </w:rPr>
        <w:t xml:space="preserve"> alleged</w:t>
      </w:r>
      <w:r w:rsidR="00C77685">
        <w:rPr>
          <w:rFonts w:ascii="Times New Roman" w:hAnsi="Times New Roman"/>
          <w:sz w:val="24"/>
          <w:szCs w:val="24"/>
        </w:rPr>
        <w:t xml:space="preserve"> seller failed to pass transfer, the second respondent </w:t>
      </w:r>
      <w:r w:rsidR="004952D4">
        <w:rPr>
          <w:rFonts w:ascii="Times New Roman" w:hAnsi="Times New Roman"/>
          <w:sz w:val="24"/>
          <w:szCs w:val="24"/>
        </w:rPr>
        <w:t>sued out summons</w:t>
      </w:r>
      <w:r w:rsidR="00C77685">
        <w:rPr>
          <w:rFonts w:ascii="Times New Roman" w:hAnsi="Times New Roman"/>
          <w:sz w:val="24"/>
          <w:szCs w:val="24"/>
        </w:rPr>
        <w:t xml:space="preserve"> to compel transfer under HC</w:t>
      </w:r>
      <w:r w:rsidR="004C5D8C">
        <w:rPr>
          <w:rFonts w:ascii="Times New Roman" w:hAnsi="Times New Roman"/>
          <w:sz w:val="24"/>
          <w:szCs w:val="24"/>
        </w:rPr>
        <w:t xml:space="preserve"> </w:t>
      </w:r>
      <w:r w:rsidR="00C77685">
        <w:rPr>
          <w:rFonts w:ascii="Times New Roman" w:hAnsi="Times New Roman"/>
          <w:sz w:val="24"/>
          <w:szCs w:val="24"/>
        </w:rPr>
        <w:t>8834</w:t>
      </w:r>
      <w:r w:rsidR="0008064E">
        <w:rPr>
          <w:rFonts w:ascii="Times New Roman" w:hAnsi="Times New Roman"/>
          <w:sz w:val="24"/>
          <w:szCs w:val="24"/>
        </w:rPr>
        <w:t>/14.</w:t>
      </w:r>
      <w:r w:rsidR="00C77685">
        <w:rPr>
          <w:rFonts w:ascii="Times New Roman" w:hAnsi="Times New Roman"/>
          <w:sz w:val="24"/>
          <w:szCs w:val="24"/>
        </w:rPr>
        <w:t xml:space="preserve">Service on the applicant was effected by way of substituted </w:t>
      </w:r>
      <w:r w:rsidR="004952D4">
        <w:rPr>
          <w:rFonts w:ascii="Times New Roman" w:hAnsi="Times New Roman"/>
          <w:sz w:val="24"/>
          <w:szCs w:val="24"/>
        </w:rPr>
        <w:t>service. A default order was granted.</w:t>
      </w:r>
      <w:r w:rsidR="00C77685">
        <w:rPr>
          <w:rFonts w:ascii="Times New Roman" w:hAnsi="Times New Roman"/>
          <w:sz w:val="24"/>
          <w:szCs w:val="24"/>
        </w:rPr>
        <w:t xml:space="preserve"> Title then transferred from the applicant to the second respondent.</w:t>
      </w:r>
      <w:r w:rsidR="0008064E">
        <w:rPr>
          <w:rFonts w:ascii="Times New Roman" w:hAnsi="Times New Roman"/>
          <w:sz w:val="24"/>
          <w:szCs w:val="24"/>
        </w:rPr>
        <w:t xml:space="preserve"> Thereafter the </w:t>
      </w:r>
      <w:r w:rsidR="0008064E">
        <w:rPr>
          <w:rFonts w:ascii="Times New Roman" w:hAnsi="Times New Roman"/>
          <w:sz w:val="24"/>
          <w:szCs w:val="24"/>
        </w:rPr>
        <w:lastRenderedPageBreak/>
        <w:t xml:space="preserve">second respondent sold the property to the first </w:t>
      </w:r>
      <w:r w:rsidR="00C77685">
        <w:rPr>
          <w:rFonts w:ascii="Times New Roman" w:hAnsi="Times New Roman"/>
          <w:sz w:val="24"/>
          <w:szCs w:val="24"/>
        </w:rPr>
        <w:t>respondent. The first respondent i</w:t>
      </w:r>
      <w:r w:rsidR="002C36DD">
        <w:rPr>
          <w:rFonts w:ascii="Times New Roman" w:hAnsi="Times New Roman"/>
          <w:sz w:val="24"/>
          <w:szCs w:val="24"/>
        </w:rPr>
        <w:t>s the current holder of title to</w:t>
      </w:r>
      <w:r w:rsidR="00C77685">
        <w:rPr>
          <w:rFonts w:ascii="Times New Roman" w:hAnsi="Times New Roman"/>
          <w:sz w:val="24"/>
          <w:szCs w:val="24"/>
        </w:rPr>
        <w:t xml:space="preserve"> the property</w:t>
      </w:r>
      <w:r w:rsidR="002C36DD">
        <w:rPr>
          <w:rFonts w:ascii="Times New Roman" w:hAnsi="Times New Roman"/>
          <w:sz w:val="24"/>
          <w:szCs w:val="24"/>
        </w:rPr>
        <w:t xml:space="preserve"> under Deed of Transfer 4844/17</w:t>
      </w:r>
      <w:r w:rsidR="00C77685">
        <w:rPr>
          <w:rFonts w:ascii="Times New Roman" w:hAnsi="Times New Roman"/>
          <w:sz w:val="24"/>
          <w:szCs w:val="24"/>
        </w:rPr>
        <w:t>.</w:t>
      </w:r>
      <w:r w:rsidR="00C37A75">
        <w:rPr>
          <w:rFonts w:ascii="Times New Roman" w:hAnsi="Times New Roman"/>
          <w:sz w:val="24"/>
          <w:szCs w:val="24"/>
        </w:rPr>
        <w:t xml:space="preserve"> </w:t>
      </w:r>
    </w:p>
    <w:p w14:paraId="1677E28F" w14:textId="4CFBF99B" w:rsidR="00C37A75" w:rsidRDefault="0008064E" w:rsidP="00093988">
      <w:pPr>
        <w:spacing w:after="0" w:line="360" w:lineRule="auto"/>
        <w:ind w:firstLine="720"/>
        <w:jc w:val="both"/>
        <w:rPr>
          <w:rFonts w:ascii="Times New Roman" w:hAnsi="Times New Roman"/>
          <w:sz w:val="24"/>
          <w:szCs w:val="24"/>
        </w:rPr>
      </w:pPr>
      <w:r>
        <w:rPr>
          <w:rFonts w:ascii="Times New Roman" w:hAnsi="Times New Roman"/>
          <w:sz w:val="24"/>
          <w:szCs w:val="24"/>
        </w:rPr>
        <w:t>The applicant</w:t>
      </w:r>
      <w:r w:rsidR="002C36DD">
        <w:rPr>
          <w:rFonts w:ascii="Times New Roman" w:hAnsi="Times New Roman"/>
          <w:sz w:val="24"/>
          <w:szCs w:val="24"/>
        </w:rPr>
        <w:t xml:space="preserve"> claims to have had no knowledge</w:t>
      </w:r>
      <w:r>
        <w:rPr>
          <w:rFonts w:ascii="Times New Roman" w:hAnsi="Times New Roman"/>
          <w:sz w:val="24"/>
          <w:szCs w:val="24"/>
        </w:rPr>
        <w:t xml:space="preserve"> of these </w:t>
      </w:r>
      <w:r w:rsidR="004952D4">
        <w:rPr>
          <w:rFonts w:ascii="Times New Roman" w:hAnsi="Times New Roman"/>
          <w:sz w:val="24"/>
          <w:szCs w:val="24"/>
        </w:rPr>
        <w:t xml:space="preserve">transactions. She reported the matter to the </w:t>
      </w:r>
      <w:r w:rsidR="00C77685">
        <w:rPr>
          <w:rFonts w:ascii="Times New Roman" w:hAnsi="Times New Roman"/>
          <w:sz w:val="24"/>
          <w:szCs w:val="24"/>
        </w:rPr>
        <w:t xml:space="preserve">police. </w:t>
      </w:r>
      <w:r w:rsidR="002C36DD">
        <w:rPr>
          <w:rFonts w:ascii="Times New Roman" w:hAnsi="Times New Roman"/>
          <w:sz w:val="24"/>
          <w:szCs w:val="24"/>
        </w:rPr>
        <w:t>She</w:t>
      </w:r>
      <w:r w:rsidR="00C37A75">
        <w:rPr>
          <w:rFonts w:ascii="Times New Roman" w:hAnsi="Times New Roman"/>
          <w:sz w:val="24"/>
          <w:szCs w:val="24"/>
        </w:rPr>
        <w:t xml:space="preserve"> then filed an application for rescission of</w:t>
      </w:r>
      <w:r w:rsidR="00C77685">
        <w:rPr>
          <w:rFonts w:ascii="Times New Roman" w:hAnsi="Times New Roman"/>
          <w:sz w:val="24"/>
          <w:szCs w:val="24"/>
        </w:rPr>
        <w:t xml:space="preserve"> the</w:t>
      </w:r>
      <w:r w:rsidR="00C37A75">
        <w:rPr>
          <w:rFonts w:ascii="Times New Roman" w:hAnsi="Times New Roman"/>
          <w:sz w:val="24"/>
          <w:szCs w:val="24"/>
        </w:rPr>
        <w:t xml:space="preserve"> judgment</w:t>
      </w:r>
      <w:r>
        <w:rPr>
          <w:rFonts w:ascii="Times New Roman" w:hAnsi="Times New Roman"/>
          <w:sz w:val="24"/>
          <w:szCs w:val="24"/>
        </w:rPr>
        <w:t xml:space="preserve"> </w:t>
      </w:r>
      <w:r w:rsidR="002C36DD">
        <w:rPr>
          <w:rFonts w:ascii="Times New Roman" w:hAnsi="Times New Roman"/>
          <w:sz w:val="24"/>
          <w:szCs w:val="24"/>
        </w:rPr>
        <w:t>in HC</w:t>
      </w:r>
      <w:r>
        <w:rPr>
          <w:rFonts w:ascii="Times New Roman" w:hAnsi="Times New Roman"/>
          <w:sz w:val="24"/>
          <w:szCs w:val="24"/>
        </w:rPr>
        <w:t xml:space="preserve"> 8834/14</w:t>
      </w:r>
      <w:r w:rsidR="00C77685">
        <w:rPr>
          <w:rFonts w:ascii="Times New Roman" w:hAnsi="Times New Roman"/>
          <w:sz w:val="24"/>
          <w:szCs w:val="24"/>
        </w:rPr>
        <w:t xml:space="preserve"> under</w:t>
      </w:r>
      <w:r w:rsidR="002C36DD">
        <w:rPr>
          <w:rFonts w:ascii="Times New Roman" w:hAnsi="Times New Roman"/>
          <w:sz w:val="24"/>
          <w:szCs w:val="24"/>
        </w:rPr>
        <w:t xml:space="preserve"> HC 4093/18</w:t>
      </w:r>
      <w:r>
        <w:rPr>
          <w:rFonts w:ascii="Times New Roman" w:hAnsi="Times New Roman"/>
          <w:sz w:val="24"/>
          <w:szCs w:val="24"/>
        </w:rPr>
        <w:t>. The application was granted by consent of the parties</w:t>
      </w:r>
      <w:r w:rsidR="002C36DD">
        <w:rPr>
          <w:rFonts w:ascii="Times New Roman" w:hAnsi="Times New Roman"/>
          <w:sz w:val="24"/>
          <w:szCs w:val="24"/>
        </w:rPr>
        <w:t>.</w:t>
      </w:r>
    </w:p>
    <w:p w14:paraId="103B5162" w14:textId="0C617C18" w:rsidR="00E50A84" w:rsidRDefault="006E0B77" w:rsidP="00093988">
      <w:pPr>
        <w:spacing w:after="0" w:line="360" w:lineRule="auto"/>
        <w:ind w:firstLine="720"/>
        <w:jc w:val="both"/>
        <w:rPr>
          <w:rFonts w:ascii="Times New Roman" w:hAnsi="Times New Roman"/>
          <w:sz w:val="24"/>
          <w:szCs w:val="24"/>
        </w:rPr>
      </w:pPr>
      <w:r>
        <w:rPr>
          <w:rFonts w:ascii="Times New Roman" w:hAnsi="Times New Roman"/>
          <w:sz w:val="24"/>
          <w:szCs w:val="24"/>
        </w:rPr>
        <w:t>The applicant avers</w:t>
      </w:r>
      <w:r w:rsidR="00C37A75">
        <w:rPr>
          <w:rFonts w:ascii="Times New Roman" w:hAnsi="Times New Roman"/>
          <w:sz w:val="24"/>
          <w:szCs w:val="24"/>
        </w:rPr>
        <w:t xml:space="preserve"> that she did not sell the property to the second respondent. She did not sign the agreement of sale at </w:t>
      </w:r>
      <w:r w:rsidR="00B64C24">
        <w:rPr>
          <w:rFonts w:ascii="Times New Roman" w:hAnsi="Times New Roman"/>
          <w:sz w:val="24"/>
          <w:szCs w:val="24"/>
        </w:rPr>
        <w:t>all. Someone must have forged her signature.</w:t>
      </w:r>
      <w:r w:rsidRPr="006E0B77">
        <w:rPr>
          <w:rFonts w:ascii="Times New Roman" w:hAnsi="Times New Roman"/>
          <w:sz w:val="24"/>
          <w:szCs w:val="24"/>
        </w:rPr>
        <w:t xml:space="preserve"> The identity number on the agreement of sale is not hers.</w:t>
      </w:r>
      <w:r w:rsidR="00B64C24">
        <w:rPr>
          <w:rFonts w:ascii="Times New Roman" w:hAnsi="Times New Roman"/>
          <w:sz w:val="24"/>
          <w:szCs w:val="24"/>
        </w:rPr>
        <w:t xml:space="preserve"> She did not receive the purchase price that was paid through F.Mlaudzi who is unknown to her.</w:t>
      </w:r>
      <w:r w:rsidR="00C37A75">
        <w:rPr>
          <w:rFonts w:ascii="Times New Roman" w:hAnsi="Times New Roman"/>
          <w:sz w:val="24"/>
          <w:szCs w:val="24"/>
        </w:rPr>
        <w:t xml:space="preserve"> The address on the agreement of sale is unknown to her, infact it turned out to be non-</w:t>
      </w:r>
      <w:r w:rsidR="00B64C24">
        <w:rPr>
          <w:rFonts w:ascii="Times New Roman" w:hAnsi="Times New Roman"/>
          <w:sz w:val="24"/>
          <w:szCs w:val="24"/>
        </w:rPr>
        <w:t>existent. As a result</w:t>
      </w:r>
      <w:r w:rsidR="004C5D8C">
        <w:rPr>
          <w:rFonts w:ascii="Times New Roman" w:hAnsi="Times New Roman"/>
          <w:sz w:val="24"/>
          <w:szCs w:val="24"/>
        </w:rPr>
        <w:t xml:space="preserve">, </w:t>
      </w:r>
      <w:r w:rsidR="00B64C24">
        <w:rPr>
          <w:rFonts w:ascii="Times New Roman" w:hAnsi="Times New Roman"/>
          <w:sz w:val="24"/>
          <w:szCs w:val="24"/>
        </w:rPr>
        <w:t>she was not serv</w:t>
      </w:r>
      <w:r w:rsidR="001C0E34">
        <w:rPr>
          <w:rFonts w:ascii="Times New Roman" w:hAnsi="Times New Roman"/>
          <w:sz w:val="24"/>
          <w:szCs w:val="24"/>
        </w:rPr>
        <w:t>ed with process under HC 8834/14</w:t>
      </w:r>
      <w:r w:rsidR="00B64C24">
        <w:rPr>
          <w:rFonts w:ascii="Times New Roman" w:hAnsi="Times New Roman"/>
          <w:sz w:val="24"/>
          <w:szCs w:val="24"/>
        </w:rPr>
        <w:t>. Service was effected by way of substituted service as service</w:t>
      </w:r>
      <w:r>
        <w:rPr>
          <w:rFonts w:ascii="Times New Roman" w:hAnsi="Times New Roman"/>
          <w:sz w:val="24"/>
          <w:szCs w:val="24"/>
        </w:rPr>
        <w:t xml:space="preserve"> </w:t>
      </w:r>
      <w:r w:rsidR="00B64C24">
        <w:rPr>
          <w:rFonts w:ascii="Times New Roman" w:hAnsi="Times New Roman"/>
          <w:sz w:val="24"/>
          <w:szCs w:val="24"/>
        </w:rPr>
        <w:t xml:space="preserve">could not be effected at the given address. The </w:t>
      </w:r>
      <w:r>
        <w:rPr>
          <w:rFonts w:ascii="Times New Roman" w:hAnsi="Times New Roman"/>
          <w:sz w:val="24"/>
          <w:szCs w:val="24"/>
        </w:rPr>
        <w:t xml:space="preserve">notice for substituted service </w:t>
      </w:r>
      <w:r w:rsidR="00B64C24">
        <w:rPr>
          <w:rFonts w:ascii="Times New Roman" w:hAnsi="Times New Roman"/>
          <w:sz w:val="24"/>
          <w:szCs w:val="24"/>
        </w:rPr>
        <w:t xml:space="preserve">was flighted in </w:t>
      </w:r>
      <w:r>
        <w:rPr>
          <w:rFonts w:ascii="Times New Roman" w:hAnsi="Times New Roman"/>
          <w:sz w:val="24"/>
          <w:szCs w:val="24"/>
        </w:rPr>
        <w:t>T</w:t>
      </w:r>
      <w:r w:rsidR="00B64C24">
        <w:rPr>
          <w:rFonts w:ascii="Times New Roman" w:hAnsi="Times New Roman"/>
          <w:sz w:val="24"/>
          <w:szCs w:val="24"/>
        </w:rPr>
        <w:t xml:space="preserve">he Herald and The Chronicle newspapers, however at the time she was in the United </w:t>
      </w:r>
      <w:r>
        <w:rPr>
          <w:rFonts w:ascii="Times New Roman" w:hAnsi="Times New Roman"/>
          <w:sz w:val="24"/>
          <w:szCs w:val="24"/>
        </w:rPr>
        <w:t>States. She</w:t>
      </w:r>
      <w:r w:rsidR="00B64C24">
        <w:rPr>
          <w:rFonts w:ascii="Times New Roman" w:hAnsi="Times New Roman"/>
          <w:sz w:val="24"/>
          <w:szCs w:val="24"/>
        </w:rPr>
        <w:t xml:space="preserve"> did not have sight of the adverts for substituted service.</w:t>
      </w:r>
      <w:r w:rsidR="00C37A75">
        <w:rPr>
          <w:rFonts w:ascii="Times New Roman" w:hAnsi="Times New Roman"/>
          <w:sz w:val="24"/>
          <w:szCs w:val="24"/>
        </w:rPr>
        <w:t xml:space="preserve"> </w:t>
      </w:r>
    </w:p>
    <w:p w14:paraId="4EADD060" w14:textId="2A146B31" w:rsidR="00E50A84" w:rsidRDefault="00E50A84" w:rsidP="00093988">
      <w:pPr>
        <w:spacing w:after="0" w:line="360" w:lineRule="auto"/>
        <w:ind w:firstLine="720"/>
        <w:jc w:val="both"/>
        <w:rPr>
          <w:rFonts w:ascii="Times New Roman" w:hAnsi="Times New Roman"/>
          <w:sz w:val="24"/>
          <w:szCs w:val="24"/>
        </w:rPr>
      </w:pPr>
      <w:r>
        <w:rPr>
          <w:rFonts w:ascii="Times New Roman" w:hAnsi="Times New Roman"/>
          <w:sz w:val="24"/>
          <w:szCs w:val="24"/>
        </w:rPr>
        <w:t>The second respondent opted not to pursue the rescinded matter under HC 8834/14. At Pre Trial stage the second respondent filed a notice titled, ‘Claim is moot’ on the basis that title had passed to the first respondent despite the rescission of judgment. The matter was removed from the roll</w:t>
      </w:r>
      <w:r w:rsidR="00617051">
        <w:rPr>
          <w:rFonts w:ascii="Times New Roman" w:hAnsi="Times New Roman"/>
          <w:sz w:val="24"/>
          <w:szCs w:val="24"/>
        </w:rPr>
        <w:t>.</w:t>
      </w:r>
    </w:p>
    <w:p w14:paraId="7D1FE06B" w14:textId="6C60F164" w:rsidR="00E50A84" w:rsidRDefault="00E50A84" w:rsidP="00093988">
      <w:pPr>
        <w:spacing w:after="0" w:line="360" w:lineRule="auto"/>
        <w:jc w:val="both"/>
        <w:rPr>
          <w:rFonts w:ascii="Times New Roman" w:hAnsi="Times New Roman"/>
          <w:sz w:val="24"/>
          <w:szCs w:val="24"/>
        </w:rPr>
      </w:pPr>
      <w:r>
        <w:rPr>
          <w:rFonts w:ascii="Times New Roman" w:hAnsi="Times New Roman"/>
          <w:sz w:val="24"/>
          <w:szCs w:val="24"/>
        </w:rPr>
        <w:tab/>
        <w:t xml:space="preserve">The first respondent remains on the property unlawfully. She thus seeks the cancellation of the first respondent’s title deed and a declaration that she is the lawful owner of the </w:t>
      </w:r>
      <w:r w:rsidR="00C23044">
        <w:rPr>
          <w:rFonts w:ascii="Times New Roman" w:hAnsi="Times New Roman"/>
          <w:sz w:val="24"/>
          <w:szCs w:val="24"/>
        </w:rPr>
        <w:t>property. She also seeks costs against the first and second respondents on a higher scale.</w:t>
      </w:r>
    </w:p>
    <w:p w14:paraId="012ABC78" w14:textId="266920EA" w:rsidR="002274B8" w:rsidRDefault="0068114A" w:rsidP="00093988">
      <w:pPr>
        <w:spacing w:after="0" w:line="360" w:lineRule="auto"/>
        <w:jc w:val="both"/>
        <w:rPr>
          <w:rFonts w:ascii="Times New Roman" w:hAnsi="Times New Roman"/>
          <w:sz w:val="24"/>
          <w:szCs w:val="24"/>
        </w:rPr>
      </w:pPr>
      <w:r>
        <w:rPr>
          <w:rFonts w:ascii="Times New Roman" w:hAnsi="Times New Roman"/>
          <w:sz w:val="24"/>
          <w:szCs w:val="24"/>
        </w:rPr>
        <w:tab/>
        <w:t xml:space="preserve"> </w:t>
      </w:r>
      <w:r w:rsidR="00742919">
        <w:rPr>
          <w:rFonts w:ascii="Times New Roman" w:hAnsi="Times New Roman"/>
          <w:sz w:val="24"/>
          <w:szCs w:val="24"/>
        </w:rPr>
        <w:t>T</w:t>
      </w:r>
      <w:r>
        <w:rPr>
          <w:rFonts w:ascii="Times New Roman" w:hAnsi="Times New Roman"/>
          <w:sz w:val="24"/>
          <w:szCs w:val="24"/>
        </w:rPr>
        <w:t xml:space="preserve">he applicant raised a preliminary point that the second respondent’s notice of opposition is not accompanied by an index in compliance with </w:t>
      </w:r>
      <w:r w:rsidR="001C0E34">
        <w:rPr>
          <w:rFonts w:ascii="Times New Roman" w:hAnsi="Times New Roman"/>
          <w:sz w:val="24"/>
          <w:szCs w:val="24"/>
        </w:rPr>
        <w:t>r</w:t>
      </w:r>
      <w:r>
        <w:rPr>
          <w:rFonts w:ascii="Times New Roman" w:hAnsi="Times New Roman"/>
          <w:sz w:val="24"/>
          <w:szCs w:val="24"/>
        </w:rPr>
        <w:t xml:space="preserve">227 (2) (d) of the 1971 High Court </w:t>
      </w:r>
      <w:r w:rsidR="002274B8">
        <w:rPr>
          <w:rFonts w:ascii="Times New Roman" w:hAnsi="Times New Roman"/>
          <w:sz w:val="24"/>
          <w:szCs w:val="24"/>
        </w:rPr>
        <w:t>Rules.</w:t>
      </w:r>
      <w:r>
        <w:rPr>
          <w:rFonts w:ascii="Times New Roman" w:hAnsi="Times New Roman"/>
          <w:sz w:val="24"/>
          <w:szCs w:val="24"/>
        </w:rPr>
        <w:t xml:space="preserve"> To that extent there is no valid notice of </w:t>
      </w:r>
      <w:r w:rsidR="002274B8">
        <w:rPr>
          <w:rFonts w:ascii="Times New Roman" w:hAnsi="Times New Roman"/>
          <w:sz w:val="24"/>
          <w:szCs w:val="24"/>
        </w:rPr>
        <w:t xml:space="preserve">opposition. When the matter was heard in argument the preliminary point </w:t>
      </w:r>
      <w:r w:rsidR="006E0B77">
        <w:rPr>
          <w:rFonts w:ascii="Times New Roman" w:hAnsi="Times New Roman"/>
          <w:sz w:val="24"/>
          <w:szCs w:val="24"/>
        </w:rPr>
        <w:t>was abandoned</w:t>
      </w:r>
      <w:r w:rsidR="002274B8">
        <w:rPr>
          <w:rFonts w:ascii="Times New Roman" w:hAnsi="Times New Roman"/>
          <w:sz w:val="24"/>
          <w:szCs w:val="24"/>
        </w:rPr>
        <w:t xml:space="preserve"> citing the case of </w:t>
      </w:r>
      <w:r w:rsidR="002274B8" w:rsidRPr="002274B8">
        <w:rPr>
          <w:rFonts w:ascii="Times New Roman" w:hAnsi="Times New Roman"/>
          <w:i/>
          <w:iCs/>
          <w:sz w:val="24"/>
          <w:szCs w:val="24"/>
        </w:rPr>
        <w:t>Zimsec v Chinhengo and Anor</w:t>
      </w:r>
      <w:r w:rsidR="002274B8">
        <w:rPr>
          <w:rFonts w:ascii="Times New Roman" w:hAnsi="Times New Roman"/>
          <w:sz w:val="24"/>
          <w:szCs w:val="24"/>
        </w:rPr>
        <w:t xml:space="preserve"> HH160/18 where the court held that such non-compliance is not fatal to the proceedings.</w:t>
      </w:r>
    </w:p>
    <w:p w14:paraId="4AF15824" w14:textId="5427D7AF" w:rsidR="00C23044" w:rsidRDefault="00C23044" w:rsidP="00093988">
      <w:pPr>
        <w:spacing w:after="0" w:line="360" w:lineRule="auto"/>
        <w:jc w:val="both"/>
        <w:rPr>
          <w:rFonts w:ascii="Times New Roman" w:hAnsi="Times New Roman"/>
          <w:sz w:val="24"/>
          <w:szCs w:val="24"/>
        </w:rPr>
      </w:pPr>
      <w:r>
        <w:rPr>
          <w:rFonts w:ascii="Times New Roman" w:hAnsi="Times New Roman"/>
          <w:sz w:val="24"/>
          <w:szCs w:val="24"/>
        </w:rPr>
        <w:tab/>
        <w:t xml:space="preserve"> The first respondent filed an opposing affidavit which in substance does not oppose the relief </w:t>
      </w:r>
      <w:r w:rsidR="001C0E34">
        <w:rPr>
          <w:rFonts w:ascii="Times New Roman" w:hAnsi="Times New Roman"/>
          <w:sz w:val="24"/>
          <w:szCs w:val="24"/>
        </w:rPr>
        <w:t>sought. The</w:t>
      </w:r>
      <w:r>
        <w:rPr>
          <w:rFonts w:ascii="Times New Roman" w:hAnsi="Times New Roman"/>
          <w:sz w:val="24"/>
          <w:szCs w:val="24"/>
        </w:rPr>
        <w:t xml:space="preserve"> first respondent acknowledg</w:t>
      </w:r>
      <w:r w:rsidR="001C0E34">
        <w:rPr>
          <w:rFonts w:ascii="Times New Roman" w:hAnsi="Times New Roman"/>
          <w:sz w:val="24"/>
          <w:szCs w:val="24"/>
        </w:rPr>
        <w:t xml:space="preserve">es </w:t>
      </w:r>
      <w:r>
        <w:rPr>
          <w:rFonts w:ascii="Times New Roman" w:hAnsi="Times New Roman"/>
          <w:sz w:val="24"/>
          <w:szCs w:val="24"/>
        </w:rPr>
        <w:t xml:space="preserve">that </w:t>
      </w:r>
      <w:r w:rsidR="001C0E34">
        <w:rPr>
          <w:rFonts w:ascii="Times New Roman" w:hAnsi="Times New Roman"/>
          <w:sz w:val="24"/>
          <w:szCs w:val="24"/>
        </w:rPr>
        <w:t>it</w:t>
      </w:r>
      <w:r>
        <w:rPr>
          <w:rFonts w:ascii="Times New Roman" w:hAnsi="Times New Roman"/>
          <w:sz w:val="24"/>
          <w:szCs w:val="24"/>
        </w:rPr>
        <w:t xml:space="preserve"> is not privy to the sale transaction between the applicant and</w:t>
      </w:r>
      <w:r w:rsidR="006E0B77">
        <w:rPr>
          <w:rFonts w:ascii="Times New Roman" w:hAnsi="Times New Roman"/>
          <w:sz w:val="24"/>
          <w:szCs w:val="24"/>
        </w:rPr>
        <w:t xml:space="preserve"> the second respondent. It is an innocent</w:t>
      </w:r>
      <w:r>
        <w:rPr>
          <w:rFonts w:ascii="Times New Roman" w:hAnsi="Times New Roman"/>
          <w:sz w:val="24"/>
          <w:szCs w:val="24"/>
        </w:rPr>
        <w:t xml:space="preserve"> purchaser </w:t>
      </w:r>
      <w:r w:rsidR="006E0B77">
        <w:rPr>
          <w:rFonts w:ascii="Times New Roman" w:hAnsi="Times New Roman"/>
          <w:sz w:val="24"/>
          <w:szCs w:val="24"/>
        </w:rPr>
        <w:t>that</w:t>
      </w:r>
      <w:r>
        <w:rPr>
          <w:rFonts w:ascii="Times New Roman" w:hAnsi="Times New Roman"/>
          <w:sz w:val="24"/>
          <w:szCs w:val="24"/>
        </w:rPr>
        <w:t xml:space="preserve"> relied on the representations by the second respondent’s </w:t>
      </w:r>
      <w:r w:rsidR="006E0B77">
        <w:rPr>
          <w:rFonts w:ascii="Times New Roman" w:hAnsi="Times New Roman"/>
          <w:sz w:val="24"/>
          <w:szCs w:val="24"/>
        </w:rPr>
        <w:t>conveyancers. In essence it shal</w:t>
      </w:r>
      <w:r>
        <w:rPr>
          <w:rFonts w:ascii="Times New Roman" w:hAnsi="Times New Roman"/>
          <w:sz w:val="24"/>
          <w:szCs w:val="24"/>
        </w:rPr>
        <w:t>l abide by the court’s decision.</w:t>
      </w:r>
    </w:p>
    <w:p w14:paraId="27CF2CE1" w14:textId="0C639D21" w:rsidR="00C23044" w:rsidRDefault="00C23044" w:rsidP="00093988">
      <w:pPr>
        <w:spacing w:after="0" w:line="360" w:lineRule="auto"/>
        <w:jc w:val="both"/>
        <w:rPr>
          <w:rFonts w:ascii="Times New Roman" w:hAnsi="Times New Roman"/>
          <w:sz w:val="24"/>
          <w:szCs w:val="24"/>
        </w:rPr>
      </w:pPr>
      <w:r>
        <w:rPr>
          <w:rFonts w:ascii="Times New Roman" w:hAnsi="Times New Roman"/>
          <w:sz w:val="24"/>
          <w:szCs w:val="24"/>
        </w:rPr>
        <w:lastRenderedPageBreak/>
        <w:tab/>
        <w:t xml:space="preserve"> The second respondent opposed the </w:t>
      </w:r>
      <w:r w:rsidR="004F216D">
        <w:rPr>
          <w:rFonts w:ascii="Times New Roman" w:hAnsi="Times New Roman"/>
          <w:sz w:val="24"/>
          <w:szCs w:val="24"/>
        </w:rPr>
        <w:t>application. Three</w:t>
      </w:r>
      <w:r>
        <w:rPr>
          <w:rFonts w:ascii="Times New Roman" w:hAnsi="Times New Roman"/>
          <w:sz w:val="24"/>
          <w:szCs w:val="24"/>
        </w:rPr>
        <w:t xml:space="preserve"> points </w:t>
      </w:r>
      <w:r w:rsidRPr="005A4D5E">
        <w:rPr>
          <w:rFonts w:ascii="Times New Roman" w:hAnsi="Times New Roman"/>
          <w:i/>
          <w:sz w:val="24"/>
          <w:szCs w:val="24"/>
        </w:rPr>
        <w:t>in limine</w:t>
      </w:r>
      <w:r w:rsidR="00742919">
        <w:rPr>
          <w:rFonts w:ascii="Times New Roman" w:hAnsi="Times New Roman"/>
          <w:sz w:val="24"/>
          <w:szCs w:val="24"/>
        </w:rPr>
        <w:t xml:space="preserve"> were raised</w:t>
      </w:r>
      <w:r>
        <w:rPr>
          <w:rFonts w:ascii="Times New Roman" w:hAnsi="Times New Roman"/>
          <w:sz w:val="24"/>
          <w:szCs w:val="24"/>
        </w:rPr>
        <w:t xml:space="preserve"> that the applicant’s founding affidavit was not properly commissioned in terms of the laws in Zimbabwe. Secondly that the declaratory relief sought is incompetent at law and lastly that there are material disputes of facts that cannot be resolved on papers.</w:t>
      </w:r>
    </w:p>
    <w:p w14:paraId="0B57E427" w14:textId="1409246B" w:rsidR="002274B8" w:rsidRDefault="00C23044" w:rsidP="00093988">
      <w:pPr>
        <w:spacing w:after="0" w:line="360" w:lineRule="auto"/>
        <w:jc w:val="both"/>
        <w:rPr>
          <w:rFonts w:ascii="Times New Roman" w:hAnsi="Times New Roman"/>
          <w:sz w:val="24"/>
          <w:szCs w:val="24"/>
        </w:rPr>
      </w:pPr>
      <w:r>
        <w:rPr>
          <w:rFonts w:ascii="Times New Roman" w:hAnsi="Times New Roman"/>
          <w:sz w:val="24"/>
          <w:szCs w:val="24"/>
        </w:rPr>
        <w:tab/>
        <w:t xml:space="preserve"> On the </w:t>
      </w:r>
      <w:r w:rsidR="004F216D">
        <w:rPr>
          <w:rFonts w:ascii="Times New Roman" w:hAnsi="Times New Roman"/>
          <w:sz w:val="24"/>
          <w:szCs w:val="24"/>
        </w:rPr>
        <w:t>merits,</w:t>
      </w:r>
      <w:r>
        <w:rPr>
          <w:rFonts w:ascii="Times New Roman" w:hAnsi="Times New Roman"/>
          <w:sz w:val="24"/>
          <w:szCs w:val="24"/>
        </w:rPr>
        <w:t xml:space="preserve"> the </w:t>
      </w:r>
      <w:r w:rsidR="004F216D">
        <w:rPr>
          <w:rFonts w:ascii="Times New Roman" w:hAnsi="Times New Roman"/>
          <w:sz w:val="24"/>
          <w:szCs w:val="24"/>
        </w:rPr>
        <w:t xml:space="preserve">second respondent insisted that the applicant was not defrauded. She sold the property to </w:t>
      </w:r>
      <w:r w:rsidR="006E0B77">
        <w:rPr>
          <w:rFonts w:ascii="Times New Roman" w:hAnsi="Times New Roman"/>
          <w:sz w:val="24"/>
          <w:szCs w:val="24"/>
        </w:rPr>
        <w:t>him</w:t>
      </w:r>
      <w:r w:rsidR="004F216D">
        <w:rPr>
          <w:rFonts w:ascii="Times New Roman" w:hAnsi="Times New Roman"/>
          <w:sz w:val="24"/>
          <w:szCs w:val="24"/>
        </w:rPr>
        <w:t xml:space="preserve"> and signed the agreement of sale.</w:t>
      </w:r>
    </w:p>
    <w:p w14:paraId="3F2714ED" w14:textId="049DBB6E" w:rsidR="003F2031" w:rsidRDefault="002274B8" w:rsidP="00093988">
      <w:pPr>
        <w:spacing w:after="0" w:line="360" w:lineRule="auto"/>
        <w:jc w:val="both"/>
        <w:rPr>
          <w:rFonts w:ascii="Times New Roman" w:hAnsi="Times New Roman"/>
          <w:sz w:val="24"/>
          <w:szCs w:val="24"/>
        </w:rPr>
      </w:pPr>
      <w:r>
        <w:rPr>
          <w:rFonts w:ascii="Times New Roman" w:hAnsi="Times New Roman"/>
          <w:sz w:val="24"/>
          <w:szCs w:val="24"/>
        </w:rPr>
        <w:tab/>
        <w:t xml:space="preserve"> I shall address the preliminary points raised </w:t>
      </w:r>
      <w:r w:rsidR="006E0B77">
        <w:rPr>
          <w:rFonts w:ascii="Times New Roman" w:hAnsi="Times New Roman"/>
          <w:sz w:val="24"/>
          <w:szCs w:val="24"/>
        </w:rPr>
        <w:t>for the second respondent first before addressing the merits.</w:t>
      </w:r>
    </w:p>
    <w:p w14:paraId="3B2FCCBE" w14:textId="2CB62FBD" w:rsidR="007B4ECD" w:rsidRDefault="003F2031" w:rsidP="00093988">
      <w:pPr>
        <w:spacing w:after="0" w:line="360" w:lineRule="auto"/>
        <w:jc w:val="both"/>
        <w:rPr>
          <w:rFonts w:ascii="Times New Roman" w:hAnsi="Times New Roman"/>
          <w:sz w:val="24"/>
          <w:szCs w:val="24"/>
        </w:rPr>
      </w:pPr>
      <w:r>
        <w:rPr>
          <w:rFonts w:ascii="Times New Roman" w:hAnsi="Times New Roman"/>
          <w:sz w:val="24"/>
          <w:szCs w:val="24"/>
        </w:rPr>
        <w:tab/>
        <w:t>The first preliminary point</w:t>
      </w:r>
      <w:r w:rsidR="007B4ECD">
        <w:rPr>
          <w:rFonts w:ascii="Times New Roman" w:hAnsi="Times New Roman"/>
          <w:sz w:val="24"/>
          <w:szCs w:val="24"/>
        </w:rPr>
        <w:t xml:space="preserve"> is that there is no valid founding affidavit before the court.</w:t>
      </w:r>
      <w:r>
        <w:rPr>
          <w:rFonts w:ascii="Times New Roman" w:hAnsi="Times New Roman"/>
          <w:sz w:val="24"/>
          <w:szCs w:val="24"/>
        </w:rPr>
        <w:t xml:space="preserve"> </w:t>
      </w:r>
      <w:r w:rsidR="0011665A">
        <w:rPr>
          <w:rFonts w:ascii="Times New Roman" w:hAnsi="Times New Roman"/>
          <w:sz w:val="24"/>
          <w:szCs w:val="24"/>
        </w:rPr>
        <w:t xml:space="preserve"> It</w:t>
      </w:r>
      <w:r>
        <w:rPr>
          <w:rFonts w:ascii="Times New Roman" w:hAnsi="Times New Roman"/>
          <w:sz w:val="24"/>
          <w:szCs w:val="24"/>
        </w:rPr>
        <w:t xml:space="preserve"> was submitted that the affidavit having been deposed to in the United States of </w:t>
      </w:r>
      <w:r w:rsidR="007B4ECD">
        <w:rPr>
          <w:rFonts w:ascii="Times New Roman" w:hAnsi="Times New Roman"/>
          <w:sz w:val="24"/>
          <w:szCs w:val="24"/>
        </w:rPr>
        <w:t>America,</w:t>
      </w:r>
      <w:r>
        <w:rPr>
          <w:rFonts w:ascii="Times New Roman" w:hAnsi="Times New Roman"/>
          <w:sz w:val="24"/>
          <w:szCs w:val="24"/>
        </w:rPr>
        <w:t xml:space="preserve"> it is subject to s4 of the High Court (Authentication of Documents</w:t>
      </w:r>
      <w:r w:rsidR="003174E8">
        <w:rPr>
          <w:rFonts w:ascii="Times New Roman" w:hAnsi="Times New Roman"/>
          <w:sz w:val="24"/>
          <w:szCs w:val="24"/>
        </w:rPr>
        <w:t>)</w:t>
      </w:r>
      <w:r w:rsidR="0011665A">
        <w:rPr>
          <w:rFonts w:ascii="Times New Roman" w:hAnsi="Times New Roman"/>
          <w:sz w:val="24"/>
          <w:szCs w:val="24"/>
        </w:rPr>
        <w:t>,1971</w:t>
      </w:r>
      <w:r w:rsidR="003174E8">
        <w:rPr>
          <w:rFonts w:ascii="Times New Roman" w:hAnsi="Times New Roman"/>
          <w:sz w:val="24"/>
          <w:szCs w:val="24"/>
        </w:rPr>
        <w:t xml:space="preserve"> ‘</w:t>
      </w:r>
      <w:r w:rsidR="00873A76">
        <w:rPr>
          <w:rFonts w:ascii="Times New Roman" w:hAnsi="Times New Roman"/>
          <w:sz w:val="24"/>
          <w:szCs w:val="24"/>
        </w:rPr>
        <w:t>the Rules’</w:t>
      </w:r>
      <w:r w:rsidR="0011665A">
        <w:rPr>
          <w:rFonts w:ascii="Times New Roman" w:hAnsi="Times New Roman"/>
          <w:sz w:val="24"/>
          <w:szCs w:val="24"/>
        </w:rPr>
        <w:t xml:space="preserve"> which is now s85 of the 2021 Rules. The affidavit must have been deposed before a commissioner of oaths appointed by this court. Section 3 is not applicable in this case since an affidavit is not a document. In </w:t>
      </w:r>
      <w:r w:rsidR="007B4ECD">
        <w:rPr>
          <w:rFonts w:ascii="Times New Roman" w:hAnsi="Times New Roman"/>
          <w:sz w:val="24"/>
          <w:szCs w:val="24"/>
        </w:rPr>
        <w:t>addition,</w:t>
      </w:r>
      <w:r w:rsidR="0011665A">
        <w:rPr>
          <w:rFonts w:ascii="Times New Roman" w:hAnsi="Times New Roman"/>
          <w:sz w:val="24"/>
          <w:szCs w:val="24"/>
        </w:rPr>
        <w:t xml:space="preserve"> there must be evidence that the person </w:t>
      </w:r>
      <w:r w:rsidR="00742919">
        <w:rPr>
          <w:rFonts w:ascii="Times New Roman" w:hAnsi="Times New Roman"/>
          <w:sz w:val="24"/>
          <w:szCs w:val="24"/>
        </w:rPr>
        <w:t>who signed the affidavit is indeed a</w:t>
      </w:r>
      <w:r w:rsidR="0011665A">
        <w:rPr>
          <w:rFonts w:ascii="Times New Roman" w:hAnsi="Times New Roman"/>
          <w:sz w:val="24"/>
          <w:szCs w:val="24"/>
        </w:rPr>
        <w:t xml:space="preserve"> notary </w:t>
      </w:r>
      <w:r w:rsidR="00742919">
        <w:rPr>
          <w:rFonts w:ascii="Times New Roman" w:hAnsi="Times New Roman"/>
          <w:sz w:val="24"/>
          <w:szCs w:val="24"/>
        </w:rPr>
        <w:t xml:space="preserve">public. The court was referred to the case of </w:t>
      </w:r>
      <w:r w:rsidR="00742919" w:rsidRPr="003174E8">
        <w:rPr>
          <w:rFonts w:ascii="Times New Roman" w:hAnsi="Times New Roman"/>
          <w:i/>
          <w:sz w:val="24"/>
          <w:szCs w:val="24"/>
        </w:rPr>
        <w:t>Tawanda</w:t>
      </w:r>
      <w:r w:rsidR="0011665A" w:rsidRPr="0011665A">
        <w:rPr>
          <w:rFonts w:ascii="Times New Roman" w:hAnsi="Times New Roman"/>
          <w:i/>
          <w:iCs/>
          <w:sz w:val="24"/>
          <w:szCs w:val="24"/>
        </w:rPr>
        <w:t xml:space="preserve"> v Nd</w:t>
      </w:r>
      <w:r w:rsidR="0011665A">
        <w:rPr>
          <w:rFonts w:ascii="Times New Roman" w:hAnsi="Times New Roman"/>
          <w:i/>
          <w:iCs/>
          <w:sz w:val="24"/>
          <w:szCs w:val="24"/>
        </w:rPr>
        <w:t>e</w:t>
      </w:r>
      <w:r w:rsidR="0011665A" w:rsidRPr="0011665A">
        <w:rPr>
          <w:rFonts w:ascii="Times New Roman" w:hAnsi="Times New Roman"/>
          <w:i/>
          <w:iCs/>
          <w:sz w:val="24"/>
          <w:szCs w:val="24"/>
        </w:rPr>
        <w:t>bele</w:t>
      </w:r>
      <w:r w:rsidR="0011665A">
        <w:rPr>
          <w:rFonts w:ascii="Times New Roman" w:hAnsi="Times New Roman"/>
          <w:i/>
          <w:iCs/>
          <w:sz w:val="24"/>
          <w:szCs w:val="24"/>
        </w:rPr>
        <w:t xml:space="preserve"> 2006 </w:t>
      </w:r>
      <w:r w:rsidR="0011665A" w:rsidRPr="0011665A">
        <w:rPr>
          <w:rFonts w:ascii="Times New Roman" w:hAnsi="Times New Roman"/>
          <w:sz w:val="24"/>
          <w:szCs w:val="24"/>
        </w:rPr>
        <w:t>(1) ZLR 426 (H)</w:t>
      </w:r>
      <w:r w:rsidR="0011665A">
        <w:rPr>
          <w:rFonts w:ascii="Times New Roman" w:hAnsi="Times New Roman"/>
          <w:sz w:val="24"/>
          <w:szCs w:val="24"/>
        </w:rPr>
        <w:t xml:space="preserve"> for this submission.</w:t>
      </w:r>
      <w:r w:rsidR="00C37A75">
        <w:rPr>
          <w:rFonts w:ascii="Times New Roman" w:hAnsi="Times New Roman"/>
          <w:sz w:val="24"/>
          <w:szCs w:val="24"/>
        </w:rPr>
        <w:t xml:space="preserve"> </w:t>
      </w:r>
    </w:p>
    <w:p w14:paraId="7143053B" w14:textId="165EEAB4" w:rsidR="009B47E6" w:rsidRDefault="007B4ECD" w:rsidP="00093988">
      <w:pPr>
        <w:spacing w:after="0" w:line="360" w:lineRule="auto"/>
        <w:jc w:val="both"/>
        <w:rPr>
          <w:rFonts w:ascii="Times New Roman" w:hAnsi="Times New Roman"/>
          <w:sz w:val="24"/>
          <w:szCs w:val="24"/>
        </w:rPr>
      </w:pPr>
      <w:r>
        <w:rPr>
          <w:rFonts w:ascii="Times New Roman" w:hAnsi="Times New Roman"/>
          <w:sz w:val="24"/>
          <w:szCs w:val="24"/>
        </w:rPr>
        <w:tab/>
        <w:t xml:space="preserve"> The point taken was opposed</w:t>
      </w:r>
      <w:r w:rsidR="00D12563">
        <w:rPr>
          <w:rFonts w:ascii="Times New Roman" w:hAnsi="Times New Roman"/>
          <w:sz w:val="24"/>
          <w:szCs w:val="24"/>
        </w:rPr>
        <w:t xml:space="preserve">. It was submitted that in terms of s3 of </w:t>
      </w:r>
      <w:r w:rsidR="00873A76">
        <w:rPr>
          <w:rFonts w:ascii="Times New Roman" w:hAnsi="Times New Roman"/>
          <w:sz w:val="24"/>
          <w:szCs w:val="24"/>
        </w:rPr>
        <w:t>the</w:t>
      </w:r>
      <w:r w:rsidR="007F4E8B">
        <w:rPr>
          <w:rFonts w:ascii="Times New Roman" w:hAnsi="Times New Roman"/>
          <w:sz w:val="24"/>
          <w:szCs w:val="24"/>
        </w:rPr>
        <w:t xml:space="preserve"> High Court (Authentication of Documents)</w:t>
      </w:r>
      <w:r w:rsidR="00873A76">
        <w:rPr>
          <w:rFonts w:ascii="Times New Roman" w:hAnsi="Times New Roman"/>
          <w:sz w:val="24"/>
          <w:szCs w:val="24"/>
        </w:rPr>
        <w:t xml:space="preserve"> Rules</w:t>
      </w:r>
      <w:r w:rsidR="00D12563">
        <w:rPr>
          <w:rFonts w:ascii="Times New Roman" w:hAnsi="Times New Roman"/>
          <w:sz w:val="24"/>
          <w:szCs w:val="24"/>
        </w:rPr>
        <w:t>, 1971</w:t>
      </w:r>
      <w:r w:rsidR="00873A76">
        <w:rPr>
          <w:rFonts w:ascii="Times New Roman" w:hAnsi="Times New Roman"/>
          <w:sz w:val="24"/>
          <w:szCs w:val="24"/>
        </w:rPr>
        <w:t>,</w:t>
      </w:r>
      <w:r w:rsidR="00D12563">
        <w:rPr>
          <w:rFonts w:ascii="Times New Roman" w:hAnsi="Times New Roman"/>
          <w:sz w:val="24"/>
          <w:szCs w:val="24"/>
        </w:rPr>
        <w:t xml:space="preserve"> the affidavit was properly authenticated by a notary public who affixed his seal or stamp from New York in the United States of America.</w:t>
      </w:r>
      <w:r w:rsidR="00E4174E">
        <w:rPr>
          <w:rFonts w:ascii="Times New Roman" w:hAnsi="Times New Roman"/>
          <w:sz w:val="24"/>
          <w:szCs w:val="24"/>
        </w:rPr>
        <w:t xml:space="preserve"> In addition, it was submitted that the </w:t>
      </w:r>
      <w:r w:rsidR="00E4174E" w:rsidRPr="00E4174E">
        <w:rPr>
          <w:rFonts w:ascii="Times New Roman" w:hAnsi="Times New Roman"/>
          <w:i/>
          <w:iCs/>
          <w:sz w:val="24"/>
          <w:szCs w:val="24"/>
        </w:rPr>
        <w:t>Tawanda v Ndebele</w:t>
      </w:r>
      <w:r w:rsidR="00E4174E">
        <w:rPr>
          <w:rFonts w:ascii="Times New Roman" w:hAnsi="Times New Roman"/>
          <w:sz w:val="24"/>
          <w:szCs w:val="24"/>
        </w:rPr>
        <w:t xml:space="preserve"> case</w:t>
      </w:r>
      <w:r w:rsidR="00873A76">
        <w:rPr>
          <w:rFonts w:ascii="Times New Roman" w:hAnsi="Times New Roman"/>
          <w:sz w:val="24"/>
          <w:szCs w:val="24"/>
        </w:rPr>
        <w:t xml:space="preserve"> (supra)</w:t>
      </w:r>
      <w:r w:rsidR="00E4174E">
        <w:rPr>
          <w:rFonts w:ascii="Times New Roman" w:hAnsi="Times New Roman"/>
          <w:sz w:val="24"/>
          <w:szCs w:val="24"/>
        </w:rPr>
        <w:t xml:space="preserve"> is not applicable </w:t>
      </w:r>
      <w:r w:rsidR="00095959">
        <w:rPr>
          <w:rFonts w:ascii="Times New Roman" w:hAnsi="Times New Roman"/>
          <w:sz w:val="24"/>
          <w:szCs w:val="24"/>
        </w:rPr>
        <w:t xml:space="preserve">in </w:t>
      </w:r>
      <w:r w:rsidR="00473082">
        <w:rPr>
          <w:rFonts w:ascii="Times New Roman" w:hAnsi="Times New Roman"/>
          <w:sz w:val="24"/>
          <w:szCs w:val="24"/>
        </w:rPr>
        <w:t>this matter</w:t>
      </w:r>
      <w:r w:rsidR="00873A76">
        <w:rPr>
          <w:rFonts w:ascii="Times New Roman" w:hAnsi="Times New Roman"/>
          <w:sz w:val="24"/>
          <w:szCs w:val="24"/>
        </w:rPr>
        <w:t>.</w:t>
      </w:r>
      <w:r w:rsidR="00473082">
        <w:rPr>
          <w:rFonts w:ascii="Times New Roman" w:hAnsi="Times New Roman"/>
          <w:sz w:val="24"/>
          <w:szCs w:val="24"/>
        </w:rPr>
        <w:t xml:space="preserve"> </w:t>
      </w:r>
      <w:r w:rsidR="00873A76">
        <w:rPr>
          <w:rFonts w:ascii="Times New Roman" w:hAnsi="Times New Roman"/>
          <w:sz w:val="24"/>
          <w:szCs w:val="24"/>
        </w:rPr>
        <w:t xml:space="preserve">The court in that case related </w:t>
      </w:r>
      <w:r w:rsidR="00E4174E">
        <w:rPr>
          <w:rFonts w:ascii="Times New Roman" w:hAnsi="Times New Roman"/>
          <w:sz w:val="24"/>
          <w:szCs w:val="24"/>
        </w:rPr>
        <w:t>to a power of attorney and not an affidavit.</w:t>
      </w:r>
    </w:p>
    <w:p w14:paraId="02D78A0D" w14:textId="77777777" w:rsidR="004840C8" w:rsidRDefault="00D33D7A" w:rsidP="00873A76">
      <w:pPr>
        <w:spacing w:after="0" w:line="360" w:lineRule="auto"/>
        <w:ind w:firstLine="720"/>
        <w:jc w:val="both"/>
        <w:rPr>
          <w:rFonts w:ascii="Times New Roman" w:hAnsi="Times New Roman"/>
          <w:sz w:val="24"/>
          <w:szCs w:val="24"/>
        </w:rPr>
      </w:pPr>
      <w:r>
        <w:rPr>
          <w:rFonts w:ascii="Times New Roman" w:hAnsi="Times New Roman"/>
          <w:sz w:val="24"/>
          <w:szCs w:val="24"/>
        </w:rPr>
        <w:t>The</w:t>
      </w:r>
      <w:r w:rsidR="008C453A">
        <w:rPr>
          <w:rFonts w:ascii="Times New Roman" w:hAnsi="Times New Roman"/>
          <w:sz w:val="24"/>
          <w:szCs w:val="24"/>
        </w:rPr>
        <w:t xml:space="preserve"> starting point is that the Rules deal with authentication of </w:t>
      </w:r>
      <w:r>
        <w:rPr>
          <w:rFonts w:ascii="Times New Roman" w:hAnsi="Times New Roman"/>
          <w:sz w:val="24"/>
          <w:szCs w:val="24"/>
        </w:rPr>
        <w:t xml:space="preserve">documents. Authentication is the verification of a signature on the document. The Rules </w:t>
      </w:r>
      <w:r w:rsidR="001D388B">
        <w:rPr>
          <w:rFonts w:ascii="Times New Roman" w:hAnsi="Times New Roman"/>
          <w:sz w:val="24"/>
          <w:szCs w:val="24"/>
        </w:rPr>
        <w:t>do</w:t>
      </w:r>
      <w:r w:rsidR="001D2518">
        <w:rPr>
          <w:rFonts w:ascii="Times New Roman" w:hAnsi="Times New Roman"/>
          <w:sz w:val="24"/>
          <w:szCs w:val="24"/>
        </w:rPr>
        <w:t xml:space="preserve"> not deal with the commissioning of </w:t>
      </w:r>
      <w:r>
        <w:rPr>
          <w:rFonts w:ascii="Times New Roman" w:hAnsi="Times New Roman"/>
          <w:sz w:val="24"/>
          <w:szCs w:val="24"/>
        </w:rPr>
        <w:t>affidavits. An affidavit must therefore</w:t>
      </w:r>
      <w:r w:rsidR="001D2518">
        <w:rPr>
          <w:rFonts w:ascii="Times New Roman" w:hAnsi="Times New Roman"/>
          <w:sz w:val="24"/>
          <w:szCs w:val="24"/>
        </w:rPr>
        <w:t xml:space="preserve"> be understood </w:t>
      </w:r>
      <w:r>
        <w:rPr>
          <w:rFonts w:ascii="Times New Roman" w:hAnsi="Times New Roman"/>
          <w:sz w:val="24"/>
          <w:szCs w:val="24"/>
        </w:rPr>
        <w:t xml:space="preserve">for what it is. It </w:t>
      </w:r>
      <w:r w:rsidR="004840C8">
        <w:rPr>
          <w:rFonts w:ascii="Times New Roman" w:hAnsi="Times New Roman"/>
          <w:sz w:val="24"/>
          <w:szCs w:val="24"/>
        </w:rPr>
        <w:t xml:space="preserve">is a </w:t>
      </w:r>
      <w:r>
        <w:rPr>
          <w:rFonts w:ascii="Times New Roman" w:hAnsi="Times New Roman"/>
          <w:sz w:val="24"/>
          <w:szCs w:val="24"/>
        </w:rPr>
        <w:t>statement</w:t>
      </w:r>
      <w:r w:rsidR="001D2518">
        <w:rPr>
          <w:rFonts w:ascii="Times New Roman" w:hAnsi="Times New Roman"/>
          <w:sz w:val="24"/>
          <w:szCs w:val="24"/>
        </w:rPr>
        <w:t xml:space="preserve"> made under oath duly administered by a person authorised by law to do so.</w:t>
      </w:r>
      <w:r w:rsidR="004840C8" w:rsidRPr="004840C8">
        <w:rPr>
          <w:rFonts w:ascii="Times New Roman" w:hAnsi="Times New Roman"/>
          <w:sz w:val="24"/>
          <w:szCs w:val="24"/>
        </w:rPr>
        <w:t xml:space="preserve"> </w:t>
      </w:r>
    </w:p>
    <w:p w14:paraId="07980A6C" w14:textId="649598DD" w:rsidR="00EB6AB8" w:rsidRDefault="004840C8" w:rsidP="00873A76">
      <w:pPr>
        <w:spacing w:after="0" w:line="360" w:lineRule="auto"/>
        <w:ind w:firstLine="720"/>
        <w:jc w:val="both"/>
        <w:rPr>
          <w:rFonts w:ascii="Times New Roman" w:hAnsi="Times New Roman"/>
          <w:sz w:val="24"/>
          <w:szCs w:val="24"/>
        </w:rPr>
      </w:pPr>
      <w:r w:rsidRPr="004840C8">
        <w:rPr>
          <w:rFonts w:ascii="Times New Roman" w:hAnsi="Times New Roman"/>
          <w:sz w:val="24"/>
          <w:szCs w:val="24"/>
        </w:rPr>
        <w:t>Section 2 of the Rules define</w:t>
      </w:r>
      <w:r w:rsidR="00EB6AB8">
        <w:rPr>
          <w:rFonts w:ascii="Times New Roman" w:hAnsi="Times New Roman"/>
          <w:sz w:val="24"/>
          <w:szCs w:val="24"/>
        </w:rPr>
        <w:t>s</w:t>
      </w:r>
      <w:r w:rsidRPr="004840C8">
        <w:rPr>
          <w:rFonts w:ascii="Times New Roman" w:hAnsi="Times New Roman"/>
          <w:sz w:val="24"/>
          <w:szCs w:val="24"/>
        </w:rPr>
        <w:t xml:space="preserve"> a document </w:t>
      </w:r>
      <w:r w:rsidR="00EB6AB8">
        <w:rPr>
          <w:rFonts w:ascii="Times New Roman" w:hAnsi="Times New Roman"/>
          <w:sz w:val="24"/>
          <w:szCs w:val="24"/>
        </w:rPr>
        <w:t xml:space="preserve">to </w:t>
      </w:r>
      <w:r w:rsidRPr="004840C8">
        <w:rPr>
          <w:rFonts w:ascii="Times New Roman" w:hAnsi="Times New Roman"/>
          <w:sz w:val="24"/>
          <w:szCs w:val="24"/>
        </w:rPr>
        <w:t>include an affidavit</w:t>
      </w:r>
      <w:r w:rsidR="00EB6AB8">
        <w:rPr>
          <w:rFonts w:ascii="Times New Roman" w:hAnsi="Times New Roman"/>
          <w:sz w:val="24"/>
          <w:szCs w:val="24"/>
        </w:rPr>
        <w:t xml:space="preserve"> but does not include an affidavit sworn before a commissioner</w:t>
      </w:r>
      <w:r w:rsidR="00EB6AB8" w:rsidRPr="004840C8">
        <w:rPr>
          <w:rFonts w:ascii="Times New Roman" w:hAnsi="Times New Roman"/>
          <w:sz w:val="24"/>
          <w:szCs w:val="24"/>
        </w:rPr>
        <w:t>.</w:t>
      </w:r>
      <w:r w:rsidR="00EB6AB8">
        <w:rPr>
          <w:rFonts w:ascii="Times New Roman" w:hAnsi="Times New Roman"/>
          <w:sz w:val="24"/>
          <w:szCs w:val="24"/>
        </w:rPr>
        <w:t xml:space="preserve"> Two sets of affidavits emerge from there. One is the affidavit that requires authentication in terms of s3 by virtue of it falling under </w:t>
      </w:r>
      <w:r w:rsidR="00763D07">
        <w:rPr>
          <w:rFonts w:ascii="Times New Roman" w:hAnsi="Times New Roman"/>
          <w:sz w:val="24"/>
          <w:szCs w:val="24"/>
        </w:rPr>
        <w:t xml:space="preserve">the definition of </w:t>
      </w:r>
      <w:r w:rsidR="00EB6AB8">
        <w:rPr>
          <w:rFonts w:ascii="Times New Roman" w:hAnsi="Times New Roman"/>
          <w:sz w:val="24"/>
          <w:szCs w:val="24"/>
        </w:rPr>
        <w:t xml:space="preserve">a document. The second affidavit is that signed by a </w:t>
      </w:r>
      <w:r w:rsidR="00763D07">
        <w:rPr>
          <w:rFonts w:ascii="Times New Roman" w:hAnsi="Times New Roman"/>
          <w:sz w:val="24"/>
          <w:szCs w:val="24"/>
        </w:rPr>
        <w:t>commissioner appointed by the High Court.</w:t>
      </w:r>
    </w:p>
    <w:p w14:paraId="6B71A6FE" w14:textId="11837CFC" w:rsidR="00FD4C49" w:rsidRDefault="00766835" w:rsidP="00873A76">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A document needs only be sworn to before a person </w:t>
      </w:r>
      <w:r w:rsidR="00AD1B70">
        <w:rPr>
          <w:rFonts w:ascii="Times New Roman" w:hAnsi="Times New Roman"/>
          <w:sz w:val="24"/>
          <w:szCs w:val="24"/>
        </w:rPr>
        <w:t>authorised by the law</w:t>
      </w:r>
      <w:r w:rsidR="00E02725">
        <w:rPr>
          <w:rFonts w:ascii="Times New Roman" w:hAnsi="Times New Roman"/>
          <w:sz w:val="24"/>
          <w:szCs w:val="24"/>
        </w:rPr>
        <w:t xml:space="preserve"> of the place </w:t>
      </w:r>
      <w:r w:rsidR="00763D07">
        <w:rPr>
          <w:rFonts w:ascii="Times New Roman" w:hAnsi="Times New Roman"/>
          <w:sz w:val="24"/>
          <w:szCs w:val="24"/>
        </w:rPr>
        <w:t>where it</w:t>
      </w:r>
      <w:r>
        <w:rPr>
          <w:rFonts w:ascii="Times New Roman" w:hAnsi="Times New Roman"/>
          <w:sz w:val="24"/>
          <w:szCs w:val="24"/>
        </w:rPr>
        <w:t xml:space="preserve"> was </w:t>
      </w:r>
      <w:r w:rsidR="00E02725">
        <w:rPr>
          <w:rFonts w:ascii="Times New Roman" w:hAnsi="Times New Roman"/>
          <w:sz w:val="24"/>
          <w:szCs w:val="24"/>
        </w:rPr>
        <w:t>made</w:t>
      </w:r>
      <w:r>
        <w:rPr>
          <w:rFonts w:ascii="Times New Roman" w:hAnsi="Times New Roman"/>
          <w:sz w:val="24"/>
          <w:szCs w:val="24"/>
        </w:rPr>
        <w:t xml:space="preserve"> to make it an affidavit</w:t>
      </w:r>
      <w:r w:rsidR="00AD1B70">
        <w:rPr>
          <w:rFonts w:ascii="Times New Roman" w:hAnsi="Times New Roman"/>
          <w:sz w:val="24"/>
          <w:szCs w:val="24"/>
        </w:rPr>
        <w:t xml:space="preserve">. This is the point made in the </w:t>
      </w:r>
      <w:r w:rsidR="00AD1B70" w:rsidRPr="00E02725">
        <w:rPr>
          <w:rFonts w:ascii="Times New Roman" w:hAnsi="Times New Roman"/>
          <w:i/>
          <w:iCs/>
          <w:sz w:val="24"/>
          <w:szCs w:val="24"/>
        </w:rPr>
        <w:t>Tawanda v Ndebele</w:t>
      </w:r>
      <w:r w:rsidR="00AD1B70">
        <w:rPr>
          <w:rFonts w:ascii="Times New Roman" w:hAnsi="Times New Roman"/>
          <w:sz w:val="24"/>
          <w:szCs w:val="24"/>
        </w:rPr>
        <w:t xml:space="preserve"> case</w:t>
      </w:r>
      <w:r w:rsidR="00E02725">
        <w:rPr>
          <w:rFonts w:ascii="Times New Roman" w:hAnsi="Times New Roman"/>
          <w:sz w:val="24"/>
          <w:szCs w:val="24"/>
        </w:rPr>
        <w:t xml:space="preserve"> (supra)</w:t>
      </w:r>
      <w:r w:rsidR="00AD1B70">
        <w:rPr>
          <w:rFonts w:ascii="Times New Roman" w:hAnsi="Times New Roman"/>
          <w:sz w:val="24"/>
          <w:szCs w:val="24"/>
        </w:rPr>
        <w:t>, where although the court was dealing with</w:t>
      </w:r>
      <w:r w:rsidR="001D388B">
        <w:rPr>
          <w:rFonts w:ascii="Times New Roman" w:hAnsi="Times New Roman"/>
          <w:sz w:val="24"/>
          <w:szCs w:val="24"/>
        </w:rPr>
        <w:t xml:space="preserve"> the</w:t>
      </w:r>
      <w:r w:rsidR="00AD1B70">
        <w:rPr>
          <w:rFonts w:ascii="Times New Roman" w:hAnsi="Times New Roman"/>
          <w:sz w:val="24"/>
          <w:szCs w:val="24"/>
        </w:rPr>
        <w:t xml:space="preserve"> authority of a </w:t>
      </w:r>
      <w:r w:rsidR="001D388B">
        <w:rPr>
          <w:rFonts w:ascii="Times New Roman" w:hAnsi="Times New Roman"/>
          <w:sz w:val="24"/>
          <w:szCs w:val="24"/>
        </w:rPr>
        <w:t>N</w:t>
      </w:r>
      <w:r w:rsidR="00AD1B70">
        <w:rPr>
          <w:rFonts w:ascii="Times New Roman" w:hAnsi="Times New Roman"/>
          <w:sz w:val="24"/>
          <w:szCs w:val="24"/>
        </w:rPr>
        <w:t xml:space="preserve">otary </w:t>
      </w:r>
      <w:r w:rsidR="001D388B">
        <w:rPr>
          <w:rFonts w:ascii="Times New Roman" w:hAnsi="Times New Roman"/>
          <w:sz w:val="24"/>
          <w:szCs w:val="24"/>
        </w:rPr>
        <w:t>P</w:t>
      </w:r>
      <w:r w:rsidR="00AD1B70">
        <w:rPr>
          <w:rFonts w:ascii="Times New Roman" w:hAnsi="Times New Roman"/>
          <w:sz w:val="24"/>
          <w:szCs w:val="24"/>
        </w:rPr>
        <w:t>ublic</w:t>
      </w:r>
      <w:r w:rsidR="00E02725">
        <w:rPr>
          <w:rFonts w:ascii="Times New Roman" w:hAnsi="Times New Roman"/>
          <w:sz w:val="24"/>
          <w:szCs w:val="24"/>
        </w:rPr>
        <w:t>, the court had to consider if the solicitor who signed the Power of Attorney was a Notary Public in terms of the laws of the United Kingdom.</w:t>
      </w:r>
      <w:r w:rsidR="00126B25">
        <w:rPr>
          <w:rFonts w:ascii="Times New Roman" w:hAnsi="Times New Roman"/>
          <w:sz w:val="24"/>
          <w:szCs w:val="24"/>
        </w:rPr>
        <w:t xml:space="preserve"> In my view w</w:t>
      </w:r>
      <w:r w:rsidR="00E02725">
        <w:rPr>
          <w:rFonts w:ascii="Times New Roman" w:hAnsi="Times New Roman"/>
          <w:sz w:val="24"/>
          <w:szCs w:val="24"/>
        </w:rPr>
        <w:t xml:space="preserve">here a party relies </w:t>
      </w:r>
      <w:r w:rsidR="00126B25">
        <w:rPr>
          <w:rFonts w:ascii="Times New Roman" w:hAnsi="Times New Roman"/>
          <w:sz w:val="24"/>
          <w:szCs w:val="24"/>
        </w:rPr>
        <w:t>on an affidavit signed by a commissioner</w:t>
      </w:r>
      <w:r w:rsidR="00EE3852">
        <w:rPr>
          <w:rFonts w:ascii="Times New Roman" w:hAnsi="Times New Roman"/>
          <w:sz w:val="24"/>
          <w:szCs w:val="24"/>
        </w:rPr>
        <w:t xml:space="preserve"> who </w:t>
      </w:r>
      <w:r w:rsidR="00126B25">
        <w:rPr>
          <w:rFonts w:ascii="Times New Roman" w:hAnsi="Times New Roman"/>
          <w:sz w:val="24"/>
          <w:szCs w:val="24"/>
        </w:rPr>
        <w:t xml:space="preserve">was not appointed by the High Court, that affidavit must </w:t>
      </w:r>
      <w:r w:rsidR="00E02725">
        <w:rPr>
          <w:rFonts w:ascii="Times New Roman" w:hAnsi="Times New Roman"/>
          <w:sz w:val="24"/>
          <w:szCs w:val="24"/>
        </w:rPr>
        <w:t xml:space="preserve">be authenticated in terms of </w:t>
      </w:r>
      <w:r w:rsidR="001D388B">
        <w:rPr>
          <w:rFonts w:ascii="Times New Roman" w:hAnsi="Times New Roman"/>
          <w:sz w:val="24"/>
          <w:szCs w:val="24"/>
        </w:rPr>
        <w:t>s</w:t>
      </w:r>
      <w:r w:rsidR="00126B25">
        <w:rPr>
          <w:rFonts w:ascii="Times New Roman" w:hAnsi="Times New Roman"/>
          <w:sz w:val="24"/>
          <w:szCs w:val="24"/>
        </w:rPr>
        <w:t>3</w:t>
      </w:r>
      <w:r w:rsidR="001D388B">
        <w:rPr>
          <w:rFonts w:ascii="Times New Roman" w:hAnsi="Times New Roman"/>
          <w:sz w:val="24"/>
          <w:szCs w:val="24"/>
        </w:rPr>
        <w:t xml:space="preserve"> of the </w:t>
      </w:r>
      <w:r>
        <w:rPr>
          <w:rFonts w:ascii="Times New Roman" w:hAnsi="Times New Roman"/>
          <w:sz w:val="24"/>
          <w:szCs w:val="24"/>
        </w:rPr>
        <w:t>Rules. The onus is o</w:t>
      </w:r>
      <w:r w:rsidR="00644FC5">
        <w:rPr>
          <w:rFonts w:ascii="Times New Roman" w:hAnsi="Times New Roman"/>
          <w:sz w:val="24"/>
          <w:szCs w:val="24"/>
        </w:rPr>
        <w:t>n</w:t>
      </w:r>
      <w:r>
        <w:rPr>
          <w:rFonts w:ascii="Times New Roman" w:hAnsi="Times New Roman"/>
          <w:sz w:val="24"/>
          <w:szCs w:val="24"/>
        </w:rPr>
        <w:t xml:space="preserve"> the party that alleges some </w:t>
      </w:r>
      <w:r w:rsidR="00EE3852">
        <w:rPr>
          <w:rFonts w:ascii="Times New Roman" w:hAnsi="Times New Roman"/>
          <w:sz w:val="24"/>
          <w:szCs w:val="24"/>
        </w:rPr>
        <w:t>inappropriateness</w:t>
      </w:r>
      <w:r>
        <w:rPr>
          <w:rFonts w:ascii="Times New Roman" w:hAnsi="Times New Roman"/>
          <w:sz w:val="24"/>
          <w:szCs w:val="24"/>
        </w:rPr>
        <w:t xml:space="preserve"> in the commissioning of the affidavit to show that the</w:t>
      </w:r>
      <w:r w:rsidR="00126B25">
        <w:rPr>
          <w:rFonts w:ascii="Times New Roman" w:hAnsi="Times New Roman"/>
          <w:sz w:val="24"/>
          <w:szCs w:val="24"/>
        </w:rPr>
        <w:t xml:space="preserve"> affidavit</w:t>
      </w:r>
      <w:r>
        <w:rPr>
          <w:rFonts w:ascii="Times New Roman" w:hAnsi="Times New Roman"/>
          <w:sz w:val="24"/>
          <w:szCs w:val="24"/>
        </w:rPr>
        <w:t xml:space="preserve"> was not properly commissioned.</w:t>
      </w:r>
    </w:p>
    <w:p w14:paraId="21C3F9DB" w14:textId="699989F6" w:rsidR="002D0506" w:rsidRDefault="0053321B" w:rsidP="00873A76">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second form of </w:t>
      </w:r>
      <w:r w:rsidR="001D388B">
        <w:rPr>
          <w:rFonts w:ascii="Times New Roman" w:hAnsi="Times New Roman"/>
          <w:sz w:val="24"/>
          <w:szCs w:val="24"/>
        </w:rPr>
        <w:t>affidavits are</w:t>
      </w:r>
      <w:r>
        <w:rPr>
          <w:rFonts w:ascii="Times New Roman" w:hAnsi="Times New Roman"/>
          <w:sz w:val="24"/>
          <w:szCs w:val="24"/>
        </w:rPr>
        <w:t xml:space="preserve"> those where commissioners are specifically appointed by the High Court to take affidavits or examine </w:t>
      </w:r>
      <w:r w:rsidR="001D388B">
        <w:rPr>
          <w:rFonts w:ascii="Times New Roman" w:hAnsi="Times New Roman"/>
          <w:sz w:val="24"/>
          <w:szCs w:val="24"/>
        </w:rPr>
        <w:t>witnesses. To</w:t>
      </w:r>
      <w:r>
        <w:rPr>
          <w:rFonts w:ascii="Times New Roman" w:hAnsi="Times New Roman"/>
          <w:sz w:val="24"/>
          <w:szCs w:val="24"/>
        </w:rPr>
        <w:t xml:space="preserve"> my mind this arises in instances where evidence is </w:t>
      </w:r>
      <w:r w:rsidR="00126B25">
        <w:rPr>
          <w:rFonts w:ascii="Times New Roman" w:hAnsi="Times New Roman"/>
          <w:sz w:val="24"/>
          <w:szCs w:val="24"/>
        </w:rPr>
        <w:t>required,</w:t>
      </w:r>
      <w:r>
        <w:rPr>
          <w:rFonts w:ascii="Times New Roman" w:hAnsi="Times New Roman"/>
          <w:sz w:val="24"/>
          <w:szCs w:val="24"/>
        </w:rPr>
        <w:t xml:space="preserve"> and the deponents cannot appear in </w:t>
      </w:r>
      <w:r w:rsidR="00126B25">
        <w:rPr>
          <w:rFonts w:ascii="Times New Roman" w:hAnsi="Times New Roman"/>
          <w:sz w:val="24"/>
          <w:szCs w:val="24"/>
        </w:rPr>
        <w:t>court. Thus, on</w:t>
      </w:r>
      <w:r w:rsidR="001D388B">
        <w:rPr>
          <w:rFonts w:ascii="Times New Roman" w:hAnsi="Times New Roman"/>
          <w:sz w:val="24"/>
          <w:szCs w:val="24"/>
        </w:rPr>
        <w:t xml:space="preserve"> a</w:t>
      </w:r>
      <w:r>
        <w:rPr>
          <w:rFonts w:ascii="Times New Roman" w:hAnsi="Times New Roman"/>
          <w:sz w:val="24"/>
          <w:szCs w:val="24"/>
        </w:rPr>
        <w:t xml:space="preserve"> proper </w:t>
      </w:r>
      <w:r w:rsidR="003A55C9">
        <w:rPr>
          <w:rFonts w:ascii="Times New Roman" w:hAnsi="Times New Roman"/>
          <w:sz w:val="24"/>
          <w:szCs w:val="24"/>
        </w:rPr>
        <w:t>consideration upon</w:t>
      </w:r>
      <w:r w:rsidR="00126B25">
        <w:rPr>
          <w:rFonts w:ascii="Times New Roman" w:hAnsi="Times New Roman"/>
          <w:sz w:val="24"/>
          <w:szCs w:val="24"/>
        </w:rPr>
        <w:t xml:space="preserve"> application </w:t>
      </w:r>
      <w:r>
        <w:rPr>
          <w:rFonts w:ascii="Times New Roman" w:hAnsi="Times New Roman"/>
          <w:sz w:val="24"/>
          <w:szCs w:val="24"/>
        </w:rPr>
        <w:t xml:space="preserve">the High Court can </w:t>
      </w:r>
      <w:r w:rsidR="001D388B">
        <w:rPr>
          <w:rFonts w:ascii="Times New Roman" w:hAnsi="Times New Roman"/>
          <w:sz w:val="24"/>
          <w:szCs w:val="24"/>
        </w:rPr>
        <w:t xml:space="preserve">appoint a </w:t>
      </w:r>
      <w:r>
        <w:rPr>
          <w:rFonts w:ascii="Times New Roman" w:hAnsi="Times New Roman"/>
          <w:sz w:val="24"/>
          <w:szCs w:val="24"/>
        </w:rPr>
        <w:t xml:space="preserve">commissioner to take </w:t>
      </w:r>
      <w:r w:rsidR="001D388B">
        <w:rPr>
          <w:rFonts w:ascii="Times New Roman" w:hAnsi="Times New Roman"/>
          <w:sz w:val="24"/>
          <w:szCs w:val="24"/>
        </w:rPr>
        <w:t>affidavits.</w:t>
      </w:r>
      <w:r w:rsidR="00126B25">
        <w:rPr>
          <w:rFonts w:ascii="Times New Roman" w:hAnsi="Times New Roman"/>
          <w:sz w:val="24"/>
          <w:szCs w:val="24"/>
        </w:rPr>
        <w:t xml:space="preserve"> Such</w:t>
      </w:r>
      <w:r w:rsidR="00FD4C49">
        <w:rPr>
          <w:rFonts w:ascii="Times New Roman" w:hAnsi="Times New Roman"/>
          <w:sz w:val="24"/>
          <w:szCs w:val="24"/>
        </w:rPr>
        <w:t xml:space="preserve"> affidavits require no further authentication</w:t>
      </w:r>
      <w:r w:rsidR="00126B25">
        <w:rPr>
          <w:rFonts w:ascii="Times New Roman" w:hAnsi="Times New Roman"/>
          <w:sz w:val="24"/>
          <w:szCs w:val="24"/>
        </w:rPr>
        <w:t xml:space="preserve"> as set out in s4</w:t>
      </w:r>
      <w:r w:rsidR="003A55C9">
        <w:rPr>
          <w:rFonts w:ascii="Times New Roman" w:hAnsi="Times New Roman"/>
          <w:sz w:val="24"/>
          <w:szCs w:val="24"/>
        </w:rPr>
        <w:t xml:space="preserve"> of the Rules</w:t>
      </w:r>
      <w:r w:rsidR="00FD4C49">
        <w:rPr>
          <w:rFonts w:ascii="Times New Roman" w:hAnsi="Times New Roman"/>
          <w:sz w:val="24"/>
          <w:szCs w:val="24"/>
        </w:rPr>
        <w:t xml:space="preserve">. The reasoning is that the Court </w:t>
      </w:r>
      <w:r w:rsidR="001D388B">
        <w:rPr>
          <w:rFonts w:ascii="Times New Roman" w:hAnsi="Times New Roman"/>
          <w:sz w:val="24"/>
          <w:szCs w:val="24"/>
        </w:rPr>
        <w:t>has already entrusted and</w:t>
      </w:r>
      <w:r w:rsidR="00FD4C49">
        <w:rPr>
          <w:rFonts w:ascii="Times New Roman" w:hAnsi="Times New Roman"/>
          <w:sz w:val="24"/>
          <w:szCs w:val="24"/>
        </w:rPr>
        <w:t xml:space="preserve"> authorised the person to take such affidavits. It follows then that not every affidavit executed outside Zimbabwe needs to be signed by a commissioner appointed by the High </w:t>
      </w:r>
      <w:r w:rsidR="001D388B">
        <w:rPr>
          <w:rFonts w:ascii="Times New Roman" w:hAnsi="Times New Roman"/>
          <w:sz w:val="24"/>
          <w:szCs w:val="24"/>
        </w:rPr>
        <w:t>Court. This</w:t>
      </w:r>
      <w:r w:rsidR="00FD4C49">
        <w:rPr>
          <w:rFonts w:ascii="Times New Roman" w:hAnsi="Times New Roman"/>
          <w:sz w:val="24"/>
          <w:szCs w:val="24"/>
        </w:rPr>
        <w:t xml:space="preserve"> is applicable in limited circumstances only.</w:t>
      </w:r>
    </w:p>
    <w:p w14:paraId="7C028728" w14:textId="331BA1BF" w:rsidR="00EE3852" w:rsidRDefault="009A6708" w:rsidP="00873A76">
      <w:pPr>
        <w:spacing w:after="0" w:line="360" w:lineRule="auto"/>
        <w:ind w:firstLine="720"/>
        <w:jc w:val="both"/>
        <w:rPr>
          <w:rFonts w:ascii="Times New Roman" w:hAnsi="Times New Roman"/>
          <w:sz w:val="24"/>
          <w:szCs w:val="24"/>
        </w:rPr>
      </w:pPr>
      <w:r>
        <w:rPr>
          <w:rFonts w:ascii="Times New Roman" w:hAnsi="Times New Roman"/>
          <w:sz w:val="24"/>
          <w:szCs w:val="24"/>
        </w:rPr>
        <w:t xml:space="preserve">From the </w:t>
      </w:r>
      <w:r w:rsidR="00AE71C4">
        <w:rPr>
          <w:rFonts w:ascii="Times New Roman" w:hAnsi="Times New Roman"/>
          <w:sz w:val="24"/>
          <w:szCs w:val="24"/>
        </w:rPr>
        <w:t xml:space="preserve">foregoing, I come to the conclusion </w:t>
      </w:r>
      <w:r w:rsidR="001B4A42">
        <w:rPr>
          <w:rFonts w:ascii="Times New Roman" w:hAnsi="Times New Roman"/>
          <w:sz w:val="24"/>
          <w:szCs w:val="24"/>
        </w:rPr>
        <w:t>that,</w:t>
      </w:r>
      <w:r w:rsidR="00AE71C4">
        <w:rPr>
          <w:rFonts w:ascii="Times New Roman" w:hAnsi="Times New Roman"/>
          <w:sz w:val="24"/>
          <w:szCs w:val="24"/>
        </w:rPr>
        <w:t xml:space="preserve"> the</w:t>
      </w:r>
      <w:r>
        <w:rPr>
          <w:rFonts w:ascii="Times New Roman" w:hAnsi="Times New Roman"/>
          <w:sz w:val="24"/>
          <w:szCs w:val="24"/>
        </w:rPr>
        <w:t xml:space="preserve"> Rules do not require that every affidavit executed outside Zimbabwe be signed by a commissioner appointed by the High Court. It would suffice where the affidavit is signed by</w:t>
      </w:r>
      <w:r w:rsidR="003F0846">
        <w:rPr>
          <w:rFonts w:ascii="Times New Roman" w:hAnsi="Times New Roman"/>
          <w:sz w:val="24"/>
          <w:szCs w:val="24"/>
        </w:rPr>
        <w:t xml:space="preserve"> a</w:t>
      </w:r>
      <w:r>
        <w:rPr>
          <w:rFonts w:ascii="Times New Roman" w:hAnsi="Times New Roman"/>
          <w:sz w:val="24"/>
          <w:szCs w:val="24"/>
        </w:rPr>
        <w:t xml:space="preserve"> person</w:t>
      </w:r>
      <w:r w:rsidR="001B4A42">
        <w:rPr>
          <w:rFonts w:ascii="Times New Roman" w:hAnsi="Times New Roman"/>
          <w:sz w:val="24"/>
          <w:szCs w:val="24"/>
        </w:rPr>
        <w:t xml:space="preserve"> authorised</w:t>
      </w:r>
      <w:r>
        <w:rPr>
          <w:rFonts w:ascii="Times New Roman" w:hAnsi="Times New Roman"/>
          <w:sz w:val="24"/>
          <w:szCs w:val="24"/>
        </w:rPr>
        <w:t xml:space="preserve"> to take affi</w:t>
      </w:r>
      <w:r w:rsidR="00AE71C4">
        <w:rPr>
          <w:rFonts w:ascii="Times New Roman" w:hAnsi="Times New Roman"/>
          <w:sz w:val="24"/>
          <w:szCs w:val="24"/>
        </w:rPr>
        <w:t xml:space="preserve">davits in that respective jurisdiction and that affidavit </w:t>
      </w:r>
      <w:r w:rsidR="00EE3852">
        <w:rPr>
          <w:rFonts w:ascii="Times New Roman" w:hAnsi="Times New Roman"/>
          <w:sz w:val="24"/>
          <w:szCs w:val="24"/>
        </w:rPr>
        <w:t>is authenticated</w:t>
      </w:r>
      <w:r w:rsidR="00AE71C4">
        <w:rPr>
          <w:rFonts w:ascii="Times New Roman" w:hAnsi="Times New Roman"/>
          <w:sz w:val="24"/>
          <w:szCs w:val="24"/>
        </w:rPr>
        <w:t xml:space="preserve"> for use in court</w:t>
      </w:r>
      <w:r w:rsidR="003F0846">
        <w:rPr>
          <w:rFonts w:ascii="Times New Roman" w:hAnsi="Times New Roman"/>
          <w:sz w:val="24"/>
          <w:szCs w:val="24"/>
        </w:rPr>
        <w:t xml:space="preserve"> in terms of the Rules. It would result in an absurdity to construe s4 of the Rules to mean that all affidavits executed outside Zimbabwe must be signed by a commissioner appointed by the High Court. A commissioner must be recognised as such in th</w:t>
      </w:r>
      <w:r w:rsidR="00EE3852">
        <w:rPr>
          <w:rFonts w:ascii="Times New Roman" w:hAnsi="Times New Roman"/>
          <w:sz w:val="24"/>
          <w:szCs w:val="24"/>
        </w:rPr>
        <w:t>at</w:t>
      </w:r>
      <w:r w:rsidR="003F0846">
        <w:rPr>
          <w:rFonts w:ascii="Times New Roman" w:hAnsi="Times New Roman"/>
          <w:sz w:val="24"/>
          <w:szCs w:val="24"/>
        </w:rPr>
        <w:t xml:space="preserve"> jurisdiction where the affidavit originates. Our Rules have a limited application in the authentication of such an </w:t>
      </w:r>
      <w:r w:rsidR="00763D07">
        <w:rPr>
          <w:rFonts w:ascii="Times New Roman" w:hAnsi="Times New Roman"/>
          <w:sz w:val="24"/>
          <w:szCs w:val="24"/>
        </w:rPr>
        <w:t>affidavit. Nothing</w:t>
      </w:r>
      <w:r w:rsidR="003F0846">
        <w:rPr>
          <w:rFonts w:ascii="Times New Roman" w:hAnsi="Times New Roman"/>
          <w:sz w:val="24"/>
          <w:szCs w:val="24"/>
        </w:rPr>
        <w:t xml:space="preserve"> precludes the same person if he or she is both a commissioner and a Notary Public to sign the </w:t>
      </w:r>
      <w:r w:rsidR="00644FC5">
        <w:rPr>
          <w:rFonts w:ascii="Times New Roman" w:hAnsi="Times New Roman"/>
          <w:sz w:val="24"/>
          <w:szCs w:val="24"/>
        </w:rPr>
        <w:t>document as long as</w:t>
      </w:r>
      <w:r w:rsidR="00763D07">
        <w:rPr>
          <w:rFonts w:ascii="Times New Roman" w:hAnsi="Times New Roman"/>
          <w:sz w:val="24"/>
          <w:szCs w:val="24"/>
        </w:rPr>
        <w:t xml:space="preserve"> the seal of office is affixed</w:t>
      </w:r>
      <w:r w:rsidR="00EE3852">
        <w:rPr>
          <w:rFonts w:ascii="Times New Roman" w:hAnsi="Times New Roman"/>
          <w:sz w:val="24"/>
          <w:szCs w:val="24"/>
        </w:rPr>
        <w:t xml:space="preserve"> thereon</w:t>
      </w:r>
      <w:r w:rsidR="00763D07">
        <w:rPr>
          <w:rFonts w:ascii="Times New Roman" w:hAnsi="Times New Roman"/>
          <w:sz w:val="24"/>
          <w:szCs w:val="24"/>
        </w:rPr>
        <w:t>.</w:t>
      </w:r>
      <w:r w:rsidR="003F0846">
        <w:rPr>
          <w:rFonts w:ascii="Times New Roman" w:hAnsi="Times New Roman"/>
          <w:sz w:val="24"/>
          <w:szCs w:val="24"/>
        </w:rPr>
        <w:t xml:space="preserve"> </w:t>
      </w:r>
    </w:p>
    <w:p w14:paraId="3B8BCD23" w14:textId="073CDF20" w:rsidR="00910D37" w:rsidRDefault="00EE3852" w:rsidP="005A4D5E">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this case the affidavit was sworn to before a </w:t>
      </w:r>
      <w:r w:rsidR="00DB1A9D">
        <w:rPr>
          <w:rFonts w:ascii="Times New Roman" w:hAnsi="Times New Roman"/>
          <w:sz w:val="24"/>
          <w:szCs w:val="24"/>
        </w:rPr>
        <w:t xml:space="preserve">Notary Public who affixed his signature. The affidavit was sworn to in New York. It is trite that he who alleges must prove. It was not shown that the Notary Public is not a commissioner in terms of the law applicable in New York. The Notary Public who signed the affidavit need not be appointed by the High Court to </w:t>
      </w:r>
      <w:r w:rsidR="00DB1A9D">
        <w:rPr>
          <w:rFonts w:ascii="Times New Roman" w:hAnsi="Times New Roman"/>
          <w:sz w:val="24"/>
          <w:szCs w:val="24"/>
        </w:rPr>
        <w:lastRenderedPageBreak/>
        <w:t>commission the founding affidavit before the court</w:t>
      </w:r>
      <w:r w:rsidR="00644FC5">
        <w:rPr>
          <w:rFonts w:ascii="Times New Roman" w:hAnsi="Times New Roman"/>
          <w:sz w:val="24"/>
          <w:szCs w:val="24"/>
        </w:rPr>
        <w:t>.</w:t>
      </w:r>
      <w:r w:rsidR="00B371CD">
        <w:rPr>
          <w:rFonts w:ascii="Times New Roman" w:hAnsi="Times New Roman"/>
          <w:sz w:val="24"/>
          <w:szCs w:val="24"/>
        </w:rPr>
        <w:t xml:space="preserve"> I was not referred to any authority and I could not find any authority in support of the interpretation ascribed to s4 of the Rules.</w:t>
      </w:r>
      <w:r w:rsidR="00132878">
        <w:rPr>
          <w:rFonts w:ascii="Times New Roman" w:hAnsi="Times New Roman"/>
          <w:sz w:val="24"/>
          <w:szCs w:val="24"/>
        </w:rPr>
        <w:t xml:space="preserve"> Despite the novelty of the preliminary point raised for the second respondent I find no merit in it. It is accordingly dismissed.</w:t>
      </w:r>
      <w:r w:rsidR="002D0506">
        <w:rPr>
          <w:rFonts w:ascii="Times New Roman" w:hAnsi="Times New Roman"/>
          <w:sz w:val="24"/>
          <w:szCs w:val="24"/>
        </w:rPr>
        <w:t xml:space="preserve">  </w:t>
      </w:r>
      <w:r w:rsidR="0053321B">
        <w:rPr>
          <w:rFonts w:ascii="Times New Roman" w:hAnsi="Times New Roman"/>
          <w:sz w:val="24"/>
          <w:szCs w:val="24"/>
        </w:rPr>
        <w:t xml:space="preserve"> </w:t>
      </w:r>
    </w:p>
    <w:p w14:paraId="5C8FD012" w14:textId="688A9697" w:rsidR="00D12563" w:rsidRDefault="00095959" w:rsidP="00093988">
      <w:pPr>
        <w:spacing w:after="0" w:line="360" w:lineRule="auto"/>
        <w:ind w:firstLine="720"/>
        <w:jc w:val="both"/>
        <w:rPr>
          <w:rFonts w:ascii="Times New Roman" w:hAnsi="Times New Roman"/>
          <w:sz w:val="24"/>
          <w:szCs w:val="24"/>
        </w:rPr>
      </w:pPr>
      <w:r>
        <w:rPr>
          <w:rFonts w:ascii="Times New Roman" w:hAnsi="Times New Roman"/>
          <w:sz w:val="24"/>
          <w:szCs w:val="24"/>
        </w:rPr>
        <w:t>In respect of material</w:t>
      </w:r>
      <w:r w:rsidR="00910D37">
        <w:rPr>
          <w:rFonts w:ascii="Times New Roman" w:hAnsi="Times New Roman"/>
          <w:sz w:val="24"/>
          <w:szCs w:val="24"/>
        </w:rPr>
        <w:t xml:space="preserve"> disputes of </w:t>
      </w:r>
      <w:r>
        <w:rPr>
          <w:rFonts w:ascii="Times New Roman" w:hAnsi="Times New Roman"/>
          <w:sz w:val="24"/>
          <w:szCs w:val="24"/>
        </w:rPr>
        <w:t>facts, it</w:t>
      </w:r>
      <w:r w:rsidR="00A83E1B">
        <w:rPr>
          <w:rFonts w:ascii="Times New Roman" w:hAnsi="Times New Roman"/>
          <w:sz w:val="24"/>
          <w:szCs w:val="24"/>
        </w:rPr>
        <w:t xml:space="preserve"> was submitted </w:t>
      </w:r>
      <w:r>
        <w:rPr>
          <w:rFonts w:ascii="Times New Roman" w:hAnsi="Times New Roman"/>
          <w:sz w:val="24"/>
          <w:szCs w:val="24"/>
        </w:rPr>
        <w:t xml:space="preserve">that </w:t>
      </w:r>
      <w:r w:rsidR="00A83E1B">
        <w:rPr>
          <w:rFonts w:ascii="Times New Roman" w:hAnsi="Times New Roman"/>
          <w:sz w:val="24"/>
          <w:szCs w:val="24"/>
        </w:rPr>
        <w:t>allegations of fraud and forgery cannot be resolved without oral evidence. The applicant must have proceeded by way of action.</w:t>
      </w:r>
      <w:r w:rsidR="00E4174E">
        <w:rPr>
          <w:rFonts w:ascii="Times New Roman" w:hAnsi="Times New Roman"/>
          <w:sz w:val="24"/>
          <w:szCs w:val="24"/>
        </w:rPr>
        <w:t xml:space="preserve"> </w:t>
      </w:r>
    </w:p>
    <w:p w14:paraId="572824B3" w14:textId="61940D0F" w:rsidR="00A83E1B" w:rsidRDefault="00A83E1B" w:rsidP="00093988">
      <w:pPr>
        <w:spacing w:after="0" w:line="360" w:lineRule="auto"/>
        <w:ind w:firstLine="720"/>
        <w:jc w:val="both"/>
        <w:rPr>
          <w:rFonts w:ascii="Times New Roman" w:hAnsi="Times New Roman"/>
          <w:sz w:val="24"/>
          <w:szCs w:val="24"/>
        </w:rPr>
      </w:pPr>
      <w:r>
        <w:rPr>
          <w:rFonts w:ascii="Times New Roman" w:hAnsi="Times New Roman"/>
          <w:sz w:val="24"/>
          <w:szCs w:val="24"/>
        </w:rPr>
        <w:t xml:space="preserve">For the applicant it was submitted that </w:t>
      </w:r>
      <w:r w:rsidR="00110EFA">
        <w:rPr>
          <w:rFonts w:ascii="Times New Roman" w:hAnsi="Times New Roman"/>
          <w:sz w:val="24"/>
          <w:szCs w:val="24"/>
        </w:rPr>
        <w:t xml:space="preserve">there </w:t>
      </w:r>
      <w:r w:rsidR="00095959">
        <w:rPr>
          <w:rFonts w:ascii="Times New Roman" w:hAnsi="Times New Roman"/>
          <w:sz w:val="24"/>
          <w:szCs w:val="24"/>
        </w:rPr>
        <w:t>are</w:t>
      </w:r>
      <w:r w:rsidR="00110EFA">
        <w:rPr>
          <w:rFonts w:ascii="Times New Roman" w:hAnsi="Times New Roman"/>
          <w:sz w:val="24"/>
          <w:szCs w:val="24"/>
        </w:rPr>
        <w:t xml:space="preserve"> no real dispute</w:t>
      </w:r>
      <w:r w:rsidR="00095959">
        <w:rPr>
          <w:rFonts w:ascii="Times New Roman" w:hAnsi="Times New Roman"/>
          <w:sz w:val="24"/>
          <w:szCs w:val="24"/>
        </w:rPr>
        <w:t>s</w:t>
      </w:r>
      <w:r w:rsidR="00110EFA">
        <w:rPr>
          <w:rFonts w:ascii="Times New Roman" w:hAnsi="Times New Roman"/>
          <w:sz w:val="24"/>
          <w:szCs w:val="24"/>
        </w:rPr>
        <w:t xml:space="preserve"> of facts incapable of resolution on the papers. The applicant has placed before the</w:t>
      </w:r>
      <w:r w:rsidR="00095959">
        <w:rPr>
          <w:rFonts w:ascii="Times New Roman" w:hAnsi="Times New Roman"/>
          <w:sz w:val="24"/>
          <w:szCs w:val="24"/>
        </w:rPr>
        <w:t xml:space="preserve"> court</w:t>
      </w:r>
      <w:r w:rsidR="00110EFA">
        <w:rPr>
          <w:rFonts w:ascii="Times New Roman" w:hAnsi="Times New Roman"/>
          <w:sz w:val="24"/>
          <w:szCs w:val="24"/>
        </w:rPr>
        <w:t xml:space="preserve"> all the relevant documents including a handwriting expert opinion. The second respondent has not availed any document to show that he indeed purchased the property from the applicant. The applicant’s denial amounts to a bare </w:t>
      </w:r>
      <w:r w:rsidR="00095959">
        <w:rPr>
          <w:rFonts w:ascii="Times New Roman" w:hAnsi="Times New Roman"/>
          <w:sz w:val="24"/>
          <w:szCs w:val="24"/>
        </w:rPr>
        <w:t>denial. The court must take a robust approach and determine the matter on the papers. Alternatively</w:t>
      </w:r>
      <w:r w:rsidR="005A4D5E">
        <w:rPr>
          <w:rFonts w:ascii="Times New Roman" w:hAnsi="Times New Roman"/>
          <w:sz w:val="24"/>
          <w:szCs w:val="24"/>
        </w:rPr>
        <w:t>,</w:t>
      </w:r>
      <w:r w:rsidR="00095959">
        <w:rPr>
          <w:rFonts w:ascii="Times New Roman" w:hAnsi="Times New Roman"/>
          <w:sz w:val="24"/>
          <w:szCs w:val="24"/>
        </w:rPr>
        <w:t xml:space="preserve"> the court can summon evidence to clarify any issue or refer the matter to trial on specific issues.</w:t>
      </w:r>
    </w:p>
    <w:p w14:paraId="51F9785F" w14:textId="683F8557" w:rsidR="00D018A3" w:rsidRDefault="00110EFA" w:rsidP="00093988">
      <w:pPr>
        <w:spacing w:after="0" w:line="360" w:lineRule="auto"/>
        <w:ind w:firstLine="720"/>
        <w:jc w:val="both"/>
        <w:rPr>
          <w:rFonts w:ascii="Times New Roman" w:hAnsi="Times New Roman"/>
          <w:sz w:val="24"/>
          <w:szCs w:val="24"/>
        </w:rPr>
      </w:pPr>
      <w:r>
        <w:rPr>
          <w:rFonts w:ascii="Times New Roman" w:hAnsi="Times New Roman"/>
          <w:sz w:val="24"/>
          <w:szCs w:val="24"/>
        </w:rPr>
        <w:t>Both parties referred to the</w:t>
      </w:r>
      <w:r w:rsidR="00095959">
        <w:rPr>
          <w:rFonts w:ascii="Times New Roman" w:hAnsi="Times New Roman"/>
          <w:sz w:val="24"/>
          <w:szCs w:val="24"/>
        </w:rPr>
        <w:t xml:space="preserve"> </w:t>
      </w:r>
      <w:r>
        <w:rPr>
          <w:rFonts w:ascii="Times New Roman" w:hAnsi="Times New Roman"/>
          <w:sz w:val="24"/>
          <w:szCs w:val="24"/>
        </w:rPr>
        <w:t>applicable</w:t>
      </w:r>
      <w:r w:rsidR="00095959">
        <w:rPr>
          <w:rFonts w:ascii="Times New Roman" w:hAnsi="Times New Roman"/>
          <w:sz w:val="24"/>
          <w:szCs w:val="24"/>
        </w:rPr>
        <w:t xml:space="preserve"> law where such an issue arises.</w:t>
      </w:r>
      <w:r w:rsidR="00930FCE">
        <w:rPr>
          <w:rFonts w:ascii="Times New Roman" w:hAnsi="Times New Roman"/>
          <w:sz w:val="24"/>
          <w:szCs w:val="24"/>
        </w:rPr>
        <w:t xml:space="preserve"> From</w:t>
      </w:r>
      <w:r>
        <w:rPr>
          <w:rFonts w:ascii="Times New Roman" w:hAnsi="Times New Roman"/>
          <w:sz w:val="24"/>
          <w:szCs w:val="24"/>
        </w:rPr>
        <w:t xml:space="preserve"> the decided cases it is apparent that a real dispute of fact arises where </w:t>
      </w:r>
      <w:r w:rsidR="00930FCE">
        <w:rPr>
          <w:rFonts w:ascii="Times New Roman" w:hAnsi="Times New Roman"/>
          <w:sz w:val="24"/>
          <w:szCs w:val="24"/>
        </w:rPr>
        <w:t xml:space="preserve">material facts alleged by the applicant are disputed and traversed by the respondent in detail to leave the court wondering where the real truth lies and such truth can only be ascertained by way of oral evidence. See </w:t>
      </w:r>
      <w:r w:rsidR="00930FCE" w:rsidRPr="00930FCE">
        <w:rPr>
          <w:rFonts w:ascii="Times New Roman" w:hAnsi="Times New Roman"/>
          <w:i/>
          <w:iCs/>
          <w:sz w:val="24"/>
          <w:szCs w:val="24"/>
        </w:rPr>
        <w:t>Supa Plant Investments (Pvt) Ltd v Chidavaenzi</w:t>
      </w:r>
      <w:r w:rsidR="00930FCE">
        <w:rPr>
          <w:rFonts w:ascii="Times New Roman" w:hAnsi="Times New Roman"/>
          <w:sz w:val="24"/>
          <w:szCs w:val="24"/>
        </w:rPr>
        <w:t xml:space="preserve"> 2009 (2) ZLR 132.</w:t>
      </w:r>
      <w:r w:rsidR="00483C2E">
        <w:rPr>
          <w:rFonts w:ascii="Times New Roman" w:hAnsi="Times New Roman"/>
          <w:sz w:val="24"/>
          <w:szCs w:val="24"/>
        </w:rPr>
        <w:t xml:space="preserve">The respondent’s defence must be set out in clear and cogent detail. A bare denial of the applicant’s material averments does not </w:t>
      </w:r>
      <w:r w:rsidR="00F63224">
        <w:rPr>
          <w:rFonts w:ascii="Times New Roman" w:hAnsi="Times New Roman"/>
          <w:sz w:val="24"/>
          <w:szCs w:val="24"/>
        </w:rPr>
        <w:t>suffice. See</w:t>
      </w:r>
      <w:r w:rsidR="00483C2E">
        <w:rPr>
          <w:rFonts w:ascii="Times New Roman" w:hAnsi="Times New Roman"/>
          <w:sz w:val="24"/>
          <w:szCs w:val="24"/>
        </w:rPr>
        <w:t xml:space="preserve"> </w:t>
      </w:r>
      <w:r w:rsidR="00483C2E" w:rsidRPr="00F63224">
        <w:rPr>
          <w:rFonts w:ascii="Times New Roman" w:hAnsi="Times New Roman"/>
          <w:i/>
          <w:iCs/>
          <w:sz w:val="24"/>
          <w:szCs w:val="24"/>
        </w:rPr>
        <w:t>Muzanenhamo v Officer in Charge CID Law &amp; Order and Ors</w:t>
      </w:r>
      <w:r w:rsidR="00483C2E">
        <w:rPr>
          <w:rFonts w:ascii="Times New Roman" w:hAnsi="Times New Roman"/>
          <w:sz w:val="24"/>
          <w:szCs w:val="24"/>
        </w:rPr>
        <w:t xml:space="preserve"> CCZ3/13,</w:t>
      </w:r>
      <w:r w:rsidR="002C7A7F">
        <w:rPr>
          <w:rFonts w:ascii="Times New Roman" w:hAnsi="Times New Roman"/>
          <w:sz w:val="24"/>
          <w:szCs w:val="24"/>
        </w:rPr>
        <w:t xml:space="preserve"> </w:t>
      </w:r>
      <w:r w:rsidR="00483C2E" w:rsidRPr="00F63224">
        <w:rPr>
          <w:rFonts w:ascii="Times New Roman" w:hAnsi="Times New Roman"/>
          <w:i/>
          <w:iCs/>
          <w:sz w:val="24"/>
          <w:szCs w:val="24"/>
        </w:rPr>
        <w:t>Room Hire Co (Pty) Ltd v Jeppe Street Mansions Pty Ltd</w:t>
      </w:r>
      <w:r w:rsidR="00483C2E">
        <w:rPr>
          <w:rFonts w:ascii="Times New Roman" w:hAnsi="Times New Roman"/>
          <w:sz w:val="24"/>
          <w:szCs w:val="24"/>
        </w:rPr>
        <w:t xml:space="preserve"> 1949 (3) SA 1155 (T).</w:t>
      </w:r>
      <w:r w:rsidR="002C7A7F">
        <w:rPr>
          <w:rFonts w:ascii="Times New Roman" w:hAnsi="Times New Roman"/>
          <w:sz w:val="24"/>
          <w:szCs w:val="24"/>
        </w:rPr>
        <w:t xml:space="preserve"> </w:t>
      </w:r>
      <w:r w:rsidR="00483C2E">
        <w:rPr>
          <w:rFonts w:ascii="Times New Roman" w:hAnsi="Times New Roman"/>
          <w:sz w:val="24"/>
          <w:szCs w:val="24"/>
        </w:rPr>
        <w:t xml:space="preserve">Courts are enjoined to ascertain if indeed a real dispute of fact exists that is incapable of resolution on the papers. In this regard case law has established that courts must take a robust approach and decide matters on the papers </w:t>
      </w:r>
      <w:r w:rsidR="00F63224">
        <w:rPr>
          <w:rFonts w:ascii="Times New Roman" w:hAnsi="Times New Roman"/>
          <w:sz w:val="24"/>
          <w:szCs w:val="24"/>
        </w:rPr>
        <w:t>where it does not result in prejudice to either party. Indeed, motion proceedings maybe defeated where every disputation of fact by the respondent is taken as rais</w:t>
      </w:r>
      <w:r w:rsidR="00095959">
        <w:rPr>
          <w:rFonts w:ascii="Times New Roman" w:hAnsi="Times New Roman"/>
          <w:sz w:val="24"/>
          <w:szCs w:val="24"/>
        </w:rPr>
        <w:t>ing</w:t>
      </w:r>
      <w:r w:rsidR="00F63224">
        <w:rPr>
          <w:rFonts w:ascii="Times New Roman" w:hAnsi="Times New Roman"/>
          <w:sz w:val="24"/>
          <w:szCs w:val="24"/>
        </w:rPr>
        <w:t xml:space="preserve"> a real dispute of fact incapable of resolution on the papers. It is the court’s duty to analyse the evidence before it and come to an informed decision whether a real dispute exists.</w:t>
      </w:r>
    </w:p>
    <w:p w14:paraId="108873E8" w14:textId="63C13138" w:rsidR="00F63224" w:rsidRDefault="00E568C6" w:rsidP="00093988">
      <w:pPr>
        <w:spacing w:after="0" w:line="360" w:lineRule="auto"/>
        <w:ind w:firstLine="720"/>
        <w:jc w:val="both"/>
        <w:rPr>
          <w:rFonts w:ascii="Times New Roman" w:hAnsi="Times New Roman"/>
          <w:sz w:val="24"/>
          <w:szCs w:val="24"/>
        </w:rPr>
      </w:pPr>
      <w:r>
        <w:rPr>
          <w:rFonts w:ascii="Times New Roman" w:hAnsi="Times New Roman"/>
          <w:sz w:val="24"/>
          <w:szCs w:val="24"/>
        </w:rPr>
        <w:t xml:space="preserve">Even where there is a dispute of fact the court has options. It can take a robust approach and resolve the matter on the </w:t>
      </w:r>
      <w:r w:rsidR="00312C28">
        <w:rPr>
          <w:rFonts w:ascii="Times New Roman" w:hAnsi="Times New Roman"/>
          <w:sz w:val="24"/>
          <w:szCs w:val="24"/>
        </w:rPr>
        <w:t>papers. It</w:t>
      </w:r>
      <w:r>
        <w:rPr>
          <w:rFonts w:ascii="Times New Roman" w:hAnsi="Times New Roman"/>
          <w:sz w:val="24"/>
          <w:szCs w:val="24"/>
        </w:rPr>
        <w:t xml:space="preserve"> can allow any person to give oral evidence in terms of r229B of the 1971 High Court Rules or refer the matter for to trial with the application standing </w:t>
      </w:r>
      <w:r>
        <w:rPr>
          <w:rFonts w:ascii="Times New Roman" w:hAnsi="Times New Roman"/>
          <w:sz w:val="24"/>
          <w:szCs w:val="24"/>
        </w:rPr>
        <w:lastRenderedPageBreak/>
        <w:t xml:space="preserve">as the </w:t>
      </w:r>
      <w:r w:rsidR="00312C28">
        <w:rPr>
          <w:rFonts w:ascii="Times New Roman" w:hAnsi="Times New Roman"/>
          <w:sz w:val="24"/>
          <w:szCs w:val="24"/>
        </w:rPr>
        <w:t>summons. It</w:t>
      </w:r>
      <w:r>
        <w:rPr>
          <w:rFonts w:ascii="Times New Roman" w:hAnsi="Times New Roman"/>
          <w:sz w:val="24"/>
          <w:szCs w:val="24"/>
        </w:rPr>
        <w:t xml:space="preserve"> also has an option to dismiss the application where the applicant should have realised that </w:t>
      </w:r>
      <w:r w:rsidR="00A43902">
        <w:rPr>
          <w:rFonts w:ascii="Times New Roman" w:hAnsi="Times New Roman"/>
          <w:sz w:val="24"/>
          <w:szCs w:val="24"/>
        </w:rPr>
        <w:t xml:space="preserve">a dispute existed at the time of filing the application. See generally </w:t>
      </w:r>
      <w:r w:rsidR="00A43902" w:rsidRPr="00A43902">
        <w:rPr>
          <w:rFonts w:ascii="Times New Roman" w:hAnsi="Times New Roman"/>
          <w:i/>
          <w:iCs/>
          <w:sz w:val="24"/>
          <w:szCs w:val="24"/>
        </w:rPr>
        <w:t>Masukusa v National Foods Ltd &amp; Anor</w:t>
      </w:r>
      <w:r w:rsidR="00A43902">
        <w:rPr>
          <w:rFonts w:ascii="Times New Roman" w:hAnsi="Times New Roman"/>
          <w:sz w:val="24"/>
          <w:szCs w:val="24"/>
        </w:rPr>
        <w:t xml:space="preserve"> 1983 (1) ZLR 232 (H</w:t>
      </w:r>
      <w:r w:rsidR="00312C28">
        <w:rPr>
          <w:rFonts w:ascii="Times New Roman" w:hAnsi="Times New Roman"/>
          <w:sz w:val="24"/>
          <w:szCs w:val="24"/>
        </w:rPr>
        <w:t>),</w:t>
      </w:r>
      <w:r w:rsidR="00312C28" w:rsidRPr="00A43902">
        <w:rPr>
          <w:rFonts w:ascii="Times New Roman" w:hAnsi="Times New Roman"/>
          <w:i/>
          <w:iCs/>
          <w:sz w:val="24"/>
          <w:szCs w:val="24"/>
        </w:rPr>
        <w:t xml:space="preserve"> Zimbabwe</w:t>
      </w:r>
      <w:r w:rsidR="00A43902" w:rsidRPr="00A43902">
        <w:rPr>
          <w:rFonts w:ascii="Times New Roman" w:hAnsi="Times New Roman"/>
          <w:i/>
          <w:iCs/>
          <w:sz w:val="24"/>
          <w:szCs w:val="24"/>
        </w:rPr>
        <w:t xml:space="preserve"> Bonded Fibreglass (Pvt) ltd v Peech</w:t>
      </w:r>
      <w:r w:rsidR="00A43902">
        <w:rPr>
          <w:rFonts w:ascii="Times New Roman" w:hAnsi="Times New Roman"/>
          <w:sz w:val="24"/>
          <w:szCs w:val="24"/>
        </w:rPr>
        <w:t xml:space="preserve">, </w:t>
      </w:r>
      <w:r w:rsidR="00A43902" w:rsidRPr="00A43902">
        <w:rPr>
          <w:rFonts w:ascii="Times New Roman" w:hAnsi="Times New Roman"/>
          <w:i/>
          <w:iCs/>
          <w:sz w:val="24"/>
          <w:szCs w:val="24"/>
        </w:rPr>
        <w:t>Plascon – Evans Paints Ltd v Van Riebeeck Paints (Pty) Ltd</w:t>
      </w:r>
      <w:r w:rsidR="00A43902">
        <w:rPr>
          <w:rFonts w:ascii="Times New Roman" w:hAnsi="Times New Roman"/>
          <w:sz w:val="24"/>
          <w:szCs w:val="24"/>
        </w:rPr>
        <w:t xml:space="preserve"> 1984 (3) SA 623 (A) where these options where discussed.</w:t>
      </w:r>
    </w:p>
    <w:p w14:paraId="058A2F61" w14:textId="3BB73479" w:rsidR="00312C28" w:rsidRDefault="00312C28" w:rsidP="00093988">
      <w:pPr>
        <w:spacing w:after="0" w:line="360" w:lineRule="auto"/>
        <w:ind w:firstLine="720"/>
        <w:jc w:val="both"/>
        <w:rPr>
          <w:rFonts w:ascii="Times New Roman" w:hAnsi="Times New Roman"/>
          <w:sz w:val="24"/>
          <w:szCs w:val="24"/>
        </w:rPr>
      </w:pPr>
      <w:r>
        <w:rPr>
          <w:rFonts w:ascii="Times New Roman" w:hAnsi="Times New Roman"/>
          <w:sz w:val="24"/>
          <w:szCs w:val="24"/>
        </w:rPr>
        <w:t>In this case the applicant has demonstrated by way of the title deed that she is</w:t>
      </w:r>
      <w:r w:rsidR="000D12A3">
        <w:rPr>
          <w:rFonts w:ascii="Times New Roman" w:hAnsi="Times New Roman"/>
          <w:sz w:val="24"/>
          <w:szCs w:val="24"/>
        </w:rPr>
        <w:t xml:space="preserve"> the</w:t>
      </w:r>
      <w:r>
        <w:rPr>
          <w:rFonts w:ascii="Times New Roman" w:hAnsi="Times New Roman"/>
          <w:sz w:val="24"/>
          <w:szCs w:val="24"/>
        </w:rPr>
        <w:t xml:space="preserve"> owner of the property. She avers that she did not s</w:t>
      </w:r>
      <w:r w:rsidR="000D12A3">
        <w:rPr>
          <w:rFonts w:ascii="Times New Roman" w:hAnsi="Times New Roman"/>
          <w:sz w:val="24"/>
          <w:szCs w:val="24"/>
        </w:rPr>
        <w:t>ign the agreement of sale. She</w:t>
      </w:r>
      <w:r w:rsidR="00EA635A">
        <w:rPr>
          <w:rFonts w:ascii="Times New Roman" w:hAnsi="Times New Roman"/>
          <w:sz w:val="24"/>
          <w:szCs w:val="24"/>
        </w:rPr>
        <w:t xml:space="preserve"> attached an expert opinion </w:t>
      </w:r>
      <w:r w:rsidR="0091685E">
        <w:rPr>
          <w:rFonts w:ascii="Times New Roman" w:hAnsi="Times New Roman"/>
          <w:sz w:val="24"/>
          <w:szCs w:val="24"/>
        </w:rPr>
        <w:t>f</w:t>
      </w:r>
      <w:r w:rsidR="000D12A3">
        <w:rPr>
          <w:rFonts w:ascii="Times New Roman" w:hAnsi="Times New Roman"/>
          <w:sz w:val="24"/>
          <w:szCs w:val="24"/>
        </w:rPr>
        <w:t>rom</w:t>
      </w:r>
      <w:r w:rsidR="009A6E93">
        <w:rPr>
          <w:rFonts w:ascii="Times New Roman" w:hAnsi="Times New Roman"/>
          <w:sz w:val="24"/>
          <w:szCs w:val="24"/>
        </w:rPr>
        <w:t xml:space="preserve"> a Forensic Document Examiner (FDE) and the a</w:t>
      </w:r>
      <w:r w:rsidR="0091685E">
        <w:rPr>
          <w:rFonts w:ascii="Times New Roman" w:hAnsi="Times New Roman"/>
          <w:sz w:val="24"/>
          <w:szCs w:val="24"/>
        </w:rPr>
        <w:t>greement of sale between the applicant and the second respondent. The conclusions of</w:t>
      </w:r>
      <w:r w:rsidR="009A6E93">
        <w:rPr>
          <w:rFonts w:ascii="Times New Roman" w:hAnsi="Times New Roman"/>
          <w:sz w:val="24"/>
          <w:szCs w:val="24"/>
        </w:rPr>
        <w:t xml:space="preserve"> the FDE</w:t>
      </w:r>
      <w:r w:rsidR="0091685E">
        <w:rPr>
          <w:rFonts w:ascii="Times New Roman" w:hAnsi="Times New Roman"/>
          <w:sz w:val="24"/>
          <w:szCs w:val="24"/>
        </w:rPr>
        <w:t xml:space="preserve"> were disputed by the </w:t>
      </w:r>
      <w:r w:rsidR="009A6E93">
        <w:rPr>
          <w:rFonts w:ascii="Times New Roman" w:hAnsi="Times New Roman"/>
          <w:sz w:val="24"/>
          <w:szCs w:val="24"/>
        </w:rPr>
        <w:t>second respondent</w:t>
      </w:r>
      <w:r w:rsidR="0091685E">
        <w:rPr>
          <w:rFonts w:ascii="Times New Roman" w:hAnsi="Times New Roman"/>
          <w:sz w:val="24"/>
          <w:szCs w:val="24"/>
        </w:rPr>
        <w:t xml:space="preserve"> by simply stating that the applicant signed the document. The second respondent did not address his mind to the expert opinion. No relevant issues </w:t>
      </w:r>
      <w:r w:rsidR="00B371CD">
        <w:rPr>
          <w:rFonts w:ascii="Times New Roman" w:hAnsi="Times New Roman"/>
          <w:sz w:val="24"/>
          <w:szCs w:val="24"/>
        </w:rPr>
        <w:t>were</w:t>
      </w:r>
      <w:r w:rsidR="0091685E">
        <w:rPr>
          <w:rFonts w:ascii="Times New Roman" w:hAnsi="Times New Roman"/>
          <w:sz w:val="24"/>
          <w:szCs w:val="24"/>
        </w:rPr>
        <w:t xml:space="preserve"> raised to counter the evidence. In essence the second respondent’s denial remained a bare denial. Secondly the applicant attached her work schedule which showed that </w:t>
      </w:r>
      <w:r w:rsidR="00AF55A6">
        <w:rPr>
          <w:rFonts w:ascii="Times New Roman" w:hAnsi="Times New Roman"/>
          <w:sz w:val="24"/>
          <w:szCs w:val="24"/>
        </w:rPr>
        <w:t>between 14 November 2006 and 20 November 2006 she was in New York. The work sheet showed that she was off sick. This evidence was not related to at all by the second respondent. The second respondent was content to make bare denials.</w:t>
      </w:r>
    </w:p>
    <w:p w14:paraId="6740E237" w14:textId="34EFEC3E" w:rsidR="00C8247C" w:rsidRDefault="00AF55A6" w:rsidP="00093988">
      <w:pPr>
        <w:spacing w:after="0" w:line="360" w:lineRule="auto"/>
        <w:ind w:firstLine="720"/>
        <w:jc w:val="both"/>
        <w:rPr>
          <w:rFonts w:ascii="Times New Roman" w:hAnsi="Times New Roman"/>
          <w:sz w:val="24"/>
          <w:szCs w:val="24"/>
        </w:rPr>
      </w:pPr>
      <w:r>
        <w:rPr>
          <w:rFonts w:ascii="Times New Roman" w:hAnsi="Times New Roman"/>
          <w:sz w:val="24"/>
          <w:szCs w:val="24"/>
        </w:rPr>
        <w:t xml:space="preserve">It would appear then from decided cases that the court must look to what the applicants traversed as the basis of the application and the factors relied upon by the respondent in opposition. The detail in the opposing affidavit is critical. In this case the opposing affidavit is scantily set out it lacks material </w:t>
      </w:r>
      <w:r w:rsidR="00ED340C">
        <w:rPr>
          <w:rFonts w:ascii="Times New Roman" w:hAnsi="Times New Roman"/>
          <w:sz w:val="24"/>
          <w:szCs w:val="24"/>
        </w:rPr>
        <w:t>averments. The</w:t>
      </w:r>
      <w:r>
        <w:rPr>
          <w:rFonts w:ascii="Times New Roman" w:hAnsi="Times New Roman"/>
          <w:sz w:val="24"/>
          <w:szCs w:val="24"/>
        </w:rPr>
        <w:t xml:space="preserve"> opposing affidavit cannot be said to have traversed the issues that the court cannot decide the matter in the absence of oral evidence. In my view a dispute exists in this </w:t>
      </w:r>
      <w:r w:rsidR="00C8247C">
        <w:rPr>
          <w:rFonts w:ascii="Times New Roman" w:hAnsi="Times New Roman"/>
          <w:sz w:val="24"/>
          <w:szCs w:val="24"/>
        </w:rPr>
        <w:t>case,</w:t>
      </w:r>
      <w:r>
        <w:rPr>
          <w:rFonts w:ascii="Times New Roman" w:hAnsi="Times New Roman"/>
          <w:sz w:val="24"/>
          <w:szCs w:val="24"/>
        </w:rPr>
        <w:t xml:space="preserve"> but it can be resolved on the </w:t>
      </w:r>
      <w:r w:rsidR="00ED340C">
        <w:rPr>
          <w:rFonts w:ascii="Times New Roman" w:hAnsi="Times New Roman"/>
          <w:sz w:val="24"/>
          <w:szCs w:val="24"/>
        </w:rPr>
        <w:t>papers. It is a palpable deficiency to</w:t>
      </w:r>
      <w:r w:rsidR="00C8247C">
        <w:rPr>
          <w:rFonts w:ascii="Times New Roman" w:hAnsi="Times New Roman"/>
          <w:sz w:val="24"/>
          <w:szCs w:val="24"/>
        </w:rPr>
        <w:t xml:space="preserve"> just state that since there is an allegation of fraud or forgery the matter must be dealt with in action proceedings. The determinant factor is </w:t>
      </w:r>
      <w:r w:rsidR="009A6E93">
        <w:rPr>
          <w:rFonts w:ascii="Times New Roman" w:hAnsi="Times New Roman"/>
          <w:sz w:val="24"/>
          <w:szCs w:val="24"/>
        </w:rPr>
        <w:t xml:space="preserve">whether </w:t>
      </w:r>
      <w:r w:rsidR="00C8247C">
        <w:rPr>
          <w:rFonts w:ascii="Times New Roman" w:hAnsi="Times New Roman"/>
          <w:sz w:val="24"/>
          <w:szCs w:val="24"/>
        </w:rPr>
        <w:t>what the applicant avers juxtaposed to the respondent’s factual basis for opposing the application</w:t>
      </w:r>
      <w:r w:rsidR="009A6E93">
        <w:rPr>
          <w:rFonts w:ascii="Times New Roman" w:hAnsi="Times New Roman"/>
          <w:sz w:val="24"/>
          <w:szCs w:val="24"/>
        </w:rPr>
        <w:t xml:space="preserve"> leaves the court wondering where the truth lies. In this case the court is of the firm view that the matter can be disposed on the papers</w:t>
      </w:r>
      <w:r w:rsidR="00C8247C">
        <w:rPr>
          <w:rFonts w:ascii="Times New Roman" w:hAnsi="Times New Roman"/>
          <w:sz w:val="24"/>
          <w:szCs w:val="24"/>
        </w:rPr>
        <w:t>.</w:t>
      </w:r>
    </w:p>
    <w:p w14:paraId="63304F94" w14:textId="77777777" w:rsidR="00C8247C" w:rsidRDefault="00C8247C" w:rsidP="00093988">
      <w:pPr>
        <w:spacing w:after="0" w:line="360" w:lineRule="auto"/>
        <w:ind w:firstLine="720"/>
        <w:jc w:val="both"/>
        <w:rPr>
          <w:rFonts w:ascii="Times New Roman" w:hAnsi="Times New Roman"/>
          <w:sz w:val="24"/>
          <w:szCs w:val="24"/>
        </w:rPr>
      </w:pPr>
      <w:r>
        <w:rPr>
          <w:rFonts w:ascii="Times New Roman" w:hAnsi="Times New Roman"/>
          <w:sz w:val="24"/>
          <w:szCs w:val="24"/>
        </w:rPr>
        <w:t>In the result the preliminary point is dismissed.</w:t>
      </w:r>
    </w:p>
    <w:p w14:paraId="423B5C20" w14:textId="20FD21F5" w:rsidR="00EB20FD" w:rsidRDefault="00C8247C" w:rsidP="00EB20FD">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last preliminary point is that the order sought is </w:t>
      </w:r>
      <w:r w:rsidR="00AA28C9">
        <w:rPr>
          <w:rFonts w:ascii="Times New Roman" w:hAnsi="Times New Roman"/>
          <w:sz w:val="24"/>
          <w:szCs w:val="24"/>
        </w:rPr>
        <w:t>incompetent.</w:t>
      </w:r>
      <w:r w:rsidR="00473082">
        <w:rPr>
          <w:rFonts w:ascii="Times New Roman" w:hAnsi="Times New Roman"/>
          <w:sz w:val="24"/>
          <w:szCs w:val="24"/>
        </w:rPr>
        <w:t xml:space="preserve"> It was submitted that </w:t>
      </w:r>
      <w:r w:rsidR="009A6E93">
        <w:rPr>
          <w:rFonts w:ascii="Times New Roman" w:hAnsi="Times New Roman"/>
          <w:sz w:val="24"/>
          <w:szCs w:val="24"/>
        </w:rPr>
        <w:t>at</w:t>
      </w:r>
      <w:r>
        <w:rPr>
          <w:rFonts w:ascii="Times New Roman" w:hAnsi="Times New Roman"/>
          <w:sz w:val="24"/>
          <w:szCs w:val="24"/>
        </w:rPr>
        <w:t xml:space="preserve"> the time of the transfer there was a competent court </w:t>
      </w:r>
      <w:r w:rsidR="00AA28C9">
        <w:rPr>
          <w:rFonts w:ascii="Times New Roman" w:hAnsi="Times New Roman"/>
          <w:sz w:val="24"/>
          <w:szCs w:val="24"/>
        </w:rPr>
        <w:t>order. The</w:t>
      </w:r>
      <w:r>
        <w:rPr>
          <w:rFonts w:ascii="Times New Roman" w:hAnsi="Times New Roman"/>
          <w:sz w:val="24"/>
          <w:szCs w:val="24"/>
        </w:rPr>
        <w:t xml:space="preserve"> transfer was therefore </w:t>
      </w:r>
      <w:r w:rsidR="00AA28C9">
        <w:rPr>
          <w:rFonts w:ascii="Times New Roman" w:hAnsi="Times New Roman"/>
          <w:sz w:val="24"/>
          <w:szCs w:val="24"/>
        </w:rPr>
        <w:t xml:space="preserve">valid </w:t>
      </w:r>
      <w:r w:rsidR="00AA28C9" w:rsidRPr="00AA28C9">
        <w:rPr>
          <w:rFonts w:ascii="Times New Roman" w:hAnsi="Times New Roman"/>
          <w:i/>
          <w:iCs/>
          <w:sz w:val="24"/>
          <w:szCs w:val="24"/>
        </w:rPr>
        <w:t>ab initio</w:t>
      </w:r>
      <w:r w:rsidR="00AA28C9">
        <w:rPr>
          <w:rFonts w:ascii="Times New Roman" w:hAnsi="Times New Roman"/>
          <w:sz w:val="24"/>
          <w:szCs w:val="24"/>
        </w:rPr>
        <w:t xml:space="preserve"> and the court cannot declare invalid that which was valid </w:t>
      </w:r>
      <w:r w:rsidR="00AA28C9" w:rsidRPr="00AA28C9">
        <w:rPr>
          <w:rFonts w:ascii="Times New Roman" w:hAnsi="Times New Roman"/>
          <w:i/>
          <w:iCs/>
          <w:sz w:val="24"/>
          <w:szCs w:val="24"/>
        </w:rPr>
        <w:t>ab initio</w:t>
      </w:r>
      <w:r w:rsidR="00AA28C9">
        <w:rPr>
          <w:rFonts w:ascii="Times New Roman" w:hAnsi="Times New Roman"/>
          <w:sz w:val="24"/>
          <w:szCs w:val="24"/>
        </w:rPr>
        <w:t>.</w:t>
      </w:r>
      <w:r>
        <w:rPr>
          <w:rFonts w:ascii="Times New Roman" w:hAnsi="Times New Roman"/>
          <w:sz w:val="24"/>
          <w:szCs w:val="24"/>
        </w:rPr>
        <w:t xml:space="preserve"> </w:t>
      </w:r>
      <w:r w:rsidR="00AA28C9">
        <w:rPr>
          <w:rFonts w:ascii="Times New Roman" w:hAnsi="Times New Roman"/>
          <w:sz w:val="24"/>
          <w:szCs w:val="24"/>
        </w:rPr>
        <w:t xml:space="preserve">It was submitted </w:t>
      </w:r>
      <w:r w:rsidR="00AA28C9">
        <w:rPr>
          <w:rFonts w:ascii="Times New Roman" w:hAnsi="Times New Roman"/>
          <w:sz w:val="24"/>
          <w:szCs w:val="24"/>
        </w:rPr>
        <w:lastRenderedPageBreak/>
        <w:t xml:space="preserve">that our law follows the abstract system of transfer of ownership not the causal </w:t>
      </w:r>
      <w:r w:rsidR="0050246B">
        <w:rPr>
          <w:rFonts w:ascii="Times New Roman" w:hAnsi="Times New Roman"/>
          <w:sz w:val="24"/>
          <w:szCs w:val="24"/>
        </w:rPr>
        <w:t>system. The</w:t>
      </w:r>
      <w:r w:rsidR="008B37B4">
        <w:rPr>
          <w:rFonts w:ascii="Times New Roman" w:hAnsi="Times New Roman"/>
          <w:sz w:val="24"/>
          <w:szCs w:val="24"/>
        </w:rPr>
        <w:t xml:space="preserve"> court was referred to the definition of these terms in </w:t>
      </w:r>
      <w:r w:rsidR="008B37B4" w:rsidRPr="0050246B">
        <w:rPr>
          <w:rFonts w:ascii="Times New Roman" w:hAnsi="Times New Roman"/>
          <w:i/>
          <w:iCs/>
          <w:sz w:val="24"/>
          <w:szCs w:val="24"/>
        </w:rPr>
        <w:t>Siberberg and Schoeman’s Law of Property</w:t>
      </w:r>
      <w:r w:rsidR="008B37B4">
        <w:rPr>
          <w:rFonts w:ascii="Times New Roman" w:hAnsi="Times New Roman"/>
          <w:sz w:val="24"/>
          <w:szCs w:val="24"/>
        </w:rPr>
        <w:t xml:space="preserve"> (5</w:t>
      </w:r>
      <w:r w:rsidR="008B37B4" w:rsidRPr="008B37B4">
        <w:rPr>
          <w:rFonts w:ascii="Times New Roman" w:hAnsi="Times New Roman"/>
          <w:sz w:val="24"/>
          <w:szCs w:val="24"/>
          <w:vertAlign w:val="superscript"/>
        </w:rPr>
        <w:t>th</w:t>
      </w:r>
      <w:r w:rsidR="002C7A7F">
        <w:rPr>
          <w:rFonts w:ascii="Times New Roman" w:hAnsi="Times New Roman"/>
          <w:sz w:val="24"/>
          <w:szCs w:val="24"/>
        </w:rPr>
        <w:t xml:space="preserve"> Ed</w:t>
      </w:r>
      <w:r w:rsidR="00C509E3">
        <w:rPr>
          <w:rFonts w:ascii="Times New Roman" w:hAnsi="Times New Roman"/>
          <w:sz w:val="24"/>
          <w:szCs w:val="24"/>
        </w:rPr>
        <w:t>ition</w:t>
      </w:r>
      <w:r w:rsidR="008B37B4">
        <w:rPr>
          <w:rFonts w:ascii="Times New Roman" w:hAnsi="Times New Roman"/>
          <w:sz w:val="24"/>
          <w:szCs w:val="24"/>
        </w:rPr>
        <w:t>) at pages 74-75.</w:t>
      </w:r>
      <w:r w:rsidR="0083537C">
        <w:rPr>
          <w:rFonts w:ascii="Times New Roman" w:hAnsi="Times New Roman"/>
          <w:sz w:val="24"/>
          <w:szCs w:val="24"/>
        </w:rPr>
        <w:t xml:space="preserve"> </w:t>
      </w:r>
      <w:r w:rsidR="008B37B4">
        <w:rPr>
          <w:rFonts w:ascii="Times New Roman" w:hAnsi="Times New Roman"/>
          <w:sz w:val="24"/>
          <w:szCs w:val="24"/>
        </w:rPr>
        <w:t xml:space="preserve">In essence the causal approach entails that transfer depends on a valid </w:t>
      </w:r>
      <w:r w:rsidR="0050246B">
        <w:rPr>
          <w:rFonts w:ascii="Times New Roman" w:hAnsi="Times New Roman"/>
          <w:sz w:val="24"/>
          <w:szCs w:val="24"/>
        </w:rPr>
        <w:t xml:space="preserve">underlying </w:t>
      </w:r>
      <w:r w:rsidR="009A6E93">
        <w:rPr>
          <w:rFonts w:ascii="Times New Roman" w:hAnsi="Times New Roman"/>
          <w:sz w:val="24"/>
          <w:szCs w:val="24"/>
        </w:rPr>
        <w:t>contract. Where the underlying</w:t>
      </w:r>
      <w:r w:rsidR="0050246B">
        <w:rPr>
          <w:rFonts w:ascii="Times New Roman" w:hAnsi="Times New Roman"/>
          <w:sz w:val="24"/>
          <w:szCs w:val="24"/>
        </w:rPr>
        <w:t xml:space="preserve"> contract is defective transfer cannot pass. The abstract approach is opposite the causal approach. Transfer would pass n</w:t>
      </w:r>
      <w:r w:rsidR="00EB20FD">
        <w:rPr>
          <w:rFonts w:ascii="Times New Roman" w:hAnsi="Times New Roman"/>
          <w:sz w:val="24"/>
          <w:szCs w:val="24"/>
        </w:rPr>
        <w:t xml:space="preserve">otwithstanding that the </w:t>
      </w:r>
      <w:r w:rsidR="0050246B">
        <w:rPr>
          <w:rFonts w:ascii="Times New Roman" w:hAnsi="Times New Roman"/>
          <w:sz w:val="24"/>
          <w:szCs w:val="24"/>
        </w:rPr>
        <w:t>underlying contract is defective.</w:t>
      </w:r>
      <w:r w:rsidR="00AA28C9">
        <w:rPr>
          <w:rFonts w:ascii="Times New Roman" w:hAnsi="Times New Roman"/>
          <w:sz w:val="24"/>
          <w:szCs w:val="24"/>
        </w:rPr>
        <w:t xml:space="preserve"> </w:t>
      </w:r>
      <w:r w:rsidR="00EB20FD" w:rsidRPr="00EB20FD">
        <w:rPr>
          <w:rFonts w:ascii="Times New Roman" w:hAnsi="Times New Roman"/>
          <w:sz w:val="24"/>
          <w:szCs w:val="24"/>
        </w:rPr>
        <w:tab/>
      </w:r>
    </w:p>
    <w:p w14:paraId="3F4D1E58" w14:textId="378834E0" w:rsidR="00EB20FD" w:rsidRDefault="00EB20FD" w:rsidP="00AD5D0D">
      <w:pPr>
        <w:spacing w:after="0" w:line="360" w:lineRule="auto"/>
        <w:ind w:firstLine="720"/>
        <w:jc w:val="both"/>
        <w:rPr>
          <w:rFonts w:ascii="Times New Roman" w:hAnsi="Times New Roman"/>
          <w:sz w:val="24"/>
          <w:szCs w:val="24"/>
        </w:rPr>
      </w:pPr>
      <w:r w:rsidRPr="00EB20FD">
        <w:rPr>
          <w:rFonts w:ascii="Times New Roman" w:hAnsi="Times New Roman"/>
          <w:sz w:val="24"/>
          <w:szCs w:val="24"/>
        </w:rPr>
        <w:t>In opposing the preliminary point</w:t>
      </w:r>
      <w:r w:rsidR="00C509E3">
        <w:rPr>
          <w:rFonts w:ascii="Times New Roman" w:hAnsi="Times New Roman"/>
          <w:sz w:val="24"/>
          <w:szCs w:val="24"/>
        </w:rPr>
        <w:t>,</w:t>
      </w:r>
      <w:r w:rsidRPr="00EB20FD">
        <w:rPr>
          <w:rFonts w:ascii="Times New Roman" w:hAnsi="Times New Roman"/>
          <w:sz w:val="24"/>
          <w:szCs w:val="24"/>
        </w:rPr>
        <w:t xml:space="preserve"> the </w:t>
      </w:r>
      <w:r w:rsidR="00ED340C" w:rsidRPr="003628F2">
        <w:rPr>
          <w:rFonts w:ascii="Times New Roman" w:hAnsi="Times New Roman"/>
          <w:iCs/>
          <w:sz w:val="24"/>
          <w:szCs w:val="24"/>
        </w:rPr>
        <w:t>Mr</w:t>
      </w:r>
      <w:r w:rsidR="00ED340C" w:rsidRPr="00ED340C">
        <w:rPr>
          <w:rFonts w:ascii="Times New Roman" w:hAnsi="Times New Roman"/>
          <w:i/>
          <w:iCs/>
          <w:sz w:val="24"/>
          <w:szCs w:val="24"/>
        </w:rPr>
        <w:t xml:space="preserve"> Zhuwarara</w:t>
      </w:r>
      <w:r w:rsidRPr="00EB20FD">
        <w:rPr>
          <w:rFonts w:ascii="Times New Roman" w:hAnsi="Times New Roman"/>
          <w:sz w:val="24"/>
          <w:szCs w:val="24"/>
        </w:rPr>
        <w:t xml:space="preserve"> did not directly address the issue on the causal or abstract approach. </w:t>
      </w:r>
      <w:r w:rsidR="00ED340C" w:rsidRPr="00EB20FD">
        <w:rPr>
          <w:rFonts w:ascii="Times New Roman" w:hAnsi="Times New Roman"/>
          <w:sz w:val="24"/>
          <w:szCs w:val="24"/>
        </w:rPr>
        <w:t>However,</w:t>
      </w:r>
      <w:r w:rsidRPr="00EB20FD">
        <w:rPr>
          <w:rFonts w:ascii="Times New Roman" w:hAnsi="Times New Roman"/>
          <w:sz w:val="24"/>
          <w:szCs w:val="24"/>
        </w:rPr>
        <w:t xml:space="preserve"> it was submitted that</w:t>
      </w:r>
      <w:r w:rsidR="009A6E93">
        <w:rPr>
          <w:rFonts w:ascii="Times New Roman" w:hAnsi="Times New Roman"/>
          <w:sz w:val="24"/>
          <w:szCs w:val="24"/>
        </w:rPr>
        <w:t xml:space="preserve"> in granting the</w:t>
      </w:r>
      <w:r w:rsidRPr="00EB20FD">
        <w:rPr>
          <w:rFonts w:ascii="Times New Roman" w:hAnsi="Times New Roman"/>
          <w:sz w:val="24"/>
          <w:szCs w:val="24"/>
        </w:rPr>
        <w:t xml:space="preserve"> order the court has to determine whether the applicant has </w:t>
      </w:r>
      <w:r w:rsidR="00503A83" w:rsidRPr="00EB20FD">
        <w:rPr>
          <w:rFonts w:ascii="Times New Roman" w:hAnsi="Times New Roman"/>
          <w:sz w:val="24"/>
          <w:szCs w:val="24"/>
        </w:rPr>
        <w:t>a</w:t>
      </w:r>
      <w:r w:rsidRPr="00EB20FD">
        <w:rPr>
          <w:rFonts w:ascii="Times New Roman" w:hAnsi="Times New Roman"/>
          <w:sz w:val="24"/>
          <w:szCs w:val="24"/>
        </w:rPr>
        <w:t xml:space="preserve"> substantial interest in the </w:t>
      </w:r>
      <w:r w:rsidR="00503A83" w:rsidRPr="00EB20FD">
        <w:rPr>
          <w:rFonts w:ascii="Times New Roman" w:hAnsi="Times New Roman"/>
          <w:sz w:val="24"/>
          <w:szCs w:val="24"/>
        </w:rPr>
        <w:t>matter,</w:t>
      </w:r>
      <w:r w:rsidRPr="00EB20FD">
        <w:rPr>
          <w:rFonts w:ascii="Times New Roman" w:hAnsi="Times New Roman"/>
          <w:sz w:val="24"/>
          <w:szCs w:val="24"/>
        </w:rPr>
        <w:t xml:space="preserve"> the right and if this is a proper matter for the court to exercise its discretion and grant the </w:t>
      </w:r>
      <w:r w:rsidR="00503A83" w:rsidRPr="00EB20FD">
        <w:rPr>
          <w:rFonts w:ascii="Times New Roman" w:hAnsi="Times New Roman"/>
          <w:sz w:val="24"/>
          <w:szCs w:val="24"/>
        </w:rPr>
        <w:t>order. As</w:t>
      </w:r>
      <w:r w:rsidRPr="00EB20FD">
        <w:rPr>
          <w:rFonts w:ascii="Times New Roman" w:hAnsi="Times New Roman"/>
          <w:sz w:val="24"/>
          <w:szCs w:val="24"/>
        </w:rPr>
        <w:t xml:space="preserve"> the registered owner of the property the applicant did not sale the property. Although the first and second respondents maybe innocent purchasers the applicant can vindicate her property since it was sold without her </w:t>
      </w:r>
      <w:r w:rsidR="00503A83" w:rsidRPr="00EB20FD">
        <w:rPr>
          <w:rFonts w:ascii="Times New Roman" w:hAnsi="Times New Roman"/>
          <w:sz w:val="24"/>
          <w:szCs w:val="24"/>
        </w:rPr>
        <w:t>consent. The</w:t>
      </w:r>
      <w:r w:rsidRPr="00EB20FD">
        <w:rPr>
          <w:rFonts w:ascii="Times New Roman" w:hAnsi="Times New Roman"/>
          <w:sz w:val="24"/>
          <w:szCs w:val="24"/>
        </w:rPr>
        <w:t xml:space="preserve"> </w:t>
      </w:r>
      <w:r w:rsidRPr="00503A83">
        <w:rPr>
          <w:rFonts w:ascii="Times New Roman" w:hAnsi="Times New Roman"/>
          <w:i/>
          <w:sz w:val="24"/>
          <w:szCs w:val="24"/>
        </w:rPr>
        <w:t>rei vindicatio</w:t>
      </w:r>
      <w:r w:rsidRPr="00EB20FD">
        <w:rPr>
          <w:rFonts w:ascii="Times New Roman" w:hAnsi="Times New Roman"/>
          <w:sz w:val="24"/>
          <w:szCs w:val="24"/>
        </w:rPr>
        <w:t xml:space="preserve"> remedy is available to her.</w:t>
      </w:r>
    </w:p>
    <w:p w14:paraId="08F97A63" w14:textId="0A37DAE1" w:rsidR="00EB20FD" w:rsidRDefault="0050246B" w:rsidP="00093988">
      <w:pPr>
        <w:spacing w:after="0" w:line="360" w:lineRule="auto"/>
        <w:ind w:firstLine="720"/>
        <w:jc w:val="both"/>
        <w:rPr>
          <w:rFonts w:ascii="Times New Roman" w:hAnsi="Times New Roman"/>
          <w:sz w:val="24"/>
          <w:szCs w:val="24"/>
        </w:rPr>
      </w:pPr>
      <w:r>
        <w:rPr>
          <w:rFonts w:ascii="Times New Roman" w:hAnsi="Times New Roman"/>
          <w:sz w:val="24"/>
          <w:szCs w:val="24"/>
        </w:rPr>
        <w:t xml:space="preserve">I comment in passing that although counsel for the applicant submitted that our courts follow the abstract </w:t>
      </w:r>
      <w:r w:rsidR="00D27793">
        <w:rPr>
          <w:rFonts w:ascii="Times New Roman" w:hAnsi="Times New Roman"/>
          <w:sz w:val="24"/>
          <w:szCs w:val="24"/>
        </w:rPr>
        <w:t>approach,</w:t>
      </w:r>
      <w:r>
        <w:rPr>
          <w:rFonts w:ascii="Times New Roman" w:hAnsi="Times New Roman"/>
          <w:sz w:val="24"/>
          <w:szCs w:val="24"/>
        </w:rPr>
        <w:t xml:space="preserve"> the court was referred to one case </w:t>
      </w:r>
      <w:r w:rsidR="008712D2" w:rsidRPr="00D27793">
        <w:rPr>
          <w:rFonts w:ascii="Times New Roman" w:hAnsi="Times New Roman"/>
          <w:i/>
          <w:iCs/>
          <w:sz w:val="24"/>
          <w:szCs w:val="24"/>
        </w:rPr>
        <w:t>Commissioner of Customs and Excise v Randles Brothers and Anor</w:t>
      </w:r>
      <w:r w:rsidR="008712D2">
        <w:rPr>
          <w:rFonts w:ascii="Times New Roman" w:hAnsi="Times New Roman"/>
          <w:sz w:val="24"/>
          <w:szCs w:val="24"/>
        </w:rPr>
        <w:t xml:space="preserve"> 1941 AD 369</w:t>
      </w:r>
      <w:r w:rsidR="00D27793">
        <w:rPr>
          <w:rFonts w:ascii="Times New Roman" w:hAnsi="Times New Roman"/>
          <w:sz w:val="24"/>
          <w:szCs w:val="24"/>
        </w:rPr>
        <w:t xml:space="preserve"> where the approaches were discussed</w:t>
      </w:r>
      <w:r w:rsidR="008712D2">
        <w:rPr>
          <w:rFonts w:ascii="Times New Roman" w:hAnsi="Times New Roman"/>
          <w:sz w:val="24"/>
          <w:szCs w:val="24"/>
        </w:rPr>
        <w:t>. No recent cases were referred to</w:t>
      </w:r>
      <w:r w:rsidR="00D27793">
        <w:rPr>
          <w:rFonts w:ascii="Times New Roman" w:hAnsi="Times New Roman"/>
          <w:sz w:val="24"/>
          <w:szCs w:val="24"/>
        </w:rPr>
        <w:t xml:space="preserve"> confirm </w:t>
      </w:r>
      <w:r w:rsidR="008712D2">
        <w:rPr>
          <w:rFonts w:ascii="Times New Roman" w:hAnsi="Times New Roman"/>
          <w:sz w:val="24"/>
          <w:szCs w:val="24"/>
        </w:rPr>
        <w:t>the approach by our courts. What is clear however is that our courts</w:t>
      </w:r>
      <w:r w:rsidR="00D27793">
        <w:rPr>
          <w:rFonts w:ascii="Times New Roman" w:hAnsi="Times New Roman"/>
          <w:sz w:val="24"/>
          <w:szCs w:val="24"/>
        </w:rPr>
        <w:t xml:space="preserve"> recognize and </w:t>
      </w:r>
      <w:r w:rsidR="008712D2">
        <w:rPr>
          <w:rFonts w:ascii="Times New Roman" w:hAnsi="Times New Roman"/>
          <w:sz w:val="24"/>
          <w:szCs w:val="24"/>
        </w:rPr>
        <w:t xml:space="preserve">guard the right of </w:t>
      </w:r>
      <w:r w:rsidR="006E3578">
        <w:rPr>
          <w:rFonts w:ascii="Times New Roman" w:hAnsi="Times New Roman"/>
          <w:sz w:val="24"/>
          <w:szCs w:val="24"/>
        </w:rPr>
        <w:t>ownership jealously. An owner</w:t>
      </w:r>
      <w:r w:rsidR="00D27793">
        <w:rPr>
          <w:rFonts w:ascii="Times New Roman" w:hAnsi="Times New Roman"/>
          <w:sz w:val="24"/>
          <w:szCs w:val="24"/>
        </w:rPr>
        <w:t xml:space="preserve"> </w:t>
      </w:r>
      <w:r w:rsidR="006E3578">
        <w:rPr>
          <w:rFonts w:ascii="Times New Roman" w:hAnsi="Times New Roman"/>
          <w:sz w:val="24"/>
          <w:szCs w:val="24"/>
        </w:rPr>
        <w:t>of property</w:t>
      </w:r>
      <w:r w:rsidR="008712D2">
        <w:rPr>
          <w:rFonts w:ascii="Times New Roman" w:hAnsi="Times New Roman"/>
          <w:sz w:val="24"/>
          <w:szCs w:val="24"/>
        </w:rPr>
        <w:t xml:space="preserve"> can vindicate it against anyone including </w:t>
      </w:r>
      <w:r w:rsidR="00D27793">
        <w:rPr>
          <w:rFonts w:ascii="Times New Roman" w:hAnsi="Times New Roman"/>
          <w:sz w:val="24"/>
          <w:szCs w:val="24"/>
        </w:rPr>
        <w:t>innocent purchasers.</w:t>
      </w:r>
      <w:r w:rsidR="0026406B">
        <w:rPr>
          <w:rFonts w:ascii="Times New Roman" w:hAnsi="Times New Roman"/>
          <w:sz w:val="24"/>
          <w:szCs w:val="24"/>
        </w:rPr>
        <w:t xml:space="preserve"> The </w:t>
      </w:r>
      <w:r w:rsidR="0026406B" w:rsidRPr="0026406B">
        <w:rPr>
          <w:rFonts w:ascii="Times New Roman" w:hAnsi="Times New Roman"/>
          <w:i/>
          <w:iCs/>
          <w:sz w:val="24"/>
          <w:szCs w:val="24"/>
        </w:rPr>
        <w:t>actio rei vindicatio</w:t>
      </w:r>
      <w:r w:rsidR="0026406B">
        <w:rPr>
          <w:rFonts w:ascii="Times New Roman" w:hAnsi="Times New Roman"/>
          <w:sz w:val="24"/>
          <w:szCs w:val="24"/>
        </w:rPr>
        <w:t xml:space="preserve"> is available to an owner whose property is</w:t>
      </w:r>
      <w:r w:rsidR="006E3578">
        <w:rPr>
          <w:rFonts w:ascii="Times New Roman" w:hAnsi="Times New Roman"/>
          <w:sz w:val="24"/>
          <w:szCs w:val="24"/>
        </w:rPr>
        <w:t xml:space="preserve"> in</w:t>
      </w:r>
      <w:r w:rsidR="0026406B">
        <w:rPr>
          <w:rFonts w:ascii="Times New Roman" w:hAnsi="Times New Roman"/>
          <w:sz w:val="24"/>
          <w:szCs w:val="24"/>
        </w:rPr>
        <w:t xml:space="preserve"> the possession of another without her authority.</w:t>
      </w:r>
      <w:r w:rsidR="00D27793">
        <w:rPr>
          <w:rFonts w:ascii="Times New Roman" w:hAnsi="Times New Roman"/>
          <w:sz w:val="24"/>
          <w:szCs w:val="24"/>
        </w:rPr>
        <w:t xml:space="preserve"> It does not matter </w:t>
      </w:r>
      <w:r w:rsidR="0026406B">
        <w:rPr>
          <w:rFonts w:ascii="Times New Roman" w:hAnsi="Times New Roman"/>
          <w:sz w:val="24"/>
          <w:szCs w:val="24"/>
        </w:rPr>
        <w:t>how</w:t>
      </w:r>
      <w:r w:rsidR="00D27793">
        <w:rPr>
          <w:rFonts w:ascii="Times New Roman" w:hAnsi="Times New Roman"/>
          <w:sz w:val="24"/>
          <w:szCs w:val="24"/>
        </w:rPr>
        <w:t xml:space="preserve"> many innocent </w:t>
      </w:r>
      <w:r w:rsidR="0026406B">
        <w:rPr>
          <w:rFonts w:ascii="Times New Roman" w:hAnsi="Times New Roman"/>
          <w:sz w:val="24"/>
          <w:szCs w:val="24"/>
        </w:rPr>
        <w:t>purchasers</w:t>
      </w:r>
      <w:r w:rsidR="00D27793">
        <w:rPr>
          <w:rFonts w:ascii="Times New Roman" w:hAnsi="Times New Roman"/>
          <w:sz w:val="24"/>
          <w:szCs w:val="24"/>
        </w:rPr>
        <w:t xml:space="preserve"> are involved as long as the owner of </w:t>
      </w:r>
      <w:r w:rsidR="002C7A7F">
        <w:rPr>
          <w:rFonts w:ascii="Times New Roman" w:hAnsi="Times New Roman"/>
          <w:sz w:val="24"/>
          <w:szCs w:val="24"/>
        </w:rPr>
        <w:t>the property did not give his/</w:t>
      </w:r>
      <w:r w:rsidR="00D27793">
        <w:rPr>
          <w:rFonts w:ascii="Times New Roman" w:hAnsi="Times New Roman"/>
          <w:sz w:val="24"/>
          <w:szCs w:val="24"/>
        </w:rPr>
        <w:t>her consent</w:t>
      </w:r>
      <w:r w:rsidR="0026406B">
        <w:rPr>
          <w:rFonts w:ascii="Times New Roman" w:hAnsi="Times New Roman"/>
          <w:sz w:val="24"/>
          <w:szCs w:val="24"/>
        </w:rPr>
        <w:t xml:space="preserve">. There is no parity when it comes to the </w:t>
      </w:r>
      <w:r w:rsidR="0026406B" w:rsidRPr="0026406B">
        <w:rPr>
          <w:rFonts w:ascii="Times New Roman" w:hAnsi="Times New Roman"/>
          <w:i/>
          <w:iCs/>
          <w:sz w:val="24"/>
          <w:szCs w:val="24"/>
        </w:rPr>
        <w:t>rei vindicatio</w:t>
      </w:r>
      <w:r w:rsidR="0026406B">
        <w:rPr>
          <w:rFonts w:ascii="Times New Roman" w:hAnsi="Times New Roman"/>
          <w:sz w:val="24"/>
          <w:szCs w:val="24"/>
        </w:rPr>
        <w:t xml:space="preserve">. </w:t>
      </w:r>
      <w:r w:rsidR="0026406B" w:rsidRPr="00C509E3">
        <w:rPr>
          <w:rFonts w:ascii="Times New Roman" w:hAnsi="Times New Roman"/>
          <w:sz w:val="24"/>
          <w:szCs w:val="24"/>
        </w:rPr>
        <w:t>See</w:t>
      </w:r>
      <w:r w:rsidR="0026406B" w:rsidRPr="006E3578">
        <w:rPr>
          <w:rFonts w:ascii="Times New Roman" w:hAnsi="Times New Roman"/>
          <w:i/>
          <w:sz w:val="24"/>
          <w:szCs w:val="24"/>
        </w:rPr>
        <w:t xml:space="preserve"> Chetty v Naidoo</w:t>
      </w:r>
      <w:r w:rsidR="0026406B">
        <w:rPr>
          <w:rFonts w:ascii="Times New Roman" w:hAnsi="Times New Roman"/>
          <w:sz w:val="24"/>
          <w:szCs w:val="24"/>
        </w:rPr>
        <w:t xml:space="preserve"> 1974 (3) SA</w:t>
      </w:r>
      <w:r w:rsidR="00EF7644">
        <w:rPr>
          <w:rFonts w:ascii="Times New Roman" w:hAnsi="Times New Roman"/>
          <w:sz w:val="24"/>
          <w:szCs w:val="24"/>
        </w:rPr>
        <w:t xml:space="preserve"> 13 (A).</w:t>
      </w:r>
      <w:r w:rsidR="00D27793">
        <w:rPr>
          <w:rFonts w:ascii="Times New Roman" w:hAnsi="Times New Roman"/>
          <w:sz w:val="24"/>
          <w:szCs w:val="24"/>
        </w:rPr>
        <w:t xml:space="preserve"> </w:t>
      </w:r>
      <w:r w:rsidR="006E3578">
        <w:rPr>
          <w:rFonts w:ascii="Times New Roman" w:hAnsi="Times New Roman"/>
          <w:sz w:val="24"/>
          <w:szCs w:val="24"/>
        </w:rPr>
        <w:t xml:space="preserve">In </w:t>
      </w:r>
      <w:r w:rsidR="006E3578" w:rsidRPr="00EB20FD">
        <w:rPr>
          <w:rFonts w:ascii="Times New Roman" w:hAnsi="Times New Roman"/>
          <w:i/>
          <w:sz w:val="24"/>
          <w:szCs w:val="24"/>
        </w:rPr>
        <w:t>Nzara &amp;Ors v Kashumba &amp;</w:t>
      </w:r>
      <w:r w:rsidR="00EB20FD" w:rsidRPr="00EB20FD">
        <w:rPr>
          <w:rFonts w:ascii="Times New Roman" w:hAnsi="Times New Roman"/>
          <w:i/>
          <w:sz w:val="24"/>
          <w:szCs w:val="24"/>
        </w:rPr>
        <w:t xml:space="preserve"> </w:t>
      </w:r>
      <w:r w:rsidR="006E3578" w:rsidRPr="00EB20FD">
        <w:rPr>
          <w:rFonts w:ascii="Times New Roman" w:hAnsi="Times New Roman"/>
          <w:i/>
          <w:sz w:val="24"/>
          <w:szCs w:val="24"/>
        </w:rPr>
        <w:t>Ors</w:t>
      </w:r>
      <w:r w:rsidR="006E3578">
        <w:rPr>
          <w:rFonts w:ascii="Times New Roman" w:hAnsi="Times New Roman"/>
          <w:sz w:val="24"/>
          <w:szCs w:val="24"/>
        </w:rPr>
        <w:t xml:space="preserve"> SC18/18 is a case of a sale of property </w:t>
      </w:r>
      <w:r w:rsidR="00EB20FD">
        <w:rPr>
          <w:rFonts w:ascii="Times New Roman" w:hAnsi="Times New Roman"/>
          <w:sz w:val="24"/>
          <w:szCs w:val="24"/>
        </w:rPr>
        <w:t xml:space="preserve">without the owner’s consent noted, </w:t>
      </w:r>
    </w:p>
    <w:p w14:paraId="1251B54A" w14:textId="509DE9FA" w:rsidR="00EB20FD" w:rsidRDefault="002C7A7F" w:rsidP="002C7A7F">
      <w:pPr>
        <w:spacing w:after="0" w:line="276" w:lineRule="auto"/>
        <w:ind w:left="720"/>
        <w:jc w:val="both"/>
        <w:rPr>
          <w:rFonts w:ascii="Times New Roman" w:hAnsi="Times New Roman"/>
        </w:rPr>
      </w:pPr>
      <w:r>
        <w:rPr>
          <w:rFonts w:ascii="Times New Roman" w:hAnsi="Times New Roman"/>
          <w:sz w:val="24"/>
          <w:szCs w:val="24"/>
        </w:rPr>
        <w:t>“</w:t>
      </w:r>
      <w:r w:rsidR="00EB20FD" w:rsidRPr="00EB20FD">
        <w:rPr>
          <w:rFonts w:ascii="Times New Roman" w:hAnsi="Times New Roman"/>
        </w:rPr>
        <w:t xml:space="preserve">One of the critical maxims of property law is </w:t>
      </w:r>
      <w:r w:rsidR="00EB20FD" w:rsidRPr="00EB20FD">
        <w:rPr>
          <w:rFonts w:ascii="Times New Roman" w:hAnsi="Times New Roman"/>
          <w:i/>
        </w:rPr>
        <w:t>nemo plus iuris transfer e protest quam ips habet</w:t>
      </w:r>
      <w:r w:rsidR="00EB20FD" w:rsidRPr="00EB20FD">
        <w:rPr>
          <w:rFonts w:ascii="Times New Roman" w:hAnsi="Times New Roman"/>
        </w:rPr>
        <w:t xml:space="preserve"> – translated as meaning that an owner cannot, as a general rule, be deprived of his property against his will. Therefore, where an owner’s property is sold and delivered without his consent his right to ownership can be vindicated from any person. Silberberg and Schoeman in their Second Edition of “The Law of Property” at page 268 make it clear that the maxim stands firm even where the third party acquires the property in good faith, having paid a fair market value and acted in all innocence. Our law calls for ruthless vindication and protection of the right of ownership</w:t>
      </w:r>
      <w:r>
        <w:rPr>
          <w:rFonts w:ascii="Times New Roman" w:hAnsi="Times New Roman"/>
        </w:rPr>
        <w:t>”.</w:t>
      </w:r>
    </w:p>
    <w:p w14:paraId="5525EEC4" w14:textId="77777777" w:rsidR="00245C4D" w:rsidRDefault="00245C4D" w:rsidP="002C7A7F">
      <w:pPr>
        <w:spacing w:after="0" w:line="276" w:lineRule="auto"/>
        <w:ind w:left="720"/>
        <w:jc w:val="both"/>
        <w:rPr>
          <w:rFonts w:ascii="Times New Roman" w:hAnsi="Times New Roman"/>
          <w:sz w:val="24"/>
          <w:szCs w:val="24"/>
        </w:rPr>
      </w:pPr>
    </w:p>
    <w:p w14:paraId="63C4BC9D" w14:textId="13BC5085" w:rsidR="008712D2" w:rsidRDefault="00EB20FD" w:rsidP="00093988">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In essence where the owner has not given consent to the sale, there is no valid contract to talk about. Our courts certainly follow the causal approach. Even where the underlying contract was valid at the time of transfer</w:t>
      </w:r>
      <w:r w:rsidR="00AD5D0D">
        <w:rPr>
          <w:rFonts w:ascii="Times New Roman" w:hAnsi="Times New Roman"/>
          <w:sz w:val="24"/>
          <w:szCs w:val="24"/>
        </w:rPr>
        <w:t xml:space="preserve"> but it is later shown that the underlying contract was in fact invalid and remains so, the court</w:t>
      </w:r>
      <w:r>
        <w:rPr>
          <w:rFonts w:ascii="Times New Roman" w:hAnsi="Times New Roman"/>
          <w:sz w:val="24"/>
          <w:szCs w:val="24"/>
        </w:rPr>
        <w:t xml:space="preserve"> is at large to invalidate the transfer. The point that the court cannot set aside that which was valid </w:t>
      </w:r>
      <w:r w:rsidRPr="00503A83">
        <w:rPr>
          <w:rFonts w:ascii="Times New Roman" w:hAnsi="Times New Roman"/>
          <w:i/>
          <w:sz w:val="24"/>
          <w:szCs w:val="24"/>
        </w:rPr>
        <w:t>ab initio</w:t>
      </w:r>
      <w:r>
        <w:rPr>
          <w:rFonts w:ascii="Times New Roman" w:hAnsi="Times New Roman"/>
          <w:sz w:val="24"/>
          <w:szCs w:val="24"/>
        </w:rPr>
        <w:t xml:space="preserve"> is misplaced.</w:t>
      </w:r>
    </w:p>
    <w:p w14:paraId="15144B3C" w14:textId="7A0441ED" w:rsidR="00093988" w:rsidRDefault="00917D50" w:rsidP="00093988">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applicant’s submissions are </w:t>
      </w:r>
      <w:r w:rsidR="009D05A5">
        <w:rPr>
          <w:rFonts w:ascii="Times New Roman" w:hAnsi="Times New Roman"/>
          <w:sz w:val="24"/>
          <w:szCs w:val="24"/>
        </w:rPr>
        <w:t>persuasive. The</w:t>
      </w:r>
      <w:r>
        <w:rPr>
          <w:rFonts w:ascii="Times New Roman" w:hAnsi="Times New Roman"/>
          <w:sz w:val="24"/>
          <w:szCs w:val="24"/>
        </w:rPr>
        <w:t xml:space="preserve"> order sought is</w:t>
      </w:r>
      <w:r w:rsidR="006F6A86">
        <w:rPr>
          <w:rFonts w:ascii="Times New Roman" w:hAnsi="Times New Roman"/>
          <w:sz w:val="24"/>
          <w:szCs w:val="24"/>
        </w:rPr>
        <w:t xml:space="preserve"> </w:t>
      </w:r>
      <w:r>
        <w:rPr>
          <w:rFonts w:ascii="Times New Roman" w:hAnsi="Times New Roman"/>
          <w:sz w:val="24"/>
          <w:szCs w:val="24"/>
        </w:rPr>
        <w:t>competent</w:t>
      </w:r>
      <w:r w:rsidR="006F6A86">
        <w:rPr>
          <w:rFonts w:ascii="Times New Roman" w:hAnsi="Times New Roman"/>
          <w:sz w:val="24"/>
          <w:szCs w:val="24"/>
        </w:rPr>
        <w:t>.</w:t>
      </w:r>
      <w:r>
        <w:rPr>
          <w:rFonts w:ascii="Times New Roman" w:hAnsi="Times New Roman"/>
          <w:sz w:val="24"/>
          <w:szCs w:val="24"/>
        </w:rPr>
        <w:t xml:space="preserve"> In determin</w:t>
      </w:r>
      <w:r w:rsidR="006F6A86">
        <w:rPr>
          <w:rFonts w:ascii="Times New Roman" w:hAnsi="Times New Roman"/>
          <w:sz w:val="24"/>
          <w:szCs w:val="24"/>
        </w:rPr>
        <w:t>ing</w:t>
      </w:r>
      <w:r>
        <w:rPr>
          <w:rFonts w:ascii="Times New Roman" w:hAnsi="Times New Roman"/>
          <w:sz w:val="24"/>
          <w:szCs w:val="24"/>
        </w:rPr>
        <w:t xml:space="preserve"> whether to grant the order, the court will consider the </w:t>
      </w:r>
      <w:r w:rsidR="00503A83">
        <w:rPr>
          <w:rFonts w:ascii="Times New Roman" w:hAnsi="Times New Roman"/>
          <w:sz w:val="24"/>
          <w:szCs w:val="24"/>
        </w:rPr>
        <w:t>applicant’s</w:t>
      </w:r>
      <w:r>
        <w:rPr>
          <w:rFonts w:ascii="Times New Roman" w:hAnsi="Times New Roman"/>
          <w:sz w:val="24"/>
          <w:szCs w:val="24"/>
        </w:rPr>
        <w:t xml:space="preserve"> </w:t>
      </w:r>
      <w:r w:rsidR="00503A83">
        <w:rPr>
          <w:rFonts w:ascii="Times New Roman" w:hAnsi="Times New Roman"/>
          <w:sz w:val="24"/>
          <w:szCs w:val="24"/>
        </w:rPr>
        <w:t>right and</w:t>
      </w:r>
      <w:r>
        <w:rPr>
          <w:rFonts w:ascii="Times New Roman" w:hAnsi="Times New Roman"/>
          <w:sz w:val="24"/>
          <w:szCs w:val="24"/>
        </w:rPr>
        <w:t xml:space="preserve"> the validity of the</w:t>
      </w:r>
      <w:r w:rsidR="00503A83">
        <w:rPr>
          <w:rFonts w:ascii="Times New Roman" w:hAnsi="Times New Roman"/>
          <w:sz w:val="24"/>
          <w:szCs w:val="24"/>
        </w:rPr>
        <w:t xml:space="preserve"> alleged</w:t>
      </w:r>
      <w:r>
        <w:rPr>
          <w:rFonts w:ascii="Times New Roman" w:hAnsi="Times New Roman"/>
          <w:sz w:val="24"/>
          <w:szCs w:val="24"/>
        </w:rPr>
        <w:t xml:space="preserve"> agreement between th</w:t>
      </w:r>
      <w:r w:rsidR="00503A83">
        <w:rPr>
          <w:rFonts w:ascii="Times New Roman" w:hAnsi="Times New Roman"/>
          <w:sz w:val="24"/>
          <w:szCs w:val="24"/>
        </w:rPr>
        <w:t>e seller referred to as the applicant</w:t>
      </w:r>
      <w:r>
        <w:rPr>
          <w:rFonts w:ascii="Times New Roman" w:hAnsi="Times New Roman"/>
          <w:sz w:val="24"/>
          <w:szCs w:val="24"/>
        </w:rPr>
        <w:t xml:space="preserve"> and the second </w:t>
      </w:r>
      <w:r w:rsidR="00503A83">
        <w:rPr>
          <w:rFonts w:ascii="Times New Roman" w:hAnsi="Times New Roman"/>
          <w:sz w:val="24"/>
          <w:szCs w:val="24"/>
        </w:rPr>
        <w:t xml:space="preserve">respondent. The onus is on the applicant to show on a balance of probabilities that she did not sell the property to the second respondent. If she succeeds the sale can well be set aside and the natural consequence follows that the sale agreement between the second respondent and the first respondent crumbles.  </w:t>
      </w:r>
    </w:p>
    <w:p w14:paraId="4271FCCE" w14:textId="1BEEE93C" w:rsidR="00AF55A6" w:rsidRDefault="00093988" w:rsidP="00093988">
      <w:pPr>
        <w:spacing w:after="0" w:line="360" w:lineRule="auto"/>
        <w:ind w:firstLine="720"/>
        <w:jc w:val="both"/>
        <w:rPr>
          <w:rFonts w:ascii="Times New Roman" w:hAnsi="Times New Roman"/>
          <w:sz w:val="24"/>
          <w:szCs w:val="24"/>
        </w:rPr>
      </w:pPr>
      <w:r>
        <w:rPr>
          <w:rFonts w:ascii="Times New Roman" w:hAnsi="Times New Roman"/>
          <w:sz w:val="24"/>
          <w:szCs w:val="24"/>
        </w:rPr>
        <w:t>The preliminary point is dismissed.</w:t>
      </w:r>
      <w:r w:rsidR="00AF55A6">
        <w:rPr>
          <w:rFonts w:ascii="Times New Roman" w:hAnsi="Times New Roman"/>
          <w:sz w:val="24"/>
          <w:szCs w:val="24"/>
        </w:rPr>
        <w:t xml:space="preserve"> </w:t>
      </w:r>
    </w:p>
    <w:p w14:paraId="37765D3E" w14:textId="778F045A" w:rsidR="00093988" w:rsidRDefault="00093988" w:rsidP="00093988">
      <w:pPr>
        <w:spacing w:after="0" w:line="360" w:lineRule="auto"/>
        <w:ind w:firstLine="720"/>
        <w:jc w:val="both"/>
        <w:rPr>
          <w:rFonts w:ascii="Times New Roman" w:hAnsi="Times New Roman"/>
          <w:sz w:val="24"/>
          <w:szCs w:val="24"/>
        </w:rPr>
      </w:pPr>
      <w:r>
        <w:rPr>
          <w:rFonts w:ascii="Times New Roman" w:hAnsi="Times New Roman"/>
          <w:sz w:val="24"/>
          <w:szCs w:val="24"/>
        </w:rPr>
        <w:t>I now consider the merits of the case.</w:t>
      </w:r>
    </w:p>
    <w:p w14:paraId="44A6E549" w14:textId="48ECD10C" w:rsidR="00093988" w:rsidRDefault="00093988" w:rsidP="00093988">
      <w:pPr>
        <w:spacing w:after="0" w:line="360" w:lineRule="auto"/>
        <w:ind w:firstLine="720"/>
        <w:jc w:val="both"/>
        <w:rPr>
          <w:rFonts w:ascii="Times New Roman" w:hAnsi="Times New Roman"/>
          <w:sz w:val="24"/>
          <w:szCs w:val="24"/>
        </w:rPr>
      </w:pPr>
      <w:r>
        <w:rPr>
          <w:rFonts w:ascii="Times New Roman" w:hAnsi="Times New Roman"/>
          <w:sz w:val="24"/>
          <w:szCs w:val="24"/>
        </w:rPr>
        <w:t>This court can grant declaratory relief in terms of s14 of the High Court Act. The applicant must demonstrate</w:t>
      </w:r>
      <w:r w:rsidR="00503A83">
        <w:rPr>
          <w:rFonts w:ascii="Times New Roman" w:hAnsi="Times New Roman"/>
          <w:sz w:val="24"/>
          <w:szCs w:val="24"/>
        </w:rPr>
        <w:t xml:space="preserve"> that</w:t>
      </w:r>
      <w:r w:rsidR="00C509E3">
        <w:rPr>
          <w:rFonts w:ascii="Times New Roman" w:hAnsi="Times New Roman"/>
          <w:sz w:val="24"/>
          <w:szCs w:val="24"/>
        </w:rPr>
        <w:t xml:space="preserve"> he/</w:t>
      </w:r>
      <w:r>
        <w:rPr>
          <w:rFonts w:ascii="Times New Roman" w:hAnsi="Times New Roman"/>
          <w:sz w:val="24"/>
          <w:szCs w:val="24"/>
        </w:rPr>
        <w:t xml:space="preserve">she has a </w:t>
      </w:r>
      <w:r w:rsidR="005B7FA2">
        <w:rPr>
          <w:rFonts w:ascii="Times New Roman" w:hAnsi="Times New Roman"/>
          <w:sz w:val="24"/>
          <w:szCs w:val="24"/>
        </w:rPr>
        <w:t>direct or substanti</w:t>
      </w:r>
      <w:r w:rsidR="00503A83">
        <w:rPr>
          <w:rFonts w:ascii="Times New Roman" w:hAnsi="Times New Roman"/>
          <w:sz w:val="24"/>
          <w:szCs w:val="24"/>
        </w:rPr>
        <w:t>al interest in an existing</w:t>
      </w:r>
      <w:r w:rsidR="005B7FA2">
        <w:rPr>
          <w:rFonts w:ascii="Times New Roman" w:hAnsi="Times New Roman"/>
          <w:sz w:val="24"/>
          <w:szCs w:val="24"/>
        </w:rPr>
        <w:t>, future or contingent righ</w:t>
      </w:r>
      <w:r w:rsidR="004021C5">
        <w:rPr>
          <w:rFonts w:ascii="Times New Roman" w:hAnsi="Times New Roman"/>
          <w:sz w:val="24"/>
          <w:szCs w:val="24"/>
        </w:rPr>
        <w:t>t which becomes the subject of inquiry. The</w:t>
      </w:r>
      <w:r w:rsidR="005B7FA2">
        <w:rPr>
          <w:rFonts w:ascii="Times New Roman" w:hAnsi="Times New Roman"/>
          <w:sz w:val="24"/>
          <w:szCs w:val="24"/>
        </w:rPr>
        <w:t xml:space="preserve"> issue must be </w:t>
      </w:r>
      <w:r w:rsidR="00503A83">
        <w:rPr>
          <w:rFonts w:ascii="Times New Roman" w:hAnsi="Times New Roman"/>
          <w:sz w:val="24"/>
          <w:szCs w:val="24"/>
        </w:rPr>
        <w:t>real,</w:t>
      </w:r>
      <w:r w:rsidR="005B7FA2">
        <w:rPr>
          <w:rFonts w:ascii="Times New Roman" w:hAnsi="Times New Roman"/>
          <w:sz w:val="24"/>
          <w:szCs w:val="24"/>
        </w:rPr>
        <w:t xml:space="preserve"> the courts will not decide on abstract or academic </w:t>
      </w:r>
      <w:r w:rsidR="004021C5">
        <w:rPr>
          <w:rFonts w:ascii="Times New Roman" w:hAnsi="Times New Roman"/>
          <w:sz w:val="24"/>
          <w:szCs w:val="24"/>
        </w:rPr>
        <w:t>issues. The</w:t>
      </w:r>
      <w:r w:rsidR="005B7FA2">
        <w:rPr>
          <w:rFonts w:ascii="Times New Roman" w:hAnsi="Times New Roman"/>
          <w:sz w:val="24"/>
          <w:szCs w:val="24"/>
        </w:rPr>
        <w:t xml:space="preserve"> court</w:t>
      </w:r>
      <w:r w:rsidR="00503A83">
        <w:rPr>
          <w:rFonts w:ascii="Times New Roman" w:hAnsi="Times New Roman"/>
          <w:sz w:val="24"/>
          <w:szCs w:val="24"/>
        </w:rPr>
        <w:t xml:space="preserve"> also takes into account public policy considerations whether this would be an appropriate case to grant such an order.</w:t>
      </w:r>
      <w:r w:rsidR="005B7FA2">
        <w:rPr>
          <w:rFonts w:ascii="Times New Roman" w:hAnsi="Times New Roman"/>
          <w:sz w:val="24"/>
          <w:szCs w:val="24"/>
        </w:rPr>
        <w:t xml:space="preserve"> See generally </w:t>
      </w:r>
      <w:r w:rsidR="005B7FA2" w:rsidRPr="004021C5">
        <w:rPr>
          <w:rFonts w:ascii="Times New Roman" w:hAnsi="Times New Roman"/>
          <w:i/>
          <w:iCs/>
          <w:sz w:val="24"/>
          <w:szCs w:val="24"/>
        </w:rPr>
        <w:t>Munn Publishing (Pvt) Ltd v ZBC</w:t>
      </w:r>
      <w:r w:rsidR="005B7FA2">
        <w:rPr>
          <w:rFonts w:ascii="Times New Roman" w:hAnsi="Times New Roman"/>
          <w:sz w:val="24"/>
          <w:szCs w:val="24"/>
        </w:rPr>
        <w:t xml:space="preserve"> 1994 (1) ZLR 337 (S).</w:t>
      </w:r>
    </w:p>
    <w:p w14:paraId="75991DC9" w14:textId="0352505F" w:rsidR="009D05A5" w:rsidRDefault="009D05A5" w:rsidP="00093988">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w:t>
      </w:r>
      <w:r w:rsidR="004F39DE">
        <w:rPr>
          <w:rFonts w:ascii="Times New Roman" w:hAnsi="Times New Roman"/>
          <w:sz w:val="24"/>
          <w:szCs w:val="24"/>
        </w:rPr>
        <w:t xml:space="preserve">court has to determine </w:t>
      </w:r>
      <w:r w:rsidR="00AD5D0D">
        <w:rPr>
          <w:rFonts w:ascii="Times New Roman" w:hAnsi="Times New Roman"/>
          <w:sz w:val="24"/>
          <w:szCs w:val="24"/>
        </w:rPr>
        <w:t>if it</w:t>
      </w:r>
      <w:r w:rsidR="004F39DE">
        <w:rPr>
          <w:rFonts w:ascii="Times New Roman" w:hAnsi="Times New Roman"/>
          <w:sz w:val="24"/>
          <w:szCs w:val="24"/>
        </w:rPr>
        <w:t xml:space="preserve"> is the applicant who sold the property to the second respondent.</w:t>
      </w:r>
    </w:p>
    <w:p w14:paraId="7E881E45" w14:textId="77777777" w:rsidR="000D73D6" w:rsidRDefault="009D05A5" w:rsidP="00093988">
      <w:pPr>
        <w:spacing w:after="0" w:line="360" w:lineRule="auto"/>
        <w:ind w:firstLine="720"/>
        <w:jc w:val="both"/>
        <w:rPr>
          <w:rFonts w:ascii="Times New Roman" w:hAnsi="Times New Roman"/>
          <w:sz w:val="24"/>
          <w:szCs w:val="24"/>
        </w:rPr>
      </w:pPr>
      <w:r>
        <w:rPr>
          <w:rFonts w:ascii="Times New Roman" w:hAnsi="Times New Roman"/>
          <w:sz w:val="24"/>
          <w:szCs w:val="24"/>
        </w:rPr>
        <w:t>The following is common cause. The second respondent purported</w:t>
      </w:r>
      <w:r w:rsidR="001F3A2F">
        <w:rPr>
          <w:rFonts w:ascii="Times New Roman" w:hAnsi="Times New Roman"/>
          <w:sz w:val="24"/>
          <w:szCs w:val="24"/>
        </w:rPr>
        <w:t>ly</w:t>
      </w:r>
      <w:r>
        <w:rPr>
          <w:rFonts w:ascii="Times New Roman" w:hAnsi="Times New Roman"/>
          <w:sz w:val="24"/>
          <w:szCs w:val="24"/>
        </w:rPr>
        <w:t xml:space="preserve"> purchased the property from the applicant and an agreement of sale was signed on 14 November 2006.The applicant is alleged to have signed the agreement. The purchase price was paid through Barclays Bank to one F Mlaudzi of Beitbridge. </w:t>
      </w:r>
    </w:p>
    <w:p w14:paraId="44B9AE5B" w14:textId="1CACB2FB" w:rsidR="000D73D6" w:rsidRDefault="007537B1" w:rsidP="00093988">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agreement </w:t>
      </w:r>
      <w:r w:rsidR="009B2963">
        <w:rPr>
          <w:rFonts w:ascii="Times New Roman" w:hAnsi="Times New Roman"/>
          <w:sz w:val="24"/>
          <w:szCs w:val="24"/>
        </w:rPr>
        <w:t>of sale has salient features that incorrectly identified the seller who is alleged to be the applicant. First it is the address. The</w:t>
      </w:r>
      <w:r w:rsidR="009D05A5">
        <w:rPr>
          <w:rFonts w:ascii="Times New Roman" w:hAnsi="Times New Roman"/>
          <w:sz w:val="24"/>
          <w:szCs w:val="24"/>
        </w:rPr>
        <w:t xml:space="preserve"> applicant’s address was given </w:t>
      </w:r>
      <w:r w:rsidR="000D73D6">
        <w:rPr>
          <w:rFonts w:ascii="Times New Roman" w:hAnsi="Times New Roman"/>
          <w:sz w:val="24"/>
          <w:szCs w:val="24"/>
        </w:rPr>
        <w:t>as Farm</w:t>
      </w:r>
      <w:r w:rsidR="001F3A2F">
        <w:rPr>
          <w:rFonts w:ascii="Times New Roman" w:hAnsi="Times New Roman"/>
          <w:sz w:val="24"/>
          <w:szCs w:val="24"/>
        </w:rPr>
        <w:t xml:space="preserve"> 14 Astorne Farm West Nicholson. The </w:t>
      </w:r>
      <w:r w:rsidR="009D05A5">
        <w:rPr>
          <w:rFonts w:ascii="Times New Roman" w:hAnsi="Times New Roman"/>
          <w:sz w:val="24"/>
          <w:szCs w:val="24"/>
        </w:rPr>
        <w:t xml:space="preserve">address </w:t>
      </w:r>
      <w:r w:rsidR="000D73D6">
        <w:rPr>
          <w:rFonts w:ascii="Times New Roman" w:hAnsi="Times New Roman"/>
          <w:sz w:val="24"/>
          <w:szCs w:val="24"/>
        </w:rPr>
        <w:t>is non</w:t>
      </w:r>
      <w:r w:rsidR="00F9546C">
        <w:rPr>
          <w:rFonts w:ascii="Times New Roman" w:hAnsi="Times New Roman"/>
          <w:sz w:val="24"/>
          <w:szCs w:val="24"/>
        </w:rPr>
        <w:t>-</w:t>
      </w:r>
      <w:r w:rsidR="000D73D6">
        <w:rPr>
          <w:rFonts w:ascii="Times New Roman" w:hAnsi="Times New Roman"/>
          <w:sz w:val="24"/>
          <w:szCs w:val="24"/>
        </w:rPr>
        <w:t>existent. The</w:t>
      </w:r>
      <w:r w:rsidR="001F3A2F">
        <w:rPr>
          <w:rFonts w:ascii="Times New Roman" w:hAnsi="Times New Roman"/>
          <w:sz w:val="24"/>
          <w:szCs w:val="24"/>
        </w:rPr>
        <w:t xml:space="preserve"> Deputy Sheriff’s </w:t>
      </w:r>
      <w:r w:rsidR="000D73D6">
        <w:rPr>
          <w:rFonts w:ascii="Times New Roman" w:hAnsi="Times New Roman"/>
          <w:sz w:val="24"/>
          <w:szCs w:val="24"/>
        </w:rPr>
        <w:t xml:space="preserve">return of service </w:t>
      </w:r>
      <w:r w:rsidR="001F3A2F">
        <w:rPr>
          <w:rFonts w:ascii="Times New Roman" w:hAnsi="Times New Roman"/>
          <w:sz w:val="24"/>
          <w:szCs w:val="24"/>
        </w:rPr>
        <w:t xml:space="preserve">shows that a diligent search was made of the </w:t>
      </w:r>
      <w:r w:rsidR="000D73D6">
        <w:rPr>
          <w:rFonts w:ascii="Times New Roman" w:hAnsi="Times New Roman"/>
          <w:sz w:val="24"/>
          <w:szCs w:val="24"/>
        </w:rPr>
        <w:t xml:space="preserve">farm. </w:t>
      </w:r>
      <w:r w:rsidR="001F3A2F">
        <w:rPr>
          <w:rFonts w:ascii="Times New Roman" w:hAnsi="Times New Roman"/>
          <w:sz w:val="24"/>
          <w:szCs w:val="24"/>
        </w:rPr>
        <w:t>It is recorded on the return</w:t>
      </w:r>
      <w:r w:rsidR="004F39DE">
        <w:rPr>
          <w:rFonts w:ascii="Times New Roman" w:hAnsi="Times New Roman"/>
          <w:sz w:val="24"/>
          <w:szCs w:val="24"/>
        </w:rPr>
        <w:t xml:space="preserve"> of service</w:t>
      </w:r>
      <w:r w:rsidR="001F3A2F">
        <w:rPr>
          <w:rFonts w:ascii="Times New Roman" w:hAnsi="Times New Roman"/>
          <w:sz w:val="24"/>
          <w:szCs w:val="24"/>
        </w:rPr>
        <w:t xml:space="preserve"> that the Deputy Sheriff went to</w:t>
      </w:r>
      <w:r w:rsidR="000D73D6">
        <w:rPr>
          <w:rFonts w:ascii="Times New Roman" w:hAnsi="Times New Roman"/>
          <w:sz w:val="24"/>
          <w:szCs w:val="24"/>
        </w:rPr>
        <w:t xml:space="preserve"> Plot 14,</w:t>
      </w:r>
      <w:r w:rsidR="001F3A2F">
        <w:rPr>
          <w:rFonts w:ascii="Times New Roman" w:hAnsi="Times New Roman"/>
          <w:sz w:val="24"/>
          <w:szCs w:val="24"/>
        </w:rPr>
        <w:t xml:space="preserve"> Atherstone</w:t>
      </w:r>
      <w:r w:rsidR="000D73D6">
        <w:rPr>
          <w:rFonts w:ascii="Times New Roman" w:hAnsi="Times New Roman"/>
          <w:sz w:val="24"/>
          <w:szCs w:val="24"/>
        </w:rPr>
        <w:t xml:space="preserve"> Farm probably on account of some </w:t>
      </w:r>
      <w:r w:rsidR="000D73D6">
        <w:rPr>
          <w:rFonts w:ascii="Times New Roman" w:hAnsi="Times New Roman"/>
          <w:sz w:val="24"/>
          <w:szCs w:val="24"/>
        </w:rPr>
        <w:lastRenderedPageBreak/>
        <w:t xml:space="preserve">similarities in the names. It is from this farm that the office learnt that there is no Farm known as Astorne Farm in West Nicholson. Further steps were made to verify the information. The Deputy Sheriff approached the Ministry of Lands, Gwanda office and it was confirmed that no such farm exists in West </w:t>
      </w:r>
      <w:r w:rsidR="009B2963">
        <w:rPr>
          <w:rFonts w:ascii="Times New Roman" w:hAnsi="Times New Roman"/>
          <w:sz w:val="24"/>
          <w:szCs w:val="24"/>
        </w:rPr>
        <w:t>Nicholson. The</w:t>
      </w:r>
      <w:r>
        <w:rPr>
          <w:rFonts w:ascii="Times New Roman" w:hAnsi="Times New Roman"/>
          <w:sz w:val="24"/>
          <w:szCs w:val="24"/>
        </w:rPr>
        <w:t xml:space="preserve"> applicant </w:t>
      </w:r>
      <w:r w:rsidR="009B2963">
        <w:rPr>
          <w:rFonts w:ascii="Times New Roman" w:hAnsi="Times New Roman"/>
          <w:sz w:val="24"/>
          <w:szCs w:val="24"/>
        </w:rPr>
        <w:t>denied neither ever providing such an address nor</w:t>
      </w:r>
      <w:r>
        <w:rPr>
          <w:rFonts w:ascii="Times New Roman" w:hAnsi="Times New Roman"/>
          <w:sz w:val="24"/>
          <w:szCs w:val="24"/>
        </w:rPr>
        <w:t xml:space="preserve"> even entering into the agreement with the second </w:t>
      </w:r>
      <w:r w:rsidR="009B2963">
        <w:rPr>
          <w:rFonts w:ascii="Times New Roman" w:hAnsi="Times New Roman"/>
          <w:sz w:val="24"/>
          <w:szCs w:val="24"/>
        </w:rPr>
        <w:t>respondent. Her</w:t>
      </w:r>
      <w:r>
        <w:rPr>
          <w:rFonts w:ascii="Times New Roman" w:hAnsi="Times New Roman"/>
          <w:sz w:val="24"/>
          <w:szCs w:val="24"/>
        </w:rPr>
        <w:t xml:space="preserve"> address is different from what was set out in the agreement of sale.</w:t>
      </w:r>
    </w:p>
    <w:p w14:paraId="221B0361" w14:textId="3C9123CF" w:rsidR="001A4C43" w:rsidRDefault="009B2963" w:rsidP="00093988">
      <w:pPr>
        <w:spacing w:after="0" w:line="360" w:lineRule="auto"/>
        <w:ind w:firstLine="720"/>
        <w:jc w:val="both"/>
        <w:rPr>
          <w:rFonts w:ascii="Times New Roman" w:hAnsi="Times New Roman"/>
          <w:sz w:val="24"/>
          <w:szCs w:val="24"/>
        </w:rPr>
      </w:pPr>
      <w:r>
        <w:rPr>
          <w:rFonts w:ascii="Times New Roman" w:hAnsi="Times New Roman"/>
          <w:sz w:val="24"/>
          <w:szCs w:val="24"/>
        </w:rPr>
        <w:t xml:space="preserve">Secondly the identity number on the agreement of sale is not the </w:t>
      </w:r>
      <w:r w:rsidR="001F73D1">
        <w:rPr>
          <w:rFonts w:ascii="Times New Roman" w:hAnsi="Times New Roman"/>
          <w:sz w:val="24"/>
          <w:szCs w:val="24"/>
        </w:rPr>
        <w:t>applicant’s. The</w:t>
      </w:r>
      <w:r w:rsidR="007537B1">
        <w:rPr>
          <w:rFonts w:ascii="Times New Roman" w:hAnsi="Times New Roman"/>
          <w:sz w:val="24"/>
          <w:szCs w:val="24"/>
        </w:rPr>
        <w:t xml:space="preserve"> applicant’s identity number</w:t>
      </w:r>
      <w:r>
        <w:rPr>
          <w:rFonts w:ascii="Times New Roman" w:hAnsi="Times New Roman"/>
          <w:sz w:val="24"/>
          <w:szCs w:val="24"/>
        </w:rPr>
        <w:t xml:space="preserve"> reflected on a page of her Passport filed of record is</w:t>
      </w:r>
      <w:r w:rsidRPr="009B2963">
        <w:rPr>
          <w:rFonts w:ascii="Times New Roman" w:hAnsi="Times New Roman"/>
          <w:sz w:val="24"/>
          <w:szCs w:val="24"/>
        </w:rPr>
        <w:t xml:space="preserve"> 63-127484E34</w:t>
      </w:r>
      <w:r>
        <w:rPr>
          <w:rFonts w:ascii="Times New Roman" w:hAnsi="Times New Roman"/>
          <w:sz w:val="24"/>
          <w:szCs w:val="24"/>
        </w:rPr>
        <w:t xml:space="preserve"> yet the agreement of sale reflects 63</w:t>
      </w:r>
      <w:r w:rsidR="007537B1">
        <w:rPr>
          <w:rFonts w:ascii="Times New Roman" w:hAnsi="Times New Roman"/>
          <w:sz w:val="24"/>
          <w:szCs w:val="24"/>
        </w:rPr>
        <w:t>-</w:t>
      </w:r>
      <w:r>
        <w:rPr>
          <w:rFonts w:ascii="Times New Roman" w:hAnsi="Times New Roman"/>
          <w:sz w:val="24"/>
          <w:szCs w:val="24"/>
        </w:rPr>
        <w:t xml:space="preserve">114813D47 as the applicant’s </w:t>
      </w:r>
      <w:r w:rsidR="004F39DE">
        <w:rPr>
          <w:rFonts w:ascii="Times New Roman" w:hAnsi="Times New Roman"/>
          <w:sz w:val="24"/>
          <w:szCs w:val="24"/>
        </w:rPr>
        <w:t>identit</w:t>
      </w:r>
      <w:r w:rsidR="007537B1">
        <w:rPr>
          <w:rFonts w:ascii="Times New Roman" w:hAnsi="Times New Roman"/>
          <w:sz w:val="24"/>
          <w:szCs w:val="24"/>
        </w:rPr>
        <w:t xml:space="preserve">y </w:t>
      </w:r>
      <w:r w:rsidR="001A4C43">
        <w:rPr>
          <w:rFonts w:ascii="Times New Roman" w:hAnsi="Times New Roman"/>
          <w:sz w:val="24"/>
          <w:szCs w:val="24"/>
        </w:rPr>
        <w:t xml:space="preserve">number. </w:t>
      </w:r>
    </w:p>
    <w:p w14:paraId="2D0833D9" w14:textId="7C426AEE" w:rsidR="009B2963" w:rsidRDefault="001A4C43" w:rsidP="00093988">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w:t>
      </w:r>
      <w:r w:rsidR="004F39DE">
        <w:rPr>
          <w:rFonts w:ascii="Times New Roman" w:hAnsi="Times New Roman"/>
          <w:sz w:val="24"/>
          <w:szCs w:val="24"/>
        </w:rPr>
        <w:t>discrepancy in the identification of the applicant’s address and her identity number raises a suspicion that the</w:t>
      </w:r>
      <w:r>
        <w:rPr>
          <w:rFonts w:ascii="Times New Roman" w:hAnsi="Times New Roman"/>
          <w:sz w:val="24"/>
          <w:szCs w:val="24"/>
        </w:rPr>
        <w:t xml:space="preserve"> second respondent may not have dealt with the </w:t>
      </w:r>
      <w:r w:rsidR="004F39DE">
        <w:rPr>
          <w:rFonts w:ascii="Times New Roman" w:hAnsi="Times New Roman"/>
          <w:sz w:val="24"/>
          <w:szCs w:val="24"/>
        </w:rPr>
        <w:t xml:space="preserve">applicant. It was not even suggested that </w:t>
      </w:r>
      <w:r w:rsidR="001F73D1">
        <w:rPr>
          <w:rFonts w:ascii="Times New Roman" w:hAnsi="Times New Roman"/>
          <w:sz w:val="24"/>
          <w:szCs w:val="24"/>
        </w:rPr>
        <w:t>the</w:t>
      </w:r>
      <w:r w:rsidR="004F39DE">
        <w:rPr>
          <w:rFonts w:ascii="Times New Roman" w:hAnsi="Times New Roman"/>
          <w:sz w:val="24"/>
          <w:szCs w:val="24"/>
        </w:rPr>
        <w:t xml:space="preserve"> applicant could have misrepresented her credentials </w:t>
      </w:r>
      <w:r>
        <w:rPr>
          <w:rFonts w:ascii="Times New Roman" w:hAnsi="Times New Roman"/>
          <w:sz w:val="24"/>
          <w:szCs w:val="24"/>
        </w:rPr>
        <w:t xml:space="preserve"> </w:t>
      </w:r>
    </w:p>
    <w:p w14:paraId="77E7FCEB" w14:textId="7429C7B4" w:rsidR="004C135B" w:rsidRDefault="004C135B" w:rsidP="00093988">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applicant also demonstrated that at or about the 14 November 2006 she was not in </w:t>
      </w:r>
      <w:r w:rsidR="004F39DE">
        <w:rPr>
          <w:rFonts w:ascii="Times New Roman" w:hAnsi="Times New Roman"/>
          <w:sz w:val="24"/>
          <w:szCs w:val="24"/>
        </w:rPr>
        <w:t>Zimbabwe. An</w:t>
      </w:r>
      <w:r w:rsidR="00F64B5C">
        <w:rPr>
          <w:rFonts w:ascii="Times New Roman" w:hAnsi="Times New Roman"/>
          <w:sz w:val="24"/>
          <w:szCs w:val="24"/>
        </w:rPr>
        <w:t xml:space="preserve"> extract from her employment records show that from 14 to 20 November 2006 the applicant was on sick leave. It can be safely concluded that she was in the USA and was sick. This evidence was not controverted. It therefore admits </w:t>
      </w:r>
      <w:r w:rsidR="004F39DE">
        <w:rPr>
          <w:rFonts w:ascii="Times New Roman" w:hAnsi="Times New Roman"/>
          <w:sz w:val="24"/>
          <w:szCs w:val="24"/>
        </w:rPr>
        <w:t>o</w:t>
      </w:r>
      <w:r w:rsidR="00F64B5C">
        <w:rPr>
          <w:rFonts w:ascii="Times New Roman" w:hAnsi="Times New Roman"/>
          <w:sz w:val="24"/>
          <w:szCs w:val="24"/>
        </w:rPr>
        <w:t>f no doubt that the applicant could</w:t>
      </w:r>
      <w:r w:rsidR="004F39DE">
        <w:rPr>
          <w:rFonts w:ascii="Times New Roman" w:hAnsi="Times New Roman"/>
          <w:sz w:val="24"/>
          <w:szCs w:val="24"/>
        </w:rPr>
        <w:t xml:space="preserve"> not</w:t>
      </w:r>
      <w:r w:rsidR="00F64B5C">
        <w:rPr>
          <w:rFonts w:ascii="Times New Roman" w:hAnsi="Times New Roman"/>
          <w:sz w:val="24"/>
          <w:szCs w:val="24"/>
        </w:rPr>
        <w:t xml:space="preserve"> have been in Zimbabwe signing the agreement of sale on the 14</w:t>
      </w:r>
      <w:r w:rsidR="00245C4D">
        <w:rPr>
          <w:rFonts w:ascii="Times New Roman" w:hAnsi="Times New Roman"/>
          <w:sz w:val="24"/>
          <w:szCs w:val="24"/>
          <w:vertAlign w:val="superscript"/>
        </w:rPr>
        <w:t xml:space="preserve"> </w:t>
      </w:r>
      <w:r w:rsidR="00F64B5C">
        <w:rPr>
          <w:rFonts w:ascii="Times New Roman" w:hAnsi="Times New Roman"/>
          <w:sz w:val="24"/>
          <w:szCs w:val="24"/>
        </w:rPr>
        <w:t xml:space="preserve">November 2006 and be sick </w:t>
      </w:r>
      <w:r w:rsidR="004F39DE">
        <w:rPr>
          <w:rFonts w:ascii="Times New Roman" w:hAnsi="Times New Roman"/>
          <w:sz w:val="24"/>
          <w:szCs w:val="24"/>
        </w:rPr>
        <w:t>in</w:t>
      </w:r>
      <w:r w:rsidR="00F64B5C">
        <w:rPr>
          <w:rFonts w:ascii="Times New Roman" w:hAnsi="Times New Roman"/>
          <w:sz w:val="24"/>
          <w:szCs w:val="24"/>
        </w:rPr>
        <w:t xml:space="preserve"> the USA.</w:t>
      </w:r>
    </w:p>
    <w:p w14:paraId="41FD0D24" w14:textId="0385E010" w:rsidR="007537B1" w:rsidRDefault="009B2963" w:rsidP="00093988">
      <w:pPr>
        <w:spacing w:after="0" w:line="360" w:lineRule="auto"/>
        <w:ind w:firstLine="720"/>
        <w:jc w:val="both"/>
        <w:rPr>
          <w:rFonts w:ascii="Times New Roman" w:hAnsi="Times New Roman"/>
          <w:sz w:val="24"/>
          <w:szCs w:val="24"/>
        </w:rPr>
      </w:pPr>
      <w:r>
        <w:rPr>
          <w:rFonts w:ascii="Times New Roman" w:hAnsi="Times New Roman"/>
          <w:sz w:val="24"/>
          <w:szCs w:val="24"/>
        </w:rPr>
        <w:t xml:space="preserve">Lastly the applicant denied that she affixed her signature on the agreement of sale. To support this averment she attached the FDE report. The affidavit was compiled by one Alec Kaguru a Digital Forensics Expert. He examined the signature on the agreement of sale and 15 other samples of the applicant’s signatures </w:t>
      </w:r>
      <w:r w:rsidR="00F84C7F">
        <w:rPr>
          <w:rFonts w:ascii="Times New Roman" w:hAnsi="Times New Roman"/>
          <w:sz w:val="24"/>
          <w:szCs w:val="24"/>
        </w:rPr>
        <w:t>from documents she signed in 2000, 2006, 2013,</w:t>
      </w:r>
      <w:r w:rsidR="00245C4D">
        <w:rPr>
          <w:rFonts w:ascii="Times New Roman" w:hAnsi="Times New Roman"/>
          <w:sz w:val="24"/>
          <w:szCs w:val="24"/>
        </w:rPr>
        <w:t xml:space="preserve"> </w:t>
      </w:r>
      <w:r w:rsidR="00F84C7F">
        <w:rPr>
          <w:rFonts w:ascii="Times New Roman" w:hAnsi="Times New Roman"/>
          <w:sz w:val="24"/>
          <w:szCs w:val="24"/>
        </w:rPr>
        <w:t>2014,2015,</w:t>
      </w:r>
      <w:r w:rsidR="00245C4D">
        <w:rPr>
          <w:rFonts w:ascii="Times New Roman" w:hAnsi="Times New Roman"/>
          <w:sz w:val="24"/>
          <w:szCs w:val="24"/>
        </w:rPr>
        <w:t xml:space="preserve"> </w:t>
      </w:r>
      <w:r w:rsidR="00F84C7F">
        <w:rPr>
          <w:rFonts w:ascii="Times New Roman" w:hAnsi="Times New Roman"/>
          <w:sz w:val="24"/>
          <w:szCs w:val="24"/>
        </w:rPr>
        <w:t xml:space="preserve">2016, 2017 and 2018. Most of the documents are business documents </w:t>
      </w:r>
      <w:r w:rsidR="004F39DE">
        <w:rPr>
          <w:rFonts w:ascii="Times New Roman" w:hAnsi="Times New Roman"/>
          <w:sz w:val="24"/>
          <w:szCs w:val="24"/>
        </w:rPr>
        <w:t xml:space="preserve">for instance </w:t>
      </w:r>
      <w:r w:rsidR="00F84C7F">
        <w:rPr>
          <w:rFonts w:ascii="Times New Roman" w:hAnsi="Times New Roman"/>
          <w:sz w:val="24"/>
          <w:szCs w:val="24"/>
        </w:rPr>
        <w:t xml:space="preserve">one signed in 2017 is a Software License Agreement, a Power of Attorney signed in 2018 and a Contract Acknowledgement and Acceptance signed in 2018. Using </w:t>
      </w:r>
      <w:r w:rsidR="004C135B">
        <w:rPr>
          <w:rFonts w:ascii="Times New Roman" w:hAnsi="Times New Roman"/>
          <w:sz w:val="24"/>
          <w:szCs w:val="24"/>
        </w:rPr>
        <w:t>acceptable methods</w:t>
      </w:r>
      <w:r w:rsidR="00F84C7F">
        <w:rPr>
          <w:rFonts w:ascii="Times New Roman" w:hAnsi="Times New Roman"/>
          <w:sz w:val="24"/>
          <w:szCs w:val="24"/>
        </w:rPr>
        <w:t xml:space="preserve"> embraced in their </w:t>
      </w:r>
      <w:r w:rsidR="00F64B5C">
        <w:rPr>
          <w:rFonts w:ascii="Times New Roman" w:hAnsi="Times New Roman"/>
          <w:sz w:val="24"/>
          <w:szCs w:val="24"/>
        </w:rPr>
        <w:t>field the</w:t>
      </w:r>
      <w:r w:rsidR="00F84C7F">
        <w:rPr>
          <w:rFonts w:ascii="Times New Roman" w:hAnsi="Times New Roman"/>
          <w:sz w:val="24"/>
          <w:szCs w:val="24"/>
        </w:rPr>
        <w:t xml:space="preserve"> expert opinion was that the</w:t>
      </w:r>
      <w:r w:rsidR="004C135B">
        <w:rPr>
          <w:rFonts w:ascii="Times New Roman" w:hAnsi="Times New Roman"/>
          <w:sz w:val="24"/>
          <w:szCs w:val="24"/>
        </w:rPr>
        <w:t xml:space="preserve"> author of the</w:t>
      </w:r>
      <w:r w:rsidR="00F84C7F">
        <w:rPr>
          <w:rFonts w:ascii="Times New Roman" w:hAnsi="Times New Roman"/>
          <w:sz w:val="24"/>
          <w:szCs w:val="24"/>
        </w:rPr>
        <w:t xml:space="preserve"> signature on the agreement of </w:t>
      </w:r>
      <w:r w:rsidR="00F64B5C">
        <w:rPr>
          <w:rFonts w:ascii="Times New Roman" w:hAnsi="Times New Roman"/>
          <w:sz w:val="24"/>
          <w:szCs w:val="24"/>
        </w:rPr>
        <w:t>sale is</w:t>
      </w:r>
      <w:r w:rsidR="004C135B">
        <w:rPr>
          <w:rFonts w:ascii="Times New Roman" w:hAnsi="Times New Roman"/>
          <w:sz w:val="24"/>
          <w:szCs w:val="24"/>
        </w:rPr>
        <w:t xml:space="preserve"> not the person who signed the fifteen documents submitted for </w:t>
      </w:r>
      <w:r w:rsidR="00F64B5C">
        <w:rPr>
          <w:rFonts w:ascii="Times New Roman" w:hAnsi="Times New Roman"/>
          <w:sz w:val="24"/>
          <w:szCs w:val="24"/>
        </w:rPr>
        <w:t xml:space="preserve">examination. This evidence was not seriously controverted. The respondent simply insisted that the applicant signed the document. Where an expert opinion is provided it cannot be disproved by a simple averment. The respondent must lay some valid foundation challenging such an opinion. In the </w:t>
      </w:r>
      <w:r w:rsidR="00F64B5C">
        <w:rPr>
          <w:rFonts w:ascii="Times New Roman" w:hAnsi="Times New Roman"/>
          <w:sz w:val="24"/>
          <w:szCs w:val="24"/>
        </w:rPr>
        <w:lastRenderedPageBreak/>
        <w:t xml:space="preserve">absence of </w:t>
      </w:r>
      <w:r w:rsidR="003A00EA">
        <w:rPr>
          <w:rFonts w:ascii="Times New Roman" w:hAnsi="Times New Roman"/>
          <w:sz w:val="24"/>
          <w:szCs w:val="24"/>
        </w:rPr>
        <w:t>such,</w:t>
      </w:r>
      <w:r w:rsidR="00F64B5C">
        <w:rPr>
          <w:rFonts w:ascii="Times New Roman" w:hAnsi="Times New Roman"/>
          <w:sz w:val="24"/>
          <w:szCs w:val="24"/>
        </w:rPr>
        <w:t xml:space="preserve"> the court accepts that the applicant did not sign the agreement of sale</w:t>
      </w:r>
      <w:r w:rsidR="004F39DE">
        <w:rPr>
          <w:rFonts w:ascii="Times New Roman" w:hAnsi="Times New Roman"/>
          <w:sz w:val="24"/>
          <w:szCs w:val="24"/>
        </w:rPr>
        <w:t xml:space="preserve"> she is alleged to have concluded with the second respondent.</w:t>
      </w:r>
    </w:p>
    <w:p w14:paraId="6BBD5240" w14:textId="3807E8F2" w:rsidR="00B634ED" w:rsidRDefault="001A4C43" w:rsidP="00093988">
      <w:pPr>
        <w:spacing w:after="0" w:line="360" w:lineRule="auto"/>
        <w:ind w:firstLine="720"/>
        <w:jc w:val="both"/>
        <w:rPr>
          <w:rFonts w:ascii="Times New Roman" w:hAnsi="Times New Roman"/>
          <w:sz w:val="24"/>
          <w:szCs w:val="24"/>
        </w:rPr>
      </w:pPr>
      <w:r>
        <w:rPr>
          <w:rFonts w:ascii="Times New Roman" w:hAnsi="Times New Roman"/>
          <w:sz w:val="24"/>
          <w:szCs w:val="24"/>
        </w:rPr>
        <w:t>In the result, the applicant has</w:t>
      </w:r>
      <w:r w:rsidR="003A00EA">
        <w:rPr>
          <w:rFonts w:ascii="Times New Roman" w:hAnsi="Times New Roman"/>
          <w:sz w:val="24"/>
          <w:szCs w:val="24"/>
        </w:rPr>
        <w:t xml:space="preserve"> demonstrated that she has an existing right</w:t>
      </w:r>
      <w:r>
        <w:rPr>
          <w:rFonts w:ascii="Times New Roman" w:hAnsi="Times New Roman"/>
          <w:sz w:val="24"/>
          <w:szCs w:val="24"/>
        </w:rPr>
        <w:t xml:space="preserve"> derived from the Deed of Transfer that she holds; she is the owner of the property. The property having been sold without her consent, she has a right to </w:t>
      </w:r>
      <w:r w:rsidR="00B634ED">
        <w:rPr>
          <w:rFonts w:ascii="Times New Roman" w:hAnsi="Times New Roman"/>
          <w:sz w:val="24"/>
          <w:szCs w:val="24"/>
        </w:rPr>
        <w:t xml:space="preserve">recover </w:t>
      </w:r>
      <w:r>
        <w:rPr>
          <w:rFonts w:ascii="Times New Roman" w:hAnsi="Times New Roman"/>
          <w:sz w:val="24"/>
          <w:szCs w:val="24"/>
        </w:rPr>
        <w:t xml:space="preserve">the property from whosoever is in possession of it. This is the </w:t>
      </w:r>
      <w:r w:rsidR="00B634ED">
        <w:rPr>
          <w:rFonts w:ascii="Times New Roman" w:hAnsi="Times New Roman"/>
          <w:sz w:val="24"/>
          <w:szCs w:val="24"/>
        </w:rPr>
        <w:t xml:space="preserve">very essence of the </w:t>
      </w:r>
      <w:r w:rsidR="00B634ED" w:rsidRPr="00B634ED">
        <w:rPr>
          <w:rFonts w:ascii="Times New Roman" w:hAnsi="Times New Roman"/>
          <w:i/>
          <w:sz w:val="24"/>
          <w:szCs w:val="24"/>
        </w:rPr>
        <w:t>rei vindicatio</w:t>
      </w:r>
      <w:r w:rsidR="00B634ED">
        <w:rPr>
          <w:rFonts w:ascii="Times New Roman" w:hAnsi="Times New Roman"/>
          <w:sz w:val="24"/>
          <w:szCs w:val="24"/>
        </w:rPr>
        <w:t xml:space="preserve"> principle. I have already set out the principle and how it is applicable in this </w:t>
      </w:r>
      <w:r w:rsidR="003A00EA">
        <w:rPr>
          <w:rFonts w:ascii="Times New Roman" w:hAnsi="Times New Roman"/>
          <w:sz w:val="24"/>
          <w:szCs w:val="24"/>
        </w:rPr>
        <w:t>case. See</w:t>
      </w:r>
      <w:r w:rsidR="00B634ED" w:rsidRPr="00B634ED">
        <w:rPr>
          <w:rFonts w:ascii="Times New Roman" w:hAnsi="Times New Roman"/>
          <w:i/>
          <w:sz w:val="24"/>
          <w:szCs w:val="24"/>
        </w:rPr>
        <w:t xml:space="preserve"> Nzara &amp;Ors v Kashumba &amp; Ors</w:t>
      </w:r>
      <w:r w:rsidR="00B634ED">
        <w:rPr>
          <w:rFonts w:ascii="Times New Roman" w:hAnsi="Times New Roman"/>
          <w:i/>
          <w:sz w:val="24"/>
          <w:szCs w:val="24"/>
        </w:rPr>
        <w:t xml:space="preserve"> (supra).</w:t>
      </w:r>
      <w:r>
        <w:rPr>
          <w:rFonts w:ascii="Times New Roman" w:hAnsi="Times New Roman"/>
          <w:sz w:val="24"/>
          <w:szCs w:val="24"/>
        </w:rPr>
        <w:t xml:space="preserve"> </w:t>
      </w:r>
      <w:r w:rsidR="000343ED">
        <w:rPr>
          <w:rFonts w:ascii="Times New Roman" w:hAnsi="Times New Roman"/>
          <w:sz w:val="24"/>
          <w:szCs w:val="24"/>
        </w:rPr>
        <w:t>In terms of the law, once the first agreement of sale is found to be invalid, as in this case the subsequent sale agreement fall</w:t>
      </w:r>
      <w:r w:rsidR="003A00EA">
        <w:rPr>
          <w:rFonts w:ascii="Times New Roman" w:hAnsi="Times New Roman"/>
          <w:sz w:val="24"/>
          <w:szCs w:val="24"/>
        </w:rPr>
        <w:t>s</w:t>
      </w:r>
      <w:r w:rsidR="000343ED">
        <w:rPr>
          <w:rFonts w:ascii="Times New Roman" w:hAnsi="Times New Roman"/>
          <w:sz w:val="24"/>
          <w:szCs w:val="24"/>
        </w:rPr>
        <w:t xml:space="preserve"> away too. Nothing can stand </w:t>
      </w:r>
      <w:r w:rsidR="00082F3F">
        <w:rPr>
          <w:rFonts w:ascii="Times New Roman" w:hAnsi="Times New Roman"/>
          <w:sz w:val="24"/>
          <w:szCs w:val="24"/>
        </w:rPr>
        <w:t>on</w:t>
      </w:r>
      <w:r w:rsidR="001F73D1">
        <w:rPr>
          <w:rFonts w:ascii="Times New Roman" w:hAnsi="Times New Roman"/>
          <w:sz w:val="24"/>
          <w:szCs w:val="24"/>
        </w:rPr>
        <w:t xml:space="preserve"> an</w:t>
      </w:r>
      <w:r w:rsidR="00082F3F">
        <w:rPr>
          <w:rFonts w:ascii="Times New Roman" w:hAnsi="Times New Roman"/>
          <w:sz w:val="24"/>
          <w:szCs w:val="24"/>
        </w:rPr>
        <w:t xml:space="preserve"> invalidity</w:t>
      </w:r>
      <w:r w:rsidR="000343ED">
        <w:rPr>
          <w:rFonts w:ascii="Times New Roman" w:hAnsi="Times New Roman"/>
          <w:sz w:val="24"/>
          <w:szCs w:val="24"/>
        </w:rPr>
        <w:t>, it would surely collapse. This means the agreement between the second respondent and the first resp</w:t>
      </w:r>
      <w:r w:rsidR="00082F3F">
        <w:rPr>
          <w:rFonts w:ascii="Times New Roman" w:hAnsi="Times New Roman"/>
          <w:sz w:val="24"/>
          <w:szCs w:val="24"/>
        </w:rPr>
        <w:t>ondent must be declared invalid.</w:t>
      </w:r>
    </w:p>
    <w:p w14:paraId="018EBC4A" w14:textId="341068AB" w:rsidR="00082F3F" w:rsidRDefault="00082F3F" w:rsidP="00093988">
      <w:pPr>
        <w:spacing w:after="0" w:line="360" w:lineRule="auto"/>
        <w:ind w:firstLine="720"/>
        <w:jc w:val="both"/>
        <w:rPr>
          <w:rFonts w:ascii="Times New Roman" w:hAnsi="Times New Roman"/>
          <w:sz w:val="24"/>
          <w:szCs w:val="24"/>
        </w:rPr>
      </w:pPr>
      <w:r>
        <w:rPr>
          <w:rFonts w:ascii="Times New Roman" w:hAnsi="Times New Roman"/>
          <w:sz w:val="24"/>
          <w:szCs w:val="24"/>
        </w:rPr>
        <w:t>The court is satisfied that the applicant has discharged the onus on her.</w:t>
      </w:r>
    </w:p>
    <w:p w14:paraId="59094F2B" w14:textId="35B21BFD" w:rsidR="00B634ED" w:rsidRDefault="00B634ED" w:rsidP="00093988">
      <w:pPr>
        <w:spacing w:after="0" w:line="360" w:lineRule="auto"/>
        <w:ind w:firstLine="720"/>
        <w:jc w:val="both"/>
        <w:rPr>
          <w:rFonts w:ascii="Times New Roman" w:hAnsi="Times New Roman"/>
          <w:sz w:val="24"/>
          <w:szCs w:val="24"/>
        </w:rPr>
      </w:pPr>
      <w:r>
        <w:rPr>
          <w:rFonts w:ascii="Times New Roman" w:hAnsi="Times New Roman"/>
          <w:sz w:val="24"/>
          <w:szCs w:val="24"/>
        </w:rPr>
        <w:t>The applicant requested for costs against the first and second respondents. I find no justification to order costs against any of the parties. In my view the second respondent was a victim of some fraudsters. Similarly</w:t>
      </w:r>
      <w:r w:rsidR="00245C4D">
        <w:rPr>
          <w:rFonts w:ascii="Times New Roman" w:hAnsi="Times New Roman"/>
          <w:sz w:val="24"/>
          <w:szCs w:val="24"/>
        </w:rPr>
        <w:t>,</w:t>
      </w:r>
      <w:r>
        <w:rPr>
          <w:rFonts w:ascii="Times New Roman" w:hAnsi="Times New Roman"/>
          <w:sz w:val="24"/>
          <w:szCs w:val="24"/>
        </w:rPr>
        <w:t xml:space="preserve"> the first respondent unknowingly purchased property with a tainted </w:t>
      </w:r>
      <w:r w:rsidR="003A00EA">
        <w:rPr>
          <w:rFonts w:ascii="Times New Roman" w:hAnsi="Times New Roman"/>
          <w:sz w:val="24"/>
          <w:szCs w:val="24"/>
        </w:rPr>
        <w:t xml:space="preserve">title. This case is one of the many cases that courts deal with times without number where the unscrupulous in our society reap where they did not sow by selling houses that do not belong to them. This is a clarion call to the purchasers, legal practitioners involved in sale transactions and indeed all involved in the sale of immovable property to come up with systems that protect purchasers. </w:t>
      </w:r>
      <w:r>
        <w:rPr>
          <w:rFonts w:ascii="Times New Roman" w:hAnsi="Times New Roman"/>
          <w:sz w:val="24"/>
          <w:szCs w:val="24"/>
        </w:rPr>
        <w:t xml:space="preserve">  </w:t>
      </w:r>
    </w:p>
    <w:p w14:paraId="33BBABC7" w14:textId="2F3350A6" w:rsidR="00F9546C" w:rsidRDefault="00B634ED" w:rsidP="00093988">
      <w:pPr>
        <w:spacing w:after="0" w:line="360" w:lineRule="auto"/>
        <w:ind w:firstLine="720"/>
        <w:jc w:val="both"/>
        <w:rPr>
          <w:rFonts w:ascii="Times New Roman" w:hAnsi="Times New Roman"/>
          <w:sz w:val="24"/>
          <w:szCs w:val="24"/>
        </w:rPr>
      </w:pPr>
      <w:r>
        <w:rPr>
          <w:rFonts w:ascii="Times New Roman" w:hAnsi="Times New Roman"/>
          <w:sz w:val="24"/>
          <w:szCs w:val="24"/>
        </w:rPr>
        <w:t xml:space="preserve">From the </w:t>
      </w:r>
      <w:r w:rsidR="001F7B54">
        <w:rPr>
          <w:rFonts w:ascii="Times New Roman" w:hAnsi="Times New Roman"/>
          <w:sz w:val="24"/>
          <w:szCs w:val="24"/>
        </w:rPr>
        <w:t>foregoing the</w:t>
      </w:r>
      <w:r>
        <w:rPr>
          <w:rFonts w:ascii="Times New Roman" w:hAnsi="Times New Roman"/>
          <w:sz w:val="24"/>
          <w:szCs w:val="24"/>
        </w:rPr>
        <w:t xml:space="preserve"> following order is made.</w:t>
      </w:r>
    </w:p>
    <w:p w14:paraId="1D184E3A" w14:textId="3FED1F28" w:rsidR="000343ED" w:rsidRPr="00DF7AF3" w:rsidRDefault="00F9546C" w:rsidP="00245C4D">
      <w:pPr>
        <w:spacing w:after="0" w:line="360" w:lineRule="auto"/>
        <w:jc w:val="both"/>
        <w:rPr>
          <w:rFonts w:ascii="Times New Roman" w:hAnsi="Times New Roman"/>
          <w:sz w:val="24"/>
          <w:szCs w:val="24"/>
        </w:rPr>
      </w:pPr>
      <w:r w:rsidRPr="00DF7AF3">
        <w:rPr>
          <w:rFonts w:ascii="Times New Roman" w:hAnsi="Times New Roman"/>
          <w:sz w:val="24"/>
          <w:szCs w:val="24"/>
        </w:rPr>
        <w:t>The application</w:t>
      </w:r>
      <w:r w:rsidR="00082F3F">
        <w:rPr>
          <w:rFonts w:ascii="Times New Roman" w:hAnsi="Times New Roman"/>
          <w:sz w:val="24"/>
          <w:szCs w:val="24"/>
        </w:rPr>
        <w:t xml:space="preserve"> as follows</w:t>
      </w:r>
      <w:r w:rsidR="00245C4D">
        <w:rPr>
          <w:rFonts w:ascii="Times New Roman" w:hAnsi="Times New Roman"/>
          <w:sz w:val="24"/>
          <w:szCs w:val="24"/>
        </w:rPr>
        <w:t>:</w:t>
      </w:r>
    </w:p>
    <w:p w14:paraId="6D868CD0" w14:textId="070F0006" w:rsidR="00BE5180" w:rsidRDefault="00BE5180" w:rsidP="00BE5180">
      <w:pPr>
        <w:pStyle w:val="ListParagraph"/>
        <w:numPr>
          <w:ilvl w:val="0"/>
          <w:numId w:val="6"/>
        </w:numPr>
        <w:spacing w:after="0" w:line="360" w:lineRule="auto"/>
        <w:jc w:val="both"/>
        <w:rPr>
          <w:rFonts w:ascii="Times New Roman" w:hAnsi="Times New Roman"/>
          <w:sz w:val="24"/>
          <w:szCs w:val="24"/>
        </w:rPr>
      </w:pPr>
      <w:r>
        <w:rPr>
          <w:rFonts w:ascii="Times New Roman" w:hAnsi="Times New Roman"/>
          <w:sz w:val="24"/>
          <w:szCs w:val="24"/>
        </w:rPr>
        <w:t>The Deed of Transfer No. 1894/2017 in favour of the 2</w:t>
      </w:r>
      <w:r w:rsidRPr="00BE5180">
        <w:rPr>
          <w:rFonts w:ascii="Times New Roman" w:hAnsi="Times New Roman"/>
          <w:sz w:val="24"/>
          <w:szCs w:val="24"/>
          <w:vertAlign w:val="superscript"/>
        </w:rPr>
        <w:t>nd</w:t>
      </w:r>
      <w:r>
        <w:rPr>
          <w:rFonts w:ascii="Times New Roman" w:hAnsi="Times New Roman"/>
          <w:sz w:val="24"/>
          <w:szCs w:val="24"/>
        </w:rPr>
        <w:t xml:space="preserve"> respondent and 1</w:t>
      </w:r>
      <w:r w:rsidRPr="00BE5180">
        <w:rPr>
          <w:rFonts w:ascii="Times New Roman" w:hAnsi="Times New Roman"/>
          <w:sz w:val="24"/>
          <w:szCs w:val="24"/>
          <w:vertAlign w:val="superscript"/>
        </w:rPr>
        <w:t>st</w:t>
      </w:r>
      <w:r>
        <w:rPr>
          <w:rFonts w:ascii="Times New Roman" w:hAnsi="Times New Roman"/>
          <w:sz w:val="24"/>
          <w:szCs w:val="24"/>
        </w:rPr>
        <w:t xml:space="preserve"> respondent respectively in </w:t>
      </w:r>
      <w:r w:rsidR="00082F3F">
        <w:rPr>
          <w:rFonts w:ascii="Times New Roman" w:hAnsi="Times New Roman"/>
          <w:sz w:val="24"/>
          <w:szCs w:val="24"/>
        </w:rPr>
        <w:t>respect</w:t>
      </w:r>
      <w:r>
        <w:rPr>
          <w:rFonts w:ascii="Times New Roman" w:hAnsi="Times New Roman"/>
          <w:sz w:val="24"/>
          <w:szCs w:val="24"/>
        </w:rPr>
        <w:t xml:space="preserve"> of the immovable property described as a certain 4651 square metres of land called Stand 363 </w:t>
      </w:r>
      <w:r w:rsidR="00082F3F">
        <w:rPr>
          <w:rFonts w:ascii="Times New Roman" w:hAnsi="Times New Roman"/>
          <w:sz w:val="24"/>
          <w:szCs w:val="24"/>
        </w:rPr>
        <w:t>Helensvale</w:t>
      </w:r>
      <w:r w:rsidR="00DF7AF3">
        <w:rPr>
          <w:rFonts w:ascii="Times New Roman" w:hAnsi="Times New Roman"/>
          <w:sz w:val="24"/>
          <w:szCs w:val="24"/>
        </w:rPr>
        <w:t xml:space="preserve"> Township situate in</w:t>
      </w:r>
      <w:r>
        <w:rPr>
          <w:rFonts w:ascii="Times New Roman" w:hAnsi="Times New Roman"/>
          <w:sz w:val="24"/>
          <w:szCs w:val="24"/>
        </w:rPr>
        <w:t xml:space="preserve"> the district of Salisbury, be and </w:t>
      </w:r>
      <w:r w:rsidR="00082F3F">
        <w:rPr>
          <w:rFonts w:ascii="Times New Roman" w:hAnsi="Times New Roman"/>
          <w:sz w:val="24"/>
          <w:szCs w:val="24"/>
        </w:rPr>
        <w:t>is</w:t>
      </w:r>
      <w:r>
        <w:rPr>
          <w:rFonts w:ascii="Times New Roman" w:hAnsi="Times New Roman"/>
          <w:sz w:val="24"/>
          <w:szCs w:val="24"/>
        </w:rPr>
        <w:t xml:space="preserve"> hereby declared null and void.</w:t>
      </w:r>
    </w:p>
    <w:p w14:paraId="037F217C" w14:textId="680163DF" w:rsidR="00BE5180" w:rsidRDefault="00BE5180" w:rsidP="00BE5180">
      <w:pPr>
        <w:pStyle w:val="ListParagraph"/>
        <w:numPr>
          <w:ilvl w:val="0"/>
          <w:numId w:val="6"/>
        </w:numPr>
        <w:spacing w:after="0" w:line="360" w:lineRule="auto"/>
        <w:jc w:val="both"/>
        <w:rPr>
          <w:rFonts w:ascii="Times New Roman" w:hAnsi="Times New Roman"/>
          <w:sz w:val="24"/>
          <w:szCs w:val="24"/>
        </w:rPr>
      </w:pPr>
      <w:r>
        <w:rPr>
          <w:rFonts w:ascii="Times New Roman" w:hAnsi="Times New Roman"/>
          <w:sz w:val="24"/>
          <w:szCs w:val="24"/>
        </w:rPr>
        <w:t>The 3</w:t>
      </w:r>
      <w:r w:rsidRPr="00BE5180">
        <w:rPr>
          <w:rFonts w:ascii="Times New Roman" w:hAnsi="Times New Roman"/>
          <w:sz w:val="24"/>
          <w:szCs w:val="24"/>
          <w:vertAlign w:val="superscript"/>
        </w:rPr>
        <w:t>rd</w:t>
      </w:r>
      <w:r>
        <w:rPr>
          <w:rFonts w:ascii="Times New Roman" w:hAnsi="Times New Roman"/>
          <w:sz w:val="24"/>
          <w:szCs w:val="24"/>
        </w:rPr>
        <w:t xml:space="preserve"> respondent is hereby directed to cancel Deed of Transfer No. </w:t>
      </w:r>
      <w:r w:rsidR="00082F3F">
        <w:rPr>
          <w:rFonts w:ascii="Times New Roman" w:hAnsi="Times New Roman"/>
          <w:sz w:val="24"/>
          <w:szCs w:val="24"/>
        </w:rPr>
        <w:t>1894</w:t>
      </w:r>
      <w:r>
        <w:rPr>
          <w:rFonts w:ascii="Times New Roman" w:hAnsi="Times New Roman"/>
          <w:sz w:val="24"/>
          <w:szCs w:val="24"/>
        </w:rPr>
        <w:t>/2017 in favour of the 2</w:t>
      </w:r>
      <w:r w:rsidRPr="00BE5180">
        <w:rPr>
          <w:rFonts w:ascii="Times New Roman" w:hAnsi="Times New Roman"/>
          <w:sz w:val="24"/>
          <w:szCs w:val="24"/>
          <w:vertAlign w:val="superscript"/>
        </w:rPr>
        <w:t>nd</w:t>
      </w:r>
      <w:r>
        <w:rPr>
          <w:rFonts w:ascii="Times New Roman" w:hAnsi="Times New Roman"/>
          <w:sz w:val="24"/>
          <w:szCs w:val="24"/>
        </w:rPr>
        <w:t xml:space="preserve"> respondent and 1</w:t>
      </w:r>
      <w:r w:rsidRPr="00BE5180">
        <w:rPr>
          <w:rFonts w:ascii="Times New Roman" w:hAnsi="Times New Roman"/>
          <w:sz w:val="24"/>
          <w:szCs w:val="24"/>
          <w:vertAlign w:val="superscript"/>
        </w:rPr>
        <w:t>st</w:t>
      </w:r>
      <w:r>
        <w:rPr>
          <w:rFonts w:ascii="Times New Roman" w:hAnsi="Times New Roman"/>
          <w:sz w:val="24"/>
          <w:szCs w:val="24"/>
        </w:rPr>
        <w:t xml:space="preserve"> respondent respectively in respect of the</w:t>
      </w:r>
      <w:r w:rsidR="0017418C">
        <w:rPr>
          <w:rFonts w:ascii="Times New Roman" w:hAnsi="Times New Roman"/>
          <w:sz w:val="24"/>
          <w:szCs w:val="24"/>
        </w:rPr>
        <w:t xml:space="preserve"> </w:t>
      </w:r>
      <w:r>
        <w:rPr>
          <w:rFonts w:ascii="Times New Roman" w:hAnsi="Times New Roman"/>
          <w:sz w:val="24"/>
          <w:szCs w:val="24"/>
        </w:rPr>
        <w:t>immovable property described as a certain</w:t>
      </w:r>
      <w:r w:rsidR="0017418C">
        <w:rPr>
          <w:rFonts w:ascii="Times New Roman" w:hAnsi="Times New Roman"/>
          <w:sz w:val="24"/>
          <w:szCs w:val="24"/>
        </w:rPr>
        <w:t xml:space="preserve"> 4651 square metres of land called</w:t>
      </w:r>
      <w:r w:rsidR="0017418C" w:rsidRPr="0017418C">
        <w:rPr>
          <w:rFonts w:ascii="Times New Roman" w:hAnsi="Times New Roman"/>
          <w:sz w:val="24"/>
          <w:szCs w:val="24"/>
        </w:rPr>
        <w:t xml:space="preserve"> </w:t>
      </w:r>
      <w:r w:rsidR="0017418C">
        <w:rPr>
          <w:rFonts w:ascii="Times New Roman" w:hAnsi="Times New Roman"/>
          <w:sz w:val="24"/>
          <w:szCs w:val="24"/>
        </w:rPr>
        <w:t>Stand 363 H</w:t>
      </w:r>
      <w:r w:rsidR="00DF7AF3">
        <w:rPr>
          <w:rFonts w:ascii="Times New Roman" w:hAnsi="Times New Roman"/>
          <w:sz w:val="24"/>
          <w:szCs w:val="24"/>
        </w:rPr>
        <w:t>elens</w:t>
      </w:r>
      <w:r w:rsidR="00082F3F">
        <w:rPr>
          <w:rFonts w:ascii="Times New Roman" w:hAnsi="Times New Roman"/>
          <w:sz w:val="24"/>
          <w:szCs w:val="24"/>
        </w:rPr>
        <w:t>v</w:t>
      </w:r>
      <w:r w:rsidR="00DF7AF3">
        <w:rPr>
          <w:rFonts w:ascii="Times New Roman" w:hAnsi="Times New Roman"/>
          <w:sz w:val="24"/>
          <w:szCs w:val="24"/>
        </w:rPr>
        <w:t xml:space="preserve">ale Township situate in </w:t>
      </w:r>
      <w:r w:rsidR="0017418C">
        <w:rPr>
          <w:rFonts w:ascii="Times New Roman" w:hAnsi="Times New Roman"/>
          <w:sz w:val="24"/>
          <w:szCs w:val="24"/>
        </w:rPr>
        <w:t xml:space="preserve">the district of Salisbury, and to make </w:t>
      </w:r>
      <w:r w:rsidR="0017418C">
        <w:rPr>
          <w:rFonts w:ascii="Times New Roman" w:hAnsi="Times New Roman"/>
          <w:sz w:val="24"/>
          <w:szCs w:val="24"/>
        </w:rPr>
        <w:lastRenderedPageBreak/>
        <w:t>any appropriate endorsements on the said Deed of Transfer and entries in his registers to reflect the said cancellations.</w:t>
      </w:r>
    </w:p>
    <w:p w14:paraId="0BC92BAE" w14:textId="23509F31" w:rsidR="0017418C" w:rsidRDefault="0017418C" w:rsidP="00BE5180">
      <w:pPr>
        <w:pStyle w:val="ListParagraph"/>
        <w:numPr>
          <w:ilvl w:val="0"/>
          <w:numId w:val="6"/>
        </w:numPr>
        <w:spacing w:after="0" w:line="360" w:lineRule="auto"/>
        <w:jc w:val="both"/>
        <w:rPr>
          <w:rFonts w:ascii="Times New Roman" w:hAnsi="Times New Roman"/>
          <w:sz w:val="24"/>
          <w:szCs w:val="24"/>
        </w:rPr>
      </w:pPr>
      <w:r>
        <w:rPr>
          <w:rFonts w:ascii="Times New Roman" w:hAnsi="Times New Roman"/>
          <w:sz w:val="24"/>
          <w:szCs w:val="24"/>
        </w:rPr>
        <w:t xml:space="preserve">The Deed of Transfer No. </w:t>
      </w:r>
      <w:r w:rsidR="00DF7AF3">
        <w:rPr>
          <w:rFonts w:ascii="Times New Roman" w:hAnsi="Times New Roman"/>
          <w:sz w:val="24"/>
          <w:szCs w:val="24"/>
        </w:rPr>
        <w:t>2111/98 is hereby declared the valid deed in respect of the immovable property described as a certain 4651 square metres of land called Stand 363 Helens</w:t>
      </w:r>
      <w:r w:rsidR="00082F3F">
        <w:rPr>
          <w:rFonts w:ascii="Times New Roman" w:hAnsi="Times New Roman"/>
          <w:sz w:val="24"/>
          <w:szCs w:val="24"/>
        </w:rPr>
        <w:t>vale</w:t>
      </w:r>
      <w:r w:rsidR="00DF7AF3">
        <w:rPr>
          <w:rFonts w:ascii="Times New Roman" w:hAnsi="Times New Roman"/>
          <w:sz w:val="24"/>
          <w:szCs w:val="24"/>
        </w:rPr>
        <w:t xml:space="preserve"> Township of Stand 3</w:t>
      </w:r>
      <w:r w:rsidR="00082F3F">
        <w:rPr>
          <w:rFonts w:ascii="Times New Roman" w:hAnsi="Times New Roman"/>
          <w:sz w:val="24"/>
          <w:szCs w:val="24"/>
        </w:rPr>
        <w:t>63</w:t>
      </w:r>
      <w:r w:rsidR="00DF7AF3">
        <w:rPr>
          <w:rFonts w:ascii="Times New Roman" w:hAnsi="Times New Roman"/>
          <w:sz w:val="24"/>
          <w:szCs w:val="24"/>
        </w:rPr>
        <w:t xml:space="preserve"> Helens</w:t>
      </w:r>
      <w:r w:rsidR="00082F3F">
        <w:rPr>
          <w:rFonts w:ascii="Times New Roman" w:hAnsi="Times New Roman"/>
          <w:sz w:val="24"/>
          <w:szCs w:val="24"/>
        </w:rPr>
        <w:t>v</w:t>
      </w:r>
      <w:r w:rsidR="00DF7AF3">
        <w:rPr>
          <w:rFonts w:ascii="Times New Roman" w:hAnsi="Times New Roman"/>
          <w:sz w:val="24"/>
          <w:szCs w:val="24"/>
        </w:rPr>
        <w:t>ale Township situate in the district of Salisbury.</w:t>
      </w:r>
    </w:p>
    <w:p w14:paraId="20C00F16" w14:textId="4E0A302D" w:rsidR="003D4E40" w:rsidRPr="003D4E40" w:rsidRDefault="00DF7AF3" w:rsidP="003D4E40">
      <w:pPr>
        <w:pStyle w:val="ListParagraph"/>
        <w:numPr>
          <w:ilvl w:val="0"/>
          <w:numId w:val="6"/>
        </w:numPr>
        <w:spacing w:after="0" w:line="360" w:lineRule="auto"/>
        <w:jc w:val="both"/>
        <w:rPr>
          <w:rFonts w:ascii="Times New Roman" w:hAnsi="Times New Roman"/>
          <w:sz w:val="24"/>
          <w:szCs w:val="24"/>
        </w:rPr>
      </w:pPr>
      <w:r>
        <w:rPr>
          <w:rFonts w:ascii="Times New Roman" w:hAnsi="Times New Roman"/>
          <w:sz w:val="24"/>
          <w:szCs w:val="24"/>
        </w:rPr>
        <w:t>The 1</w:t>
      </w:r>
      <w:r w:rsidRPr="00DF7AF3">
        <w:rPr>
          <w:rFonts w:ascii="Times New Roman" w:hAnsi="Times New Roman"/>
          <w:sz w:val="24"/>
          <w:szCs w:val="24"/>
          <w:vertAlign w:val="superscript"/>
        </w:rPr>
        <w:t>st</w:t>
      </w:r>
      <w:r>
        <w:rPr>
          <w:rFonts w:ascii="Times New Roman" w:hAnsi="Times New Roman"/>
          <w:sz w:val="24"/>
          <w:szCs w:val="24"/>
        </w:rPr>
        <w:t xml:space="preserve"> respondent and all those occupying through it the immovable property described as a certain 4651 square metres of land called Stand 363 Helens</w:t>
      </w:r>
      <w:r w:rsidR="00082F3F">
        <w:rPr>
          <w:rFonts w:ascii="Times New Roman" w:hAnsi="Times New Roman"/>
          <w:sz w:val="24"/>
          <w:szCs w:val="24"/>
        </w:rPr>
        <w:t>v</w:t>
      </w:r>
      <w:r>
        <w:rPr>
          <w:rFonts w:ascii="Times New Roman" w:hAnsi="Times New Roman"/>
          <w:sz w:val="24"/>
          <w:szCs w:val="24"/>
        </w:rPr>
        <w:t>ale Township of Stand 3</w:t>
      </w:r>
      <w:r w:rsidR="00082F3F">
        <w:rPr>
          <w:rFonts w:ascii="Times New Roman" w:hAnsi="Times New Roman"/>
          <w:sz w:val="24"/>
          <w:szCs w:val="24"/>
        </w:rPr>
        <w:t>63</w:t>
      </w:r>
      <w:r>
        <w:rPr>
          <w:rFonts w:ascii="Times New Roman" w:hAnsi="Times New Roman"/>
          <w:sz w:val="24"/>
          <w:szCs w:val="24"/>
        </w:rPr>
        <w:t xml:space="preserve"> Helens</w:t>
      </w:r>
      <w:r w:rsidR="00082F3F">
        <w:rPr>
          <w:rFonts w:ascii="Times New Roman" w:hAnsi="Times New Roman"/>
          <w:sz w:val="24"/>
          <w:szCs w:val="24"/>
        </w:rPr>
        <w:t>vale</w:t>
      </w:r>
      <w:r>
        <w:rPr>
          <w:rFonts w:ascii="Times New Roman" w:hAnsi="Times New Roman"/>
          <w:sz w:val="24"/>
          <w:szCs w:val="24"/>
        </w:rPr>
        <w:t xml:space="preserve"> Township situate in the district of Salisbury registered under Dee</w:t>
      </w:r>
      <w:r w:rsidR="00245C4D">
        <w:rPr>
          <w:rFonts w:ascii="Times New Roman" w:hAnsi="Times New Roman"/>
          <w:sz w:val="24"/>
          <w:szCs w:val="24"/>
        </w:rPr>
        <w:t xml:space="preserve">d of </w:t>
      </w:r>
      <w:r>
        <w:rPr>
          <w:rFonts w:ascii="Times New Roman" w:hAnsi="Times New Roman"/>
          <w:sz w:val="24"/>
          <w:szCs w:val="24"/>
        </w:rPr>
        <w:t>Transfer Number 2111/98, shall give vacant possession of the said property to the applicant within seven (7) days of this order, failing which the 4</w:t>
      </w:r>
      <w:r w:rsidRPr="00DF7AF3">
        <w:rPr>
          <w:rFonts w:ascii="Times New Roman" w:hAnsi="Times New Roman"/>
          <w:sz w:val="24"/>
          <w:szCs w:val="24"/>
          <w:vertAlign w:val="superscript"/>
        </w:rPr>
        <w:t>th</w:t>
      </w:r>
      <w:r>
        <w:rPr>
          <w:rFonts w:ascii="Times New Roman" w:hAnsi="Times New Roman"/>
          <w:sz w:val="24"/>
          <w:szCs w:val="24"/>
        </w:rPr>
        <w:t xml:space="preserve"> respondent or his lawful deputy</w:t>
      </w:r>
      <w:r w:rsidR="003D4E40">
        <w:rPr>
          <w:rFonts w:ascii="Times New Roman" w:hAnsi="Times New Roman"/>
          <w:sz w:val="24"/>
          <w:szCs w:val="24"/>
        </w:rPr>
        <w:t xml:space="preserve"> is hereby authorized  and directed to evict them and give vacant possession to the applicant.</w:t>
      </w:r>
    </w:p>
    <w:p w14:paraId="48D9DF3F" w14:textId="46E840D2" w:rsidR="00F9546C" w:rsidRDefault="00F9546C" w:rsidP="00093988">
      <w:pPr>
        <w:spacing w:after="0" w:line="360" w:lineRule="auto"/>
        <w:ind w:firstLine="720"/>
        <w:jc w:val="both"/>
        <w:rPr>
          <w:rFonts w:ascii="Times New Roman" w:hAnsi="Times New Roman"/>
          <w:sz w:val="24"/>
          <w:szCs w:val="24"/>
        </w:rPr>
      </w:pPr>
    </w:p>
    <w:p w14:paraId="570BA2B0" w14:textId="77777777" w:rsidR="00245C4D" w:rsidRDefault="00245C4D" w:rsidP="00093988">
      <w:pPr>
        <w:spacing w:after="0" w:line="360" w:lineRule="auto"/>
        <w:ind w:firstLine="720"/>
        <w:jc w:val="both"/>
        <w:rPr>
          <w:rFonts w:ascii="Times New Roman" w:hAnsi="Times New Roman"/>
          <w:sz w:val="24"/>
          <w:szCs w:val="24"/>
        </w:rPr>
      </w:pPr>
    </w:p>
    <w:p w14:paraId="2D8C3A48" w14:textId="1BA63B44" w:rsidR="00F9546C" w:rsidRDefault="00F9546C" w:rsidP="00245C4D">
      <w:pPr>
        <w:spacing w:after="0" w:line="240" w:lineRule="auto"/>
        <w:jc w:val="both"/>
        <w:rPr>
          <w:rFonts w:ascii="Times New Roman" w:hAnsi="Times New Roman"/>
          <w:sz w:val="24"/>
          <w:szCs w:val="24"/>
        </w:rPr>
      </w:pPr>
      <w:r w:rsidRPr="00082F3F">
        <w:rPr>
          <w:rFonts w:ascii="Times New Roman" w:hAnsi="Times New Roman"/>
          <w:i/>
          <w:sz w:val="24"/>
          <w:szCs w:val="24"/>
        </w:rPr>
        <w:t>Mhishi Nkomo Legal Practice</w:t>
      </w:r>
      <w:r>
        <w:rPr>
          <w:rFonts w:ascii="Times New Roman" w:hAnsi="Times New Roman"/>
          <w:sz w:val="24"/>
          <w:szCs w:val="24"/>
        </w:rPr>
        <w:t>, applicant’s legal practitioners</w:t>
      </w:r>
    </w:p>
    <w:p w14:paraId="533C5BB8" w14:textId="59771513" w:rsidR="00F9546C" w:rsidRDefault="00F9546C" w:rsidP="00245C4D">
      <w:pPr>
        <w:spacing w:after="0" w:line="240" w:lineRule="auto"/>
        <w:jc w:val="both"/>
        <w:rPr>
          <w:rFonts w:ascii="Times New Roman" w:hAnsi="Times New Roman"/>
          <w:sz w:val="24"/>
          <w:szCs w:val="24"/>
        </w:rPr>
      </w:pPr>
      <w:r w:rsidRPr="00082F3F">
        <w:rPr>
          <w:rFonts w:ascii="Times New Roman" w:hAnsi="Times New Roman"/>
          <w:i/>
          <w:sz w:val="24"/>
          <w:szCs w:val="24"/>
        </w:rPr>
        <w:t>Tendai Biti Law Firm</w:t>
      </w:r>
      <w:r>
        <w:rPr>
          <w:rFonts w:ascii="Times New Roman" w:hAnsi="Times New Roman"/>
          <w:sz w:val="24"/>
          <w:szCs w:val="24"/>
        </w:rPr>
        <w:t>, 1</w:t>
      </w:r>
      <w:r w:rsidRPr="00F9546C">
        <w:rPr>
          <w:rFonts w:ascii="Times New Roman" w:hAnsi="Times New Roman"/>
          <w:sz w:val="24"/>
          <w:szCs w:val="24"/>
          <w:vertAlign w:val="superscript"/>
        </w:rPr>
        <w:t>st</w:t>
      </w:r>
      <w:r>
        <w:rPr>
          <w:rFonts w:ascii="Times New Roman" w:hAnsi="Times New Roman"/>
          <w:sz w:val="24"/>
          <w:szCs w:val="24"/>
        </w:rPr>
        <w:t xml:space="preserve"> respondent’ s legal practitioners</w:t>
      </w:r>
    </w:p>
    <w:p w14:paraId="0DDFEB06" w14:textId="1B2ED482" w:rsidR="00C37A75" w:rsidRDefault="00F9546C" w:rsidP="00245C4D">
      <w:pPr>
        <w:spacing w:after="0" w:line="240" w:lineRule="auto"/>
        <w:jc w:val="both"/>
        <w:rPr>
          <w:rFonts w:ascii="Times New Roman" w:hAnsi="Times New Roman"/>
          <w:sz w:val="24"/>
          <w:szCs w:val="24"/>
        </w:rPr>
      </w:pPr>
      <w:r w:rsidRPr="00082F3F">
        <w:rPr>
          <w:rFonts w:ascii="Times New Roman" w:hAnsi="Times New Roman"/>
          <w:i/>
          <w:sz w:val="24"/>
          <w:szCs w:val="24"/>
        </w:rPr>
        <w:t>Lovemore Madhuku Lawyers</w:t>
      </w:r>
      <w:r>
        <w:rPr>
          <w:rFonts w:ascii="Times New Roman" w:hAnsi="Times New Roman"/>
          <w:sz w:val="24"/>
          <w:szCs w:val="24"/>
        </w:rPr>
        <w:t>, 2</w:t>
      </w:r>
      <w:r w:rsidRPr="00F9546C">
        <w:rPr>
          <w:rFonts w:ascii="Times New Roman" w:hAnsi="Times New Roman"/>
          <w:sz w:val="24"/>
          <w:szCs w:val="24"/>
          <w:vertAlign w:val="superscript"/>
        </w:rPr>
        <w:t>nd</w:t>
      </w:r>
      <w:r>
        <w:rPr>
          <w:rFonts w:ascii="Times New Roman" w:hAnsi="Times New Roman"/>
          <w:sz w:val="24"/>
          <w:szCs w:val="24"/>
        </w:rPr>
        <w:t xml:space="preserve"> respondent’s legal practitioners.</w:t>
      </w:r>
    </w:p>
    <w:p w14:paraId="6247F61B" w14:textId="77777777" w:rsidR="000F3EE4" w:rsidRDefault="000F3EE4" w:rsidP="00245C4D">
      <w:pPr>
        <w:spacing w:after="0" w:line="276" w:lineRule="auto"/>
        <w:jc w:val="both"/>
        <w:rPr>
          <w:rFonts w:ascii="Times New Roman" w:hAnsi="Times New Roman"/>
          <w:sz w:val="24"/>
          <w:szCs w:val="24"/>
        </w:rPr>
      </w:pPr>
      <w:r>
        <w:rPr>
          <w:rFonts w:ascii="Times New Roman" w:hAnsi="Times New Roman"/>
          <w:sz w:val="24"/>
          <w:szCs w:val="24"/>
        </w:rPr>
        <w:t xml:space="preserve"> </w:t>
      </w:r>
    </w:p>
    <w:p w14:paraId="7DB95B19" w14:textId="77777777" w:rsidR="007651FC" w:rsidRDefault="007651FC" w:rsidP="00245C4D">
      <w:pPr>
        <w:spacing w:line="276" w:lineRule="auto"/>
      </w:pPr>
    </w:p>
    <w:sectPr w:rsidR="007651F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3908D" w14:textId="77777777" w:rsidR="0089790F" w:rsidRDefault="0089790F" w:rsidP="004C5D8C">
      <w:pPr>
        <w:spacing w:after="0" w:line="240" w:lineRule="auto"/>
      </w:pPr>
      <w:r>
        <w:separator/>
      </w:r>
    </w:p>
  </w:endnote>
  <w:endnote w:type="continuationSeparator" w:id="0">
    <w:p w14:paraId="168B10DF" w14:textId="77777777" w:rsidR="0089790F" w:rsidRDefault="0089790F" w:rsidP="004C5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5F537" w14:textId="77777777" w:rsidR="0089790F" w:rsidRDefault="0089790F" w:rsidP="004C5D8C">
      <w:pPr>
        <w:spacing w:after="0" w:line="240" w:lineRule="auto"/>
      </w:pPr>
      <w:r>
        <w:separator/>
      </w:r>
    </w:p>
  </w:footnote>
  <w:footnote w:type="continuationSeparator" w:id="0">
    <w:p w14:paraId="1D302524" w14:textId="77777777" w:rsidR="0089790F" w:rsidRDefault="0089790F" w:rsidP="004C5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954795079"/>
      <w:docPartObj>
        <w:docPartGallery w:val="Page Numbers (Top of Page)"/>
        <w:docPartUnique/>
      </w:docPartObj>
    </w:sdtPr>
    <w:sdtEndPr>
      <w:rPr>
        <w:noProof/>
      </w:rPr>
    </w:sdtEndPr>
    <w:sdtContent>
      <w:p w14:paraId="00EAD56D" w14:textId="4B8C241F" w:rsidR="004C5D8C" w:rsidRPr="002B7EFD" w:rsidRDefault="004C5D8C">
        <w:pPr>
          <w:pStyle w:val="Header"/>
          <w:jc w:val="right"/>
          <w:rPr>
            <w:rFonts w:ascii="Times New Roman" w:hAnsi="Times New Roman"/>
            <w:noProof/>
          </w:rPr>
        </w:pPr>
        <w:r w:rsidRPr="002B7EFD">
          <w:rPr>
            <w:rFonts w:ascii="Times New Roman" w:hAnsi="Times New Roman"/>
          </w:rPr>
          <w:fldChar w:fldCharType="begin"/>
        </w:r>
        <w:r w:rsidRPr="002B7EFD">
          <w:rPr>
            <w:rFonts w:ascii="Times New Roman" w:hAnsi="Times New Roman"/>
          </w:rPr>
          <w:instrText xml:space="preserve"> PAGE   \* MERGEFORMAT </w:instrText>
        </w:r>
        <w:r w:rsidRPr="002B7EFD">
          <w:rPr>
            <w:rFonts w:ascii="Times New Roman" w:hAnsi="Times New Roman"/>
          </w:rPr>
          <w:fldChar w:fldCharType="separate"/>
        </w:r>
        <w:r w:rsidR="00FC3B5D">
          <w:rPr>
            <w:rFonts w:ascii="Times New Roman" w:hAnsi="Times New Roman"/>
            <w:noProof/>
          </w:rPr>
          <w:t>1</w:t>
        </w:r>
        <w:r w:rsidRPr="002B7EFD">
          <w:rPr>
            <w:rFonts w:ascii="Times New Roman" w:hAnsi="Times New Roman"/>
            <w:noProof/>
          </w:rPr>
          <w:fldChar w:fldCharType="end"/>
        </w:r>
      </w:p>
      <w:p w14:paraId="53A2B9CB" w14:textId="79237E5D" w:rsidR="004C5D8C" w:rsidRPr="002B7EFD" w:rsidRDefault="00C34AB2">
        <w:pPr>
          <w:pStyle w:val="Header"/>
          <w:jc w:val="right"/>
          <w:rPr>
            <w:rFonts w:ascii="Times New Roman" w:hAnsi="Times New Roman"/>
            <w:noProof/>
          </w:rPr>
        </w:pPr>
        <w:r>
          <w:rPr>
            <w:rFonts w:ascii="Times New Roman" w:hAnsi="Times New Roman"/>
            <w:noProof/>
          </w:rPr>
          <w:t>HH 77</w:t>
        </w:r>
        <w:r w:rsidR="002B7EFD">
          <w:rPr>
            <w:rFonts w:ascii="Times New Roman" w:hAnsi="Times New Roman"/>
            <w:noProof/>
          </w:rPr>
          <w:t>-22</w:t>
        </w:r>
      </w:p>
      <w:p w14:paraId="6954550E" w14:textId="2FAD08BA" w:rsidR="002B7EFD" w:rsidRPr="002B7EFD" w:rsidRDefault="002B7EFD">
        <w:pPr>
          <w:pStyle w:val="Header"/>
          <w:jc w:val="right"/>
          <w:rPr>
            <w:rFonts w:ascii="Times New Roman" w:hAnsi="Times New Roman"/>
            <w:noProof/>
          </w:rPr>
        </w:pPr>
        <w:r w:rsidRPr="002B7EFD">
          <w:rPr>
            <w:rFonts w:ascii="Times New Roman" w:hAnsi="Times New Roman"/>
            <w:noProof/>
          </w:rPr>
          <w:t xml:space="preserve">HC </w:t>
        </w:r>
        <w:r>
          <w:rPr>
            <w:rFonts w:ascii="Times New Roman" w:hAnsi="Times New Roman"/>
            <w:noProof/>
          </w:rPr>
          <w:t>4396/20</w:t>
        </w:r>
      </w:p>
      <w:p w14:paraId="33E1E945" w14:textId="68774AE2" w:rsidR="002B7EFD" w:rsidRDefault="002B7EFD">
        <w:pPr>
          <w:pStyle w:val="Header"/>
          <w:jc w:val="right"/>
          <w:rPr>
            <w:rFonts w:ascii="Times New Roman" w:hAnsi="Times New Roman"/>
            <w:noProof/>
          </w:rPr>
        </w:pPr>
        <w:r w:rsidRPr="002B7EFD">
          <w:rPr>
            <w:rFonts w:ascii="Times New Roman" w:hAnsi="Times New Roman"/>
            <w:noProof/>
          </w:rPr>
          <w:t>REF CASE:</w:t>
        </w:r>
        <w:r>
          <w:rPr>
            <w:rFonts w:ascii="Times New Roman" w:hAnsi="Times New Roman"/>
            <w:noProof/>
          </w:rPr>
          <w:t xml:space="preserve"> HC 4093/18</w:t>
        </w:r>
        <w:r w:rsidRPr="002B7EFD">
          <w:rPr>
            <w:rFonts w:ascii="Times New Roman" w:hAnsi="Times New Roman"/>
            <w:noProof/>
          </w:rPr>
          <w:t xml:space="preserve">  </w:t>
        </w:r>
      </w:p>
      <w:p w14:paraId="10D051BF" w14:textId="3BE74F81" w:rsidR="002B7EFD" w:rsidRPr="002B7EFD" w:rsidRDefault="002B7EFD">
        <w:pPr>
          <w:pStyle w:val="Header"/>
          <w:jc w:val="right"/>
          <w:rPr>
            <w:rFonts w:ascii="Times New Roman" w:hAnsi="Times New Roman"/>
            <w:noProof/>
          </w:rPr>
        </w:pPr>
        <w:r w:rsidRPr="002B7EFD">
          <w:rPr>
            <w:rFonts w:ascii="Times New Roman" w:hAnsi="Times New Roman"/>
            <w:noProof/>
          </w:rPr>
          <w:t>HC 289/15</w:t>
        </w:r>
      </w:p>
      <w:p w14:paraId="4DFA9CD6" w14:textId="1418489A" w:rsidR="004C5D8C" w:rsidRPr="002B7EFD" w:rsidRDefault="002B7EFD">
        <w:pPr>
          <w:pStyle w:val="Header"/>
          <w:jc w:val="right"/>
          <w:rPr>
            <w:rFonts w:ascii="Times New Roman" w:hAnsi="Times New Roman"/>
          </w:rPr>
        </w:pPr>
        <w:r w:rsidRPr="002B7EFD">
          <w:rPr>
            <w:rFonts w:ascii="Times New Roman" w:hAnsi="Times New Roman"/>
            <w:noProof/>
          </w:rPr>
          <w:t>HC 8834/14</w:t>
        </w:r>
      </w:p>
    </w:sdtContent>
  </w:sdt>
  <w:p w14:paraId="651D84B3" w14:textId="77777777" w:rsidR="004C5D8C" w:rsidRDefault="004C5D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77467"/>
    <w:multiLevelType w:val="hybridMultilevel"/>
    <w:tmpl w:val="06DC8366"/>
    <w:lvl w:ilvl="0" w:tplc="3B28E3D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62D3058E"/>
    <w:multiLevelType w:val="hybridMultilevel"/>
    <w:tmpl w:val="04A48B9E"/>
    <w:lvl w:ilvl="0" w:tplc="82989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C67578"/>
    <w:multiLevelType w:val="hybridMultilevel"/>
    <w:tmpl w:val="8834A342"/>
    <w:lvl w:ilvl="0" w:tplc="30090013">
      <w:start w:val="1"/>
      <w:numFmt w:val="upp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714230D7"/>
    <w:multiLevelType w:val="hybridMultilevel"/>
    <w:tmpl w:val="EED642B6"/>
    <w:lvl w:ilvl="0" w:tplc="3009000F">
      <w:start w:val="1"/>
      <w:numFmt w:val="decimal"/>
      <w:lvlText w:val="%1."/>
      <w:lvlJc w:val="left"/>
      <w:pPr>
        <w:ind w:left="1440" w:hanging="360"/>
      </w:pPr>
    </w:lvl>
    <w:lvl w:ilvl="1" w:tplc="30090019">
      <w:start w:val="1"/>
      <w:numFmt w:val="lowerLetter"/>
      <w:lvlText w:val="%2."/>
      <w:lvlJc w:val="left"/>
      <w:pPr>
        <w:ind w:left="2160" w:hanging="360"/>
      </w:pPr>
    </w:lvl>
    <w:lvl w:ilvl="2" w:tplc="3009001B">
      <w:start w:val="1"/>
      <w:numFmt w:val="lowerRoman"/>
      <w:lvlText w:val="%3."/>
      <w:lvlJc w:val="right"/>
      <w:pPr>
        <w:ind w:left="2880" w:hanging="180"/>
      </w:pPr>
    </w:lvl>
    <w:lvl w:ilvl="3" w:tplc="3009000F">
      <w:start w:val="1"/>
      <w:numFmt w:val="decimal"/>
      <w:lvlText w:val="%4."/>
      <w:lvlJc w:val="left"/>
      <w:pPr>
        <w:ind w:left="3600" w:hanging="360"/>
      </w:pPr>
    </w:lvl>
    <w:lvl w:ilvl="4" w:tplc="30090019">
      <w:start w:val="1"/>
      <w:numFmt w:val="lowerLetter"/>
      <w:lvlText w:val="%5."/>
      <w:lvlJc w:val="left"/>
      <w:pPr>
        <w:ind w:left="4320" w:hanging="360"/>
      </w:pPr>
    </w:lvl>
    <w:lvl w:ilvl="5" w:tplc="3009001B">
      <w:start w:val="1"/>
      <w:numFmt w:val="lowerRoman"/>
      <w:lvlText w:val="%6."/>
      <w:lvlJc w:val="right"/>
      <w:pPr>
        <w:ind w:left="5040" w:hanging="180"/>
      </w:pPr>
    </w:lvl>
    <w:lvl w:ilvl="6" w:tplc="3009000F">
      <w:start w:val="1"/>
      <w:numFmt w:val="decimal"/>
      <w:lvlText w:val="%7."/>
      <w:lvlJc w:val="left"/>
      <w:pPr>
        <w:ind w:left="5760" w:hanging="360"/>
      </w:pPr>
    </w:lvl>
    <w:lvl w:ilvl="7" w:tplc="30090019">
      <w:start w:val="1"/>
      <w:numFmt w:val="lowerLetter"/>
      <w:lvlText w:val="%8."/>
      <w:lvlJc w:val="left"/>
      <w:pPr>
        <w:ind w:left="6480" w:hanging="360"/>
      </w:pPr>
    </w:lvl>
    <w:lvl w:ilvl="8" w:tplc="3009001B">
      <w:start w:val="1"/>
      <w:numFmt w:val="lowerRoman"/>
      <w:lvlText w:val="%9."/>
      <w:lvlJc w:val="right"/>
      <w:pPr>
        <w:ind w:left="7200" w:hanging="180"/>
      </w:pPr>
    </w:lvl>
  </w:abstractNum>
  <w:abstractNum w:abstractNumId="4" w15:restartNumberingAfterBreak="0">
    <w:nsid w:val="7EE1564C"/>
    <w:multiLevelType w:val="hybridMultilevel"/>
    <w:tmpl w:val="5CFC8520"/>
    <w:lvl w:ilvl="0" w:tplc="9162D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EE4"/>
    <w:rsid w:val="000343ED"/>
    <w:rsid w:val="0008064E"/>
    <w:rsid w:val="00082F3F"/>
    <w:rsid w:val="00086BC0"/>
    <w:rsid w:val="00093988"/>
    <w:rsid w:val="00095959"/>
    <w:rsid w:val="000C1938"/>
    <w:rsid w:val="000D12A3"/>
    <w:rsid w:val="000D73D6"/>
    <w:rsid w:val="000F3EE4"/>
    <w:rsid w:val="00110EFA"/>
    <w:rsid w:val="0011665A"/>
    <w:rsid w:val="00126B25"/>
    <w:rsid w:val="00132878"/>
    <w:rsid w:val="0017418C"/>
    <w:rsid w:val="00192F79"/>
    <w:rsid w:val="001A4C43"/>
    <w:rsid w:val="001B4A42"/>
    <w:rsid w:val="001C0E34"/>
    <w:rsid w:val="001D2518"/>
    <w:rsid w:val="001D388B"/>
    <w:rsid w:val="001F3A2F"/>
    <w:rsid w:val="001F73D1"/>
    <w:rsid w:val="001F7B54"/>
    <w:rsid w:val="002274B8"/>
    <w:rsid w:val="00245C4D"/>
    <w:rsid w:val="0026406B"/>
    <w:rsid w:val="002B7EFD"/>
    <w:rsid w:val="002C36DD"/>
    <w:rsid w:val="002C7A7F"/>
    <w:rsid w:val="002D0506"/>
    <w:rsid w:val="00312C28"/>
    <w:rsid w:val="003174E8"/>
    <w:rsid w:val="003628F2"/>
    <w:rsid w:val="00387AF0"/>
    <w:rsid w:val="00390996"/>
    <w:rsid w:val="003A00EA"/>
    <w:rsid w:val="003A55C9"/>
    <w:rsid w:val="003D46EE"/>
    <w:rsid w:val="003D4E40"/>
    <w:rsid w:val="003F0846"/>
    <w:rsid w:val="003F2031"/>
    <w:rsid w:val="004021C5"/>
    <w:rsid w:val="00473082"/>
    <w:rsid w:val="00483C2E"/>
    <w:rsid w:val="004840C8"/>
    <w:rsid w:val="004952D4"/>
    <w:rsid w:val="004C135B"/>
    <w:rsid w:val="004C5D8C"/>
    <w:rsid w:val="004F216D"/>
    <w:rsid w:val="004F39DE"/>
    <w:rsid w:val="0050246B"/>
    <w:rsid w:val="00503A83"/>
    <w:rsid w:val="0053321B"/>
    <w:rsid w:val="005450E3"/>
    <w:rsid w:val="00572C6E"/>
    <w:rsid w:val="00593B15"/>
    <w:rsid w:val="005A4D5E"/>
    <w:rsid w:val="005B7FA2"/>
    <w:rsid w:val="005D7DCE"/>
    <w:rsid w:val="005E6A56"/>
    <w:rsid w:val="00617051"/>
    <w:rsid w:val="00644FC5"/>
    <w:rsid w:val="0068114A"/>
    <w:rsid w:val="006827AD"/>
    <w:rsid w:val="006D6AAB"/>
    <w:rsid w:val="006E0B77"/>
    <w:rsid w:val="006E3578"/>
    <w:rsid w:val="006F6A86"/>
    <w:rsid w:val="00742919"/>
    <w:rsid w:val="007537B1"/>
    <w:rsid w:val="00763D07"/>
    <w:rsid w:val="007651FC"/>
    <w:rsid w:val="00766835"/>
    <w:rsid w:val="00783A09"/>
    <w:rsid w:val="007B4ECD"/>
    <w:rsid w:val="007F4E8B"/>
    <w:rsid w:val="0083537C"/>
    <w:rsid w:val="008712D2"/>
    <w:rsid w:val="00873A76"/>
    <w:rsid w:val="0089790F"/>
    <w:rsid w:val="008B047A"/>
    <w:rsid w:val="008B37B4"/>
    <w:rsid w:val="008C453A"/>
    <w:rsid w:val="008D4BEA"/>
    <w:rsid w:val="008F3C2F"/>
    <w:rsid w:val="00910D37"/>
    <w:rsid w:val="0091685E"/>
    <w:rsid w:val="00917D50"/>
    <w:rsid w:val="00930FCE"/>
    <w:rsid w:val="0097022E"/>
    <w:rsid w:val="00990B5E"/>
    <w:rsid w:val="009A1B30"/>
    <w:rsid w:val="009A6708"/>
    <w:rsid w:val="009A6E93"/>
    <w:rsid w:val="009B2963"/>
    <w:rsid w:val="009B47E6"/>
    <w:rsid w:val="009D05A5"/>
    <w:rsid w:val="00A1330A"/>
    <w:rsid w:val="00A43902"/>
    <w:rsid w:val="00A83E1B"/>
    <w:rsid w:val="00AA28C9"/>
    <w:rsid w:val="00AA704C"/>
    <w:rsid w:val="00AD1B70"/>
    <w:rsid w:val="00AD5D0D"/>
    <w:rsid w:val="00AE71C4"/>
    <w:rsid w:val="00AE7E33"/>
    <w:rsid w:val="00AF55A6"/>
    <w:rsid w:val="00B371CD"/>
    <w:rsid w:val="00B42DBA"/>
    <w:rsid w:val="00B634ED"/>
    <w:rsid w:val="00B64C24"/>
    <w:rsid w:val="00BA613E"/>
    <w:rsid w:val="00BD0BA2"/>
    <w:rsid w:val="00BE5180"/>
    <w:rsid w:val="00C23044"/>
    <w:rsid w:val="00C34AB2"/>
    <w:rsid w:val="00C37A75"/>
    <w:rsid w:val="00C509E3"/>
    <w:rsid w:val="00C77685"/>
    <w:rsid w:val="00C8247C"/>
    <w:rsid w:val="00CE7499"/>
    <w:rsid w:val="00CF0FBE"/>
    <w:rsid w:val="00D018A3"/>
    <w:rsid w:val="00D12563"/>
    <w:rsid w:val="00D27793"/>
    <w:rsid w:val="00D33D7A"/>
    <w:rsid w:val="00D83FDC"/>
    <w:rsid w:val="00DB1A9D"/>
    <w:rsid w:val="00DF7AF3"/>
    <w:rsid w:val="00E02725"/>
    <w:rsid w:val="00E23317"/>
    <w:rsid w:val="00E4174E"/>
    <w:rsid w:val="00E50A84"/>
    <w:rsid w:val="00E568C6"/>
    <w:rsid w:val="00EA635A"/>
    <w:rsid w:val="00EB20FD"/>
    <w:rsid w:val="00EB6AB8"/>
    <w:rsid w:val="00EC5C05"/>
    <w:rsid w:val="00ED340C"/>
    <w:rsid w:val="00EE3852"/>
    <w:rsid w:val="00EF7644"/>
    <w:rsid w:val="00F2120C"/>
    <w:rsid w:val="00F63224"/>
    <w:rsid w:val="00F64B5C"/>
    <w:rsid w:val="00F84C7F"/>
    <w:rsid w:val="00F9546C"/>
    <w:rsid w:val="00FC3B5D"/>
    <w:rsid w:val="00FD4C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DB010"/>
  <w15:docId w15:val="{C7DAF00C-D6E1-45E4-B79F-BD5E329C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E4"/>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EE4"/>
    <w:pPr>
      <w:ind w:left="720"/>
      <w:contextualSpacing/>
    </w:pPr>
  </w:style>
  <w:style w:type="character" w:styleId="Hyperlink">
    <w:name w:val="Hyperlink"/>
    <w:basedOn w:val="DefaultParagraphFont"/>
    <w:uiPriority w:val="99"/>
    <w:unhideWhenUsed/>
    <w:rsid w:val="006D6AAB"/>
    <w:rPr>
      <w:color w:val="0563C1" w:themeColor="hyperlink"/>
      <w:u w:val="single"/>
    </w:rPr>
  </w:style>
  <w:style w:type="character" w:customStyle="1" w:styleId="UnresolvedMention">
    <w:name w:val="Unresolved Mention"/>
    <w:basedOn w:val="DefaultParagraphFont"/>
    <w:uiPriority w:val="99"/>
    <w:semiHidden/>
    <w:unhideWhenUsed/>
    <w:rsid w:val="006D6AAB"/>
    <w:rPr>
      <w:color w:val="605E5C"/>
      <w:shd w:val="clear" w:color="auto" w:fill="E1DFDD"/>
    </w:rPr>
  </w:style>
  <w:style w:type="paragraph" w:styleId="Header">
    <w:name w:val="header"/>
    <w:basedOn w:val="Normal"/>
    <w:link w:val="HeaderChar"/>
    <w:uiPriority w:val="99"/>
    <w:unhideWhenUsed/>
    <w:rsid w:val="004C5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D8C"/>
    <w:rPr>
      <w:rFonts w:ascii="Calibri" w:eastAsia="Calibri" w:hAnsi="Calibri" w:cs="Times New Roman"/>
    </w:rPr>
  </w:style>
  <w:style w:type="paragraph" w:styleId="Footer">
    <w:name w:val="footer"/>
    <w:basedOn w:val="Normal"/>
    <w:link w:val="FooterChar"/>
    <w:uiPriority w:val="99"/>
    <w:unhideWhenUsed/>
    <w:rsid w:val="004C5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D8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1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E156C-1B90-49E5-9C66-4A3CCCD1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3900</Words>
  <Characters>22235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dcterms:created xsi:type="dcterms:W3CDTF">2022-02-11T07:06:00Z</dcterms:created>
  <dcterms:modified xsi:type="dcterms:W3CDTF">2022-02-11T07:06:00Z</dcterms:modified>
</cp:coreProperties>
</file>