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DC5" w:rsidRPr="004708FE" w:rsidRDefault="00446DC5" w:rsidP="00037D40">
      <w:pPr>
        <w:spacing w:line="240" w:lineRule="auto"/>
        <w:rPr>
          <w:rFonts w:ascii="Tahoma" w:hAnsi="Tahoma" w:cs="Tahoma"/>
          <w:b/>
          <w:sz w:val="24"/>
          <w:szCs w:val="24"/>
        </w:rPr>
      </w:pPr>
      <w:r w:rsidRPr="004708FE">
        <w:rPr>
          <w:rFonts w:ascii="Tahoma" w:hAnsi="Tahoma" w:cs="Tahoma"/>
          <w:b/>
          <w:sz w:val="24"/>
          <w:szCs w:val="24"/>
        </w:rPr>
        <w:t>IN THE LABOUR COURT OF ZIMBABWE      JUDGMENT NO. LC/H/</w:t>
      </w:r>
      <w:r w:rsidR="00591AC3">
        <w:rPr>
          <w:rFonts w:ascii="Tahoma" w:hAnsi="Tahoma" w:cs="Tahoma"/>
          <w:b/>
          <w:sz w:val="24"/>
          <w:szCs w:val="24"/>
        </w:rPr>
        <w:t>24</w:t>
      </w:r>
      <w:r w:rsidR="00B261DF">
        <w:rPr>
          <w:rFonts w:ascii="Tahoma" w:hAnsi="Tahoma" w:cs="Tahoma"/>
          <w:b/>
          <w:sz w:val="24"/>
          <w:szCs w:val="24"/>
        </w:rPr>
        <w:t>/2020</w:t>
      </w:r>
    </w:p>
    <w:p w:rsidR="00446DC5" w:rsidRDefault="00446DC5" w:rsidP="00037D40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4708FE">
        <w:rPr>
          <w:rFonts w:ascii="Tahoma" w:hAnsi="Tahoma" w:cs="Tahoma"/>
          <w:b/>
          <w:sz w:val="24"/>
          <w:szCs w:val="24"/>
        </w:rPr>
        <w:t>HARARE,</w:t>
      </w:r>
      <w:r w:rsidR="00B02893">
        <w:rPr>
          <w:rFonts w:ascii="Tahoma" w:hAnsi="Tahoma" w:cs="Tahoma"/>
          <w:b/>
          <w:sz w:val="24"/>
          <w:szCs w:val="24"/>
        </w:rPr>
        <w:t xml:space="preserve"> </w:t>
      </w:r>
      <w:r w:rsidR="006179DA">
        <w:rPr>
          <w:rFonts w:ascii="Tahoma" w:hAnsi="Tahoma" w:cs="Tahoma"/>
          <w:b/>
          <w:sz w:val="24"/>
          <w:szCs w:val="24"/>
        </w:rPr>
        <w:t xml:space="preserve">22 OCTOBER </w:t>
      </w:r>
      <w:r w:rsidR="00B02893">
        <w:rPr>
          <w:rFonts w:ascii="Tahoma" w:hAnsi="Tahoma" w:cs="Tahoma"/>
          <w:b/>
          <w:sz w:val="24"/>
          <w:szCs w:val="24"/>
        </w:rPr>
        <w:t>2019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 xml:space="preserve">           </w:t>
      </w:r>
      <w:r w:rsidR="006179DA">
        <w:rPr>
          <w:rFonts w:ascii="Tahoma" w:hAnsi="Tahoma" w:cs="Tahoma"/>
          <w:b/>
          <w:sz w:val="24"/>
          <w:szCs w:val="24"/>
        </w:rPr>
        <w:t xml:space="preserve"> </w:t>
      </w:r>
      <w:r w:rsidRPr="004708FE">
        <w:rPr>
          <w:rFonts w:ascii="Tahoma" w:hAnsi="Tahoma" w:cs="Tahoma"/>
          <w:b/>
          <w:sz w:val="24"/>
          <w:szCs w:val="24"/>
        </w:rPr>
        <w:t>CASE NO. LC/H/</w:t>
      </w:r>
      <w:r w:rsidR="006179DA">
        <w:rPr>
          <w:rFonts w:ascii="Tahoma" w:hAnsi="Tahoma" w:cs="Tahoma"/>
          <w:b/>
          <w:sz w:val="24"/>
          <w:szCs w:val="24"/>
        </w:rPr>
        <w:t>APP/273/19</w:t>
      </w:r>
    </w:p>
    <w:p w:rsidR="00446DC5" w:rsidRPr="004708FE" w:rsidRDefault="00B261DF" w:rsidP="00037D40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AND </w:t>
      </w:r>
      <w:r w:rsidR="00591AC3">
        <w:rPr>
          <w:rFonts w:ascii="Tahoma" w:hAnsi="Tahoma" w:cs="Tahoma"/>
          <w:b/>
          <w:sz w:val="24"/>
          <w:szCs w:val="24"/>
        </w:rPr>
        <w:t xml:space="preserve">31 JANUARY </w:t>
      </w:r>
      <w:r>
        <w:rPr>
          <w:rFonts w:ascii="Tahoma" w:hAnsi="Tahoma" w:cs="Tahoma"/>
          <w:b/>
          <w:sz w:val="24"/>
          <w:szCs w:val="24"/>
        </w:rPr>
        <w:t>2020</w:t>
      </w:r>
    </w:p>
    <w:p w:rsidR="00446DC5" w:rsidRDefault="00446DC5" w:rsidP="00446DC5">
      <w:pPr>
        <w:jc w:val="both"/>
        <w:rPr>
          <w:rFonts w:ascii="Tahoma" w:hAnsi="Tahoma" w:cs="Tahoma"/>
          <w:sz w:val="24"/>
          <w:szCs w:val="24"/>
        </w:rPr>
      </w:pPr>
      <w:r w:rsidRPr="004708FE">
        <w:rPr>
          <w:rFonts w:ascii="Tahoma" w:hAnsi="Tahoma" w:cs="Tahoma"/>
          <w:sz w:val="24"/>
          <w:szCs w:val="24"/>
        </w:rPr>
        <w:t>In the matter between:-</w:t>
      </w:r>
    </w:p>
    <w:p w:rsidR="00446DC5" w:rsidRPr="004708FE" w:rsidRDefault="00446DC5" w:rsidP="00037D40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</w:p>
    <w:p w:rsidR="00446DC5" w:rsidRPr="004708FE" w:rsidRDefault="00604800" w:rsidP="00037D40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JOSEPH T VHENGE</w:t>
      </w:r>
      <w:r w:rsidR="00E25EA0">
        <w:rPr>
          <w:rFonts w:ascii="Tahoma" w:hAnsi="Tahoma" w:cs="Tahoma"/>
          <w:b/>
          <w:sz w:val="24"/>
          <w:szCs w:val="24"/>
        </w:rPr>
        <w:tab/>
      </w:r>
      <w:r w:rsidR="00E25EA0">
        <w:rPr>
          <w:rFonts w:ascii="Tahoma" w:hAnsi="Tahoma" w:cs="Tahoma"/>
          <w:b/>
          <w:sz w:val="24"/>
          <w:szCs w:val="24"/>
        </w:rPr>
        <w:tab/>
      </w:r>
      <w:r w:rsidR="00274B7B">
        <w:rPr>
          <w:rFonts w:ascii="Tahoma" w:hAnsi="Tahoma" w:cs="Tahoma"/>
          <w:b/>
          <w:sz w:val="24"/>
          <w:szCs w:val="24"/>
        </w:rPr>
        <w:tab/>
      </w:r>
      <w:r w:rsidR="00E25EA0"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 w:rsidR="00C8270C">
        <w:rPr>
          <w:rFonts w:ascii="Tahoma" w:hAnsi="Tahoma" w:cs="Tahoma"/>
          <w:b/>
          <w:sz w:val="24"/>
          <w:szCs w:val="24"/>
        </w:rPr>
        <w:tab/>
      </w:r>
      <w:r w:rsidR="00875054">
        <w:rPr>
          <w:rFonts w:ascii="Tahoma" w:hAnsi="Tahoma" w:cs="Tahoma"/>
          <w:b/>
          <w:sz w:val="24"/>
          <w:szCs w:val="24"/>
        </w:rPr>
        <w:t>App</w:t>
      </w:r>
      <w:r>
        <w:rPr>
          <w:rFonts w:ascii="Tahoma" w:hAnsi="Tahoma" w:cs="Tahoma"/>
          <w:b/>
          <w:sz w:val="24"/>
          <w:szCs w:val="24"/>
        </w:rPr>
        <w:t>licant</w:t>
      </w:r>
    </w:p>
    <w:p w:rsidR="00446DC5" w:rsidRPr="004708FE" w:rsidRDefault="00446DC5" w:rsidP="00037D40">
      <w:pPr>
        <w:tabs>
          <w:tab w:val="left" w:pos="1995"/>
        </w:tabs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4708FE">
        <w:rPr>
          <w:rFonts w:ascii="Tahoma" w:hAnsi="Tahoma" w:cs="Tahoma"/>
          <w:sz w:val="24"/>
          <w:szCs w:val="24"/>
        </w:rPr>
        <w:t>And</w:t>
      </w:r>
      <w:r w:rsidRPr="004708FE">
        <w:rPr>
          <w:rFonts w:ascii="Tahoma" w:hAnsi="Tahoma" w:cs="Tahoma"/>
          <w:sz w:val="24"/>
          <w:szCs w:val="24"/>
        </w:rPr>
        <w:tab/>
      </w:r>
    </w:p>
    <w:p w:rsidR="00446DC5" w:rsidRPr="004708FE" w:rsidRDefault="00C8270C" w:rsidP="00037D40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TRAFFIC SAFETY COUNCIL OF ZIMBABWE</w:t>
      </w:r>
      <w:r w:rsidR="00274B7B"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 w:rsidR="00446DC5" w:rsidRPr="004708FE">
        <w:rPr>
          <w:rFonts w:ascii="Tahoma" w:hAnsi="Tahoma" w:cs="Tahoma"/>
          <w:b/>
          <w:sz w:val="24"/>
          <w:szCs w:val="24"/>
        </w:rPr>
        <w:t>Respondent</w:t>
      </w:r>
    </w:p>
    <w:p w:rsidR="00446DC5" w:rsidRPr="004708FE" w:rsidRDefault="00446DC5" w:rsidP="00446DC5">
      <w:pPr>
        <w:jc w:val="both"/>
        <w:rPr>
          <w:rFonts w:ascii="Tahoma" w:hAnsi="Tahoma" w:cs="Tahoma"/>
          <w:sz w:val="24"/>
          <w:szCs w:val="24"/>
        </w:rPr>
      </w:pPr>
      <w:r w:rsidRPr="004708FE">
        <w:rPr>
          <w:rFonts w:ascii="Tahoma" w:hAnsi="Tahoma" w:cs="Tahoma"/>
          <w:sz w:val="24"/>
          <w:szCs w:val="24"/>
        </w:rPr>
        <w:t xml:space="preserve">Before Honourable </w:t>
      </w:r>
      <w:r w:rsidR="00875054">
        <w:rPr>
          <w:rFonts w:ascii="Tahoma" w:hAnsi="Tahoma" w:cs="Tahoma"/>
          <w:sz w:val="24"/>
          <w:szCs w:val="24"/>
        </w:rPr>
        <w:t>B.S. Chidziva</w:t>
      </w:r>
      <w:r w:rsidRPr="004708FE">
        <w:rPr>
          <w:rFonts w:ascii="Tahoma" w:hAnsi="Tahoma" w:cs="Tahoma"/>
          <w:sz w:val="24"/>
          <w:szCs w:val="24"/>
        </w:rPr>
        <w:t xml:space="preserve">, Judge                             </w:t>
      </w:r>
    </w:p>
    <w:p w:rsidR="00446DC5" w:rsidRPr="004708FE" w:rsidRDefault="00446DC5" w:rsidP="00037D40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4708FE">
        <w:rPr>
          <w:rFonts w:ascii="Tahoma" w:hAnsi="Tahoma" w:cs="Tahoma"/>
          <w:sz w:val="24"/>
          <w:szCs w:val="24"/>
        </w:rPr>
        <w:tab/>
      </w:r>
      <w:r w:rsidRPr="004708FE">
        <w:rPr>
          <w:rFonts w:ascii="Tahoma" w:hAnsi="Tahoma" w:cs="Tahoma"/>
          <w:sz w:val="24"/>
          <w:szCs w:val="24"/>
        </w:rPr>
        <w:tab/>
      </w:r>
      <w:r w:rsidRPr="004708FE">
        <w:rPr>
          <w:rFonts w:ascii="Tahoma" w:hAnsi="Tahoma" w:cs="Tahoma"/>
          <w:sz w:val="24"/>
          <w:szCs w:val="24"/>
        </w:rPr>
        <w:tab/>
      </w:r>
    </w:p>
    <w:p w:rsidR="009A6FEA" w:rsidRDefault="00875054" w:rsidP="00446DC5">
      <w:pPr>
        <w:pStyle w:val="NoSpacing"/>
        <w:spacing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For App</w:t>
      </w:r>
      <w:r w:rsidR="00C8270C">
        <w:rPr>
          <w:rFonts w:ascii="Tahoma" w:hAnsi="Tahoma" w:cs="Tahoma"/>
          <w:b/>
          <w:sz w:val="24"/>
          <w:szCs w:val="24"/>
        </w:rPr>
        <w:t>licant</w:t>
      </w:r>
      <w:r w:rsidR="00C8270C">
        <w:rPr>
          <w:rFonts w:ascii="Tahoma" w:hAnsi="Tahoma" w:cs="Tahoma"/>
          <w:b/>
          <w:sz w:val="24"/>
          <w:szCs w:val="24"/>
        </w:rPr>
        <w:tab/>
      </w:r>
      <w:r w:rsidR="00C8270C">
        <w:rPr>
          <w:rFonts w:ascii="Tahoma" w:hAnsi="Tahoma" w:cs="Tahoma"/>
          <w:b/>
          <w:sz w:val="24"/>
          <w:szCs w:val="24"/>
        </w:rPr>
        <w:tab/>
      </w:r>
      <w:r w:rsidR="00736986">
        <w:rPr>
          <w:rFonts w:ascii="Tahoma" w:hAnsi="Tahoma" w:cs="Tahoma"/>
          <w:b/>
          <w:sz w:val="24"/>
          <w:szCs w:val="24"/>
        </w:rPr>
        <w:t xml:space="preserve">Mr G. </w:t>
      </w:r>
      <w:r w:rsidR="009A6FEA">
        <w:rPr>
          <w:rFonts w:ascii="Tahoma" w:hAnsi="Tahoma" w:cs="Tahoma"/>
          <w:b/>
          <w:sz w:val="24"/>
          <w:szCs w:val="24"/>
        </w:rPr>
        <w:t>Gumbiro (ZFTU Officiual)</w:t>
      </w:r>
      <w:r w:rsidR="00E25EA0">
        <w:rPr>
          <w:rFonts w:ascii="Tahoma" w:hAnsi="Tahoma" w:cs="Tahoma"/>
          <w:b/>
          <w:sz w:val="24"/>
          <w:szCs w:val="24"/>
        </w:rPr>
        <w:tab/>
      </w:r>
      <w:r w:rsidR="009A6FEA">
        <w:rPr>
          <w:rFonts w:ascii="Tahoma" w:hAnsi="Tahoma" w:cs="Tahoma"/>
          <w:b/>
          <w:sz w:val="24"/>
          <w:szCs w:val="24"/>
        </w:rPr>
        <w:tab/>
      </w:r>
    </w:p>
    <w:p w:rsidR="00446DC5" w:rsidRPr="008C4120" w:rsidRDefault="00446DC5" w:rsidP="00446DC5">
      <w:pPr>
        <w:pStyle w:val="NoSpacing"/>
        <w:spacing w:line="360" w:lineRule="auto"/>
        <w:rPr>
          <w:rFonts w:ascii="Tahoma" w:hAnsi="Tahoma" w:cs="Tahoma"/>
          <w:b/>
          <w:sz w:val="24"/>
          <w:szCs w:val="24"/>
        </w:rPr>
      </w:pPr>
      <w:r w:rsidRPr="008C4120">
        <w:rPr>
          <w:rFonts w:ascii="Tahoma" w:hAnsi="Tahoma" w:cs="Tahoma"/>
          <w:b/>
          <w:sz w:val="24"/>
          <w:szCs w:val="24"/>
        </w:rPr>
        <w:t>For Respondent</w:t>
      </w:r>
      <w:r w:rsidR="00597E82">
        <w:rPr>
          <w:rFonts w:ascii="Tahoma" w:hAnsi="Tahoma" w:cs="Tahoma"/>
          <w:b/>
          <w:sz w:val="24"/>
          <w:szCs w:val="24"/>
        </w:rPr>
        <w:tab/>
      </w:r>
      <w:r w:rsidR="00597E82">
        <w:rPr>
          <w:rFonts w:ascii="Tahoma" w:hAnsi="Tahoma" w:cs="Tahoma"/>
          <w:b/>
          <w:sz w:val="24"/>
          <w:szCs w:val="24"/>
        </w:rPr>
        <w:tab/>
        <w:t>Mr G. Chingoma (Legal Practitioner)</w:t>
      </w:r>
      <w:r>
        <w:rPr>
          <w:rFonts w:ascii="Tahoma" w:hAnsi="Tahoma" w:cs="Tahoma"/>
          <w:b/>
          <w:sz w:val="24"/>
          <w:szCs w:val="24"/>
        </w:rPr>
        <w:tab/>
      </w:r>
      <w:r w:rsidRPr="008C4120">
        <w:rPr>
          <w:rFonts w:ascii="Tahoma" w:hAnsi="Tahoma" w:cs="Tahoma"/>
          <w:b/>
          <w:sz w:val="24"/>
          <w:szCs w:val="24"/>
        </w:rPr>
        <w:tab/>
      </w:r>
    </w:p>
    <w:p w:rsidR="00446DC5" w:rsidRPr="004708FE" w:rsidRDefault="00446DC5" w:rsidP="00037D40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446DC5" w:rsidRDefault="00875054" w:rsidP="00446DC5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CHIDZIVA</w:t>
      </w:r>
      <w:r w:rsidR="00446DC5" w:rsidRPr="004708FE">
        <w:rPr>
          <w:rFonts w:ascii="Tahoma" w:hAnsi="Tahoma" w:cs="Tahoma"/>
          <w:b/>
          <w:sz w:val="24"/>
          <w:szCs w:val="24"/>
        </w:rPr>
        <w:t>, J:</w:t>
      </w:r>
    </w:p>
    <w:p w:rsidR="00932241" w:rsidRDefault="00061C55" w:rsidP="00DD76A7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This is an application for condonation for late noting of an appeal and an application for rescission. In his draft order the applicant has prayed for</w:t>
      </w:r>
      <w:r w:rsidR="00F1677E">
        <w:rPr>
          <w:rFonts w:ascii="Tahoma" w:hAnsi="Tahoma" w:cs="Tahoma"/>
          <w:sz w:val="24"/>
          <w:szCs w:val="24"/>
        </w:rPr>
        <w:t xml:space="preserve"> condonation only. I will therefore</w:t>
      </w:r>
      <w:r w:rsidR="00932241">
        <w:rPr>
          <w:rFonts w:ascii="Tahoma" w:hAnsi="Tahoma" w:cs="Tahoma"/>
          <w:sz w:val="24"/>
          <w:szCs w:val="24"/>
        </w:rPr>
        <w:t xml:space="preserve"> deal with an application for condonation.</w:t>
      </w:r>
    </w:p>
    <w:p w:rsidR="00932241" w:rsidRDefault="00932241" w:rsidP="00DD76A7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brief facts of the matter are that,</w:t>
      </w:r>
    </w:p>
    <w:p w:rsidR="00932241" w:rsidRDefault="00932241" w:rsidP="0093224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applicant was dismissed from employment on 3 December 2013.</w:t>
      </w:r>
    </w:p>
    <w:p w:rsidR="00932241" w:rsidRDefault="00932241" w:rsidP="0093224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applicant then filed this application on 17 April 2019.</w:t>
      </w:r>
    </w:p>
    <w:p w:rsidR="006034E3" w:rsidRDefault="000E0E99" w:rsidP="00384290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In cases of this nature certain facts have to be considered. In the case of </w:t>
      </w:r>
      <w:r w:rsidRPr="00384290">
        <w:rPr>
          <w:rFonts w:ascii="Tahoma" w:hAnsi="Tahoma" w:cs="Tahoma"/>
          <w:i/>
          <w:sz w:val="24"/>
          <w:szCs w:val="24"/>
        </w:rPr>
        <w:t>Friendship</w:t>
      </w:r>
      <w:r>
        <w:rPr>
          <w:rFonts w:ascii="Tahoma" w:hAnsi="Tahoma" w:cs="Tahoma"/>
          <w:sz w:val="24"/>
          <w:szCs w:val="24"/>
        </w:rPr>
        <w:t xml:space="preserve"> vs </w:t>
      </w:r>
      <w:r w:rsidRPr="00384290">
        <w:rPr>
          <w:rFonts w:ascii="Tahoma" w:hAnsi="Tahoma" w:cs="Tahoma"/>
          <w:i/>
          <w:sz w:val="24"/>
          <w:szCs w:val="24"/>
        </w:rPr>
        <w:t>Cargo Carriers Limited &amp; Another</w:t>
      </w:r>
      <w:r>
        <w:rPr>
          <w:rFonts w:ascii="Tahoma" w:hAnsi="Tahoma" w:cs="Tahoma"/>
          <w:sz w:val="24"/>
          <w:szCs w:val="24"/>
        </w:rPr>
        <w:t xml:space="preserve"> SC 1/13 it was held that,</w:t>
      </w:r>
      <w:r w:rsidR="00061C55" w:rsidRPr="00932241">
        <w:rPr>
          <w:rFonts w:ascii="Tahoma" w:hAnsi="Tahoma" w:cs="Tahoma"/>
          <w:sz w:val="24"/>
          <w:szCs w:val="24"/>
        </w:rPr>
        <w:t xml:space="preserve"> </w:t>
      </w:r>
    </w:p>
    <w:p w:rsidR="00384290" w:rsidRPr="000C06FE" w:rsidRDefault="00384290" w:rsidP="000C06FE">
      <w:pPr>
        <w:ind w:left="720"/>
        <w:jc w:val="both"/>
        <w:rPr>
          <w:rFonts w:ascii="Tahoma" w:hAnsi="Tahoma" w:cs="Tahoma"/>
        </w:rPr>
      </w:pPr>
      <w:r w:rsidRPr="000C06FE">
        <w:rPr>
          <w:rFonts w:ascii="Tahoma" w:hAnsi="Tahoma" w:cs="Tahoma"/>
        </w:rPr>
        <w:t xml:space="preserve">“Certain criteria have been laid for consideration by a court/judge in order to assist it in the exercise of its discretion. Among these are, </w:t>
      </w:r>
      <w:r w:rsidRPr="003C19C5">
        <w:rPr>
          <w:rFonts w:ascii="Tahoma" w:hAnsi="Tahoma" w:cs="Tahoma"/>
          <w:u w:val="single"/>
        </w:rPr>
        <w:t>the extent of the delay</w:t>
      </w:r>
      <w:r w:rsidRPr="000C06FE">
        <w:rPr>
          <w:rFonts w:ascii="Tahoma" w:hAnsi="Tahoma" w:cs="Tahoma"/>
        </w:rPr>
        <w:t xml:space="preserve"> and the </w:t>
      </w:r>
      <w:r w:rsidRPr="003C19C5">
        <w:rPr>
          <w:rFonts w:ascii="Tahoma" w:hAnsi="Tahoma" w:cs="Tahoma"/>
          <w:u w:val="single"/>
        </w:rPr>
        <w:t>reasonableness of the explanation</w:t>
      </w:r>
      <w:r w:rsidRPr="000C06FE">
        <w:rPr>
          <w:rFonts w:ascii="Tahoma" w:hAnsi="Tahoma" w:cs="Tahoma"/>
        </w:rPr>
        <w:t xml:space="preserve"> therefore, the </w:t>
      </w:r>
      <w:r w:rsidRPr="003C19C5">
        <w:rPr>
          <w:rFonts w:ascii="Tahoma" w:hAnsi="Tahoma" w:cs="Tahoma"/>
          <w:u w:val="single"/>
        </w:rPr>
        <w:t>prospects of success on appeal</w:t>
      </w:r>
      <w:r w:rsidRPr="000C06FE">
        <w:rPr>
          <w:rFonts w:ascii="Tahoma" w:hAnsi="Tahoma" w:cs="Tahoma"/>
        </w:rPr>
        <w:t xml:space="preserve">, the </w:t>
      </w:r>
      <w:r w:rsidRPr="003C19C5">
        <w:rPr>
          <w:rFonts w:ascii="Tahoma" w:hAnsi="Tahoma" w:cs="Tahoma"/>
          <w:u w:val="single"/>
        </w:rPr>
        <w:t>interest of the court in the finality of judgment</w:t>
      </w:r>
      <w:r w:rsidRPr="000C06FE">
        <w:rPr>
          <w:rFonts w:ascii="Tahoma" w:hAnsi="Tahoma" w:cs="Tahoma"/>
        </w:rPr>
        <w:t xml:space="preserve"> and the </w:t>
      </w:r>
      <w:r w:rsidRPr="00B9751F">
        <w:rPr>
          <w:rFonts w:ascii="Tahoma" w:hAnsi="Tahoma" w:cs="Tahoma"/>
          <w:u w:val="single"/>
        </w:rPr>
        <w:t>prejudice to the party</w:t>
      </w:r>
      <w:r w:rsidRPr="000C06FE">
        <w:rPr>
          <w:rFonts w:ascii="Tahoma" w:hAnsi="Tahoma" w:cs="Tahoma"/>
        </w:rPr>
        <w:t xml:space="preserve"> who is unable to execute his judgment …”</w:t>
      </w:r>
    </w:p>
    <w:p w:rsidR="00384290" w:rsidRPr="009116FA" w:rsidRDefault="00384290" w:rsidP="00384290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  <w:u w:val="single"/>
        </w:rPr>
      </w:pPr>
      <w:r w:rsidRPr="009116FA">
        <w:rPr>
          <w:rFonts w:ascii="Tahoma" w:hAnsi="Tahoma" w:cs="Tahoma"/>
          <w:sz w:val="24"/>
          <w:szCs w:val="24"/>
          <w:u w:val="single"/>
        </w:rPr>
        <w:t xml:space="preserve">The Extent of the delay and reasonableness </w:t>
      </w:r>
      <w:r w:rsidR="000C06FE" w:rsidRPr="009116FA">
        <w:rPr>
          <w:rFonts w:ascii="Tahoma" w:hAnsi="Tahoma" w:cs="Tahoma"/>
          <w:sz w:val="24"/>
          <w:szCs w:val="24"/>
          <w:u w:val="single"/>
        </w:rPr>
        <w:t>of the Explanation</w:t>
      </w:r>
    </w:p>
    <w:p w:rsidR="006E3774" w:rsidRDefault="006E3774" w:rsidP="00384290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The applicant has submitted that the </w:t>
      </w:r>
      <w:r w:rsidR="009116FA">
        <w:rPr>
          <w:rFonts w:ascii="Tahoma" w:hAnsi="Tahoma" w:cs="Tahoma"/>
          <w:sz w:val="24"/>
          <w:szCs w:val="24"/>
        </w:rPr>
        <w:t>delay is excus</w:t>
      </w:r>
      <w:r w:rsidR="00E7044C">
        <w:rPr>
          <w:rFonts w:ascii="Tahoma" w:hAnsi="Tahoma" w:cs="Tahoma"/>
          <w:sz w:val="24"/>
          <w:szCs w:val="24"/>
        </w:rPr>
        <w:t>able as it was due to illness. It was his evidence</w:t>
      </w:r>
      <w:r w:rsidR="000B0A76">
        <w:rPr>
          <w:rFonts w:ascii="Tahoma" w:hAnsi="Tahoma" w:cs="Tahoma"/>
          <w:sz w:val="24"/>
          <w:szCs w:val="24"/>
        </w:rPr>
        <w:t xml:space="preserve"> </w:t>
      </w:r>
      <w:r w:rsidR="000B0A76">
        <w:rPr>
          <w:rFonts w:ascii="Tahoma" w:hAnsi="Tahoma" w:cs="Tahoma"/>
          <w:sz w:val="24"/>
          <w:szCs w:val="24"/>
        </w:rPr>
        <w:t>that</w:t>
      </w:r>
      <w:r w:rsidR="00E7044C">
        <w:rPr>
          <w:rFonts w:ascii="Tahoma" w:hAnsi="Tahoma" w:cs="Tahoma"/>
          <w:sz w:val="24"/>
          <w:szCs w:val="24"/>
        </w:rPr>
        <w:t xml:space="preserve"> f</w:t>
      </w:r>
      <w:r w:rsidR="009116FA">
        <w:rPr>
          <w:rFonts w:ascii="Tahoma" w:hAnsi="Tahoma" w:cs="Tahoma"/>
          <w:sz w:val="24"/>
          <w:szCs w:val="24"/>
        </w:rPr>
        <w:t>rom the 5</w:t>
      </w:r>
      <w:r w:rsidR="009116FA" w:rsidRPr="009116FA">
        <w:rPr>
          <w:rFonts w:ascii="Tahoma" w:hAnsi="Tahoma" w:cs="Tahoma"/>
          <w:sz w:val="24"/>
          <w:szCs w:val="24"/>
          <w:vertAlign w:val="superscript"/>
        </w:rPr>
        <w:t>th</w:t>
      </w:r>
      <w:r w:rsidR="009116FA">
        <w:rPr>
          <w:rFonts w:ascii="Tahoma" w:hAnsi="Tahoma" w:cs="Tahoma"/>
          <w:sz w:val="24"/>
          <w:szCs w:val="24"/>
        </w:rPr>
        <w:t xml:space="preserve"> of December 2013 </w:t>
      </w:r>
      <w:r w:rsidR="0088686C">
        <w:rPr>
          <w:rFonts w:ascii="Tahoma" w:hAnsi="Tahoma" w:cs="Tahoma"/>
          <w:sz w:val="24"/>
          <w:szCs w:val="24"/>
        </w:rPr>
        <w:t>he</w:t>
      </w:r>
      <w:r w:rsidR="009116FA">
        <w:rPr>
          <w:rFonts w:ascii="Tahoma" w:hAnsi="Tahoma" w:cs="Tahoma"/>
          <w:sz w:val="24"/>
          <w:szCs w:val="24"/>
        </w:rPr>
        <w:t xml:space="preserve"> succumbed to </w:t>
      </w:r>
      <w:proofErr w:type="spellStart"/>
      <w:r w:rsidR="00257223">
        <w:rPr>
          <w:rFonts w:ascii="Tahoma" w:hAnsi="Tahoma" w:cs="Tahoma"/>
          <w:sz w:val="24"/>
          <w:szCs w:val="24"/>
        </w:rPr>
        <w:t>celebral</w:t>
      </w:r>
      <w:proofErr w:type="spellEnd"/>
      <w:r w:rsidR="00257223">
        <w:rPr>
          <w:rFonts w:ascii="Tahoma" w:hAnsi="Tahoma" w:cs="Tahoma"/>
          <w:sz w:val="24"/>
          <w:szCs w:val="24"/>
        </w:rPr>
        <w:t xml:space="preserve"> malaria and he was going to hospital from the 8</w:t>
      </w:r>
      <w:r w:rsidR="00257223" w:rsidRPr="00EA07AE">
        <w:rPr>
          <w:rFonts w:ascii="Tahoma" w:hAnsi="Tahoma" w:cs="Tahoma"/>
          <w:sz w:val="24"/>
          <w:szCs w:val="24"/>
          <w:vertAlign w:val="superscript"/>
        </w:rPr>
        <w:t>th</w:t>
      </w:r>
      <w:r w:rsidR="00EA07AE">
        <w:rPr>
          <w:rFonts w:ascii="Tahoma" w:hAnsi="Tahoma" w:cs="Tahoma"/>
          <w:sz w:val="24"/>
          <w:szCs w:val="24"/>
        </w:rPr>
        <w:t>, 12</w:t>
      </w:r>
      <w:r w:rsidR="00EA07AE" w:rsidRPr="00EA07AE">
        <w:rPr>
          <w:rFonts w:ascii="Tahoma" w:hAnsi="Tahoma" w:cs="Tahoma"/>
          <w:sz w:val="24"/>
          <w:szCs w:val="24"/>
          <w:vertAlign w:val="superscript"/>
        </w:rPr>
        <w:t>th</w:t>
      </w:r>
      <w:r w:rsidR="00257223">
        <w:rPr>
          <w:rFonts w:ascii="Tahoma" w:hAnsi="Tahoma" w:cs="Tahoma"/>
          <w:sz w:val="24"/>
          <w:szCs w:val="24"/>
        </w:rPr>
        <w:t>, 19</w:t>
      </w:r>
      <w:r w:rsidR="00257223" w:rsidRPr="00EA07AE">
        <w:rPr>
          <w:rFonts w:ascii="Tahoma" w:hAnsi="Tahoma" w:cs="Tahoma"/>
          <w:sz w:val="24"/>
          <w:szCs w:val="24"/>
          <w:vertAlign w:val="superscript"/>
        </w:rPr>
        <w:t>th</w:t>
      </w:r>
      <w:r w:rsidR="00257223">
        <w:rPr>
          <w:rFonts w:ascii="Tahoma" w:hAnsi="Tahoma" w:cs="Tahoma"/>
          <w:sz w:val="24"/>
          <w:szCs w:val="24"/>
        </w:rPr>
        <w:t>, to 22</w:t>
      </w:r>
      <w:r w:rsidR="00257223" w:rsidRPr="00EA07AE">
        <w:rPr>
          <w:rFonts w:ascii="Tahoma" w:hAnsi="Tahoma" w:cs="Tahoma"/>
          <w:sz w:val="24"/>
          <w:szCs w:val="24"/>
          <w:vertAlign w:val="superscript"/>
        </w:rPr>
        <w:t>nd</w:t>
      </w:r>
      <w:r w:rsidR="00257223">
        <w:rPr>
          <w:rFonts w:ascii="Tahoma" w:hAnsi="Tahoma" w:cs="Tahoma"/>
          <w:sz w:val="24"/>
          <w:szCs w:val="24"/>
        </w:rPr>
        <w:t xml:space="preserve"> December 2013.</w:t>
      </w:r>
      <w:r w:rsidR="00EA07AE">
        <w:rPr>
          <w:rFonts w:ascii="Tahoma" w:hAnsi="Tahoma" w:cs="Tahoma"/>
          <w:sz w:val="24"/>
          <w:szCs w:val="24"/>
        </w:rPr>
        <w:t xml:space="preserve"> The applicant submitted medical reports on page </w:t>
      </w:r>
      <w:r w:rsidR="00106141">
        <w:rPr>
          <w:rFonts w:ascii="Tahoma" w:hAnsi="Tahoma" w:cs="Tahoma"/>
          <w:sz w:val="24"/>
          <w:szCs w:val="24"/>
        </w:rPr>
        <w:t>25 and 26 to prove this.</w:t>
      </w:r>
    </w:p>
    <w:p w:rsidR="00D551B2" w:rsidRDefault="00DD1376" w:rsidP="00384290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In December 2014 applicant appeared before a labour officer who indicated that he had no jurisdiction </w:t>
      </w:r>
      <w:r w:rsidR="009171DA">
        <w:rPr>
          <w:rFonts w:ascii="Tahoma" w:hAnsi="Tahoma" w:cs="Tahoma"/>
          <w:sz w:val="24"/>
          <w:szCs w:val="24"/>
        </w:rPr>
        <w:t>over the matter. This is when he approached the Labour Court. Applicant also submitted that the other reason for the delay is that he was failing to raise</w:t>
      </w:r>
      <w:r w:rsidR="006B0501">
        <w:rPr>
          <w:rFonts w:ascii="Tahoma" w:hAnsi="Tahoma" w:cs="Tahoma"/>
          <w:sz w:val="24"/>
          <w:szCs w:val="24"/>
        </w:rPr>
        <w:t xml:space="preserve"> Sheriff fees after settling the medical bills. He was also diagnosed with insanity </w:t>
      </w:r>
      <w:r w:rsidR="0099197F">
        <w:rPr>
          <w:rFonts w:ascii="Tahoma" w:hAnsi="Tahoma" w:cs="Tahoma"/>
          <w:sz w:val="24"/>
          <w:szCs w:val="24"/>
        </w:rPr>
        <w:t>and he</w:t>
      </w:r>
      <w:r w:rsidR="006B0501">
        <w:rPr>
          <w:rFonts w:ascii="Tahoma" w:hAnsi="Tahoma" w:cs="Tahoma"/>
          <w:sz w:val="24"/>
          <w:szCs w:val="24"/>
        </w:rPr>
        <w:t xml:space="preserve"> was eve</w:t>
      </w:r>
      <w:r w:rsidR="002C550B">
        <w:rPr>
          <w:rFonts w:ascii="Tahoma" w:hAnsi="Tahoma" w:cs="Tahoma"/>
          <w:sz w:val="24"/>
          <w:szCs w:val="24"/>
        </w:rPr>
        <w:t xml:space="preserve">ntually referred to traditional healers.  The medical </w:t>
      </w:r>
      <w:bookmarkStart w:id="0" w:name="_GoBack"/>
      <w:bookmarkEnd w:id="0"/>
      <w:r w:rsidR="002C550B">
        <w:rPr>
          <w:rFonts w:ascii="Tahoma" w:hAnsi="Tahoma" w:cs="Tahoma"/>
          <w:sz w:val="24"/>
          <w:szCs w:val="24"/>
        </w:rPr>
        <w:t xml:space="preserve">report on page 22 shows that he received treatment from </w:t>
      </w:r>
      <w:r w:rsidR="00D551B2">
        <w:rPr>
          <w:rFonts w:ascii="Tahoma" w:hAnsi="Tahoma" w:cs="Tahoma"/>
          <w:sz w:val="24"/>
          <w:szCs w:val="24"/>
        </w:rPr>
        <w:t>5 November 2017 to 12 October 2018.</w:t>
      </w:r>
    </w:p>
    <w:p w:rsidR="00D551B2" w:rsidRDefault="00D551B2" w:rsidP="00384290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It is my view from the foregoing that the applicant gave a reasonable explanation for the delay by availing medical reports covering the period 2013 to 2018.</w:t>
      </w:r>
    </w:p>
    <w:p w:rsidR="004445DA" w:rsidRPr="004445DA" w:rsidRDefault="004445DA" w:rsidP="00384290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  <w:u w:val="single"/>
        </w:rPr>
      </w:pPr>
      <w:r w:rsidRPr="004445DA">
        <w:rPr>
          <w:rFonts w:ascii="Tahoma" w:hAnsi="Tahoma" w:cs="Tahoma"/>
          <w:sz w:val="24"/>
          <w:szCs w:val="24"/>
          <w:u w:val="single"/>
        </w:rPr>
        <w:t>Prospects of Success</w:t>
      </w:r>
    </w:p>
    <w:p w:rsidR="0087299A" w:rsidRDefault="004445DA" w:rsidP="00384290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In the case of </w:t>
      </w:r>
      <w:r w:rsidRPr="007B75E8">
        <w:rPr>
          <w:rFonts w:ascii="Tahoma" w:hAnsi="Tahoma" w:cs="Tahoma"/>
          <w:i/>
          <w:sz w:val="24"/>
          <w:szCs w:val="24"/>
        </w:rPr>
        <w:t>NMZ Holdings</w:t>
      </w:r>
      <w:r w:rsidR="006B0501" w:rsidRPr="007B75E8">
        <w:rPr>
          <w:rFonts w:ascii="Tahoma" w:hAnsi="Tahoma" w:cs="Tahoma"/>
          <w:i/>
          <w:sz w:val="24"/>
          <w:szCs w:val="24"/>
        </w:rPr>
        <w:t xml:space="preserve"> </w:t>
      </w:r>
      <w:r w:rsidR="007B75E8" w:rsidRPr="007B75E8">
        <w:rPr>
          <w:rFonts w:ascii="Tahoma" w:hAnsi="Tahoma" w:cs="Tahoma"/>
          <w:i/>
          <w:sz w:val="24"/>
          <w:szCs w:val="24"/>
        </w:rPr>
        <w:t>Ltd</w:t>
      </w:r>
      <w:r w:rsidR="007B75E8">
        <w:rPr>
          <w:rFonts w:ascii="Tahoma" w:hAnsi="Tahoma" w:cs="Tahoma"/>
          <w:sz w:val="24"/>
          <w:szCs w:val="24"/>
        </w:rPr>
        <w:t xml:space="preserve"> vs </w:t>
      </w:r>
      <w:r w:rsidR="007B75E8" w:rsidRPr="007B75E8">
        <w:rPr>
          <w:rFonts w:ascii="Tahoma" w:hAnsi="Tahoma" w:cs="Tahoma"/>
          <w:i/>
          <w:sz w:val="24"/>
          <w:szCs w:val="24"/>
        </w:rPr>
        <w:t>The Liquidator</w:t>
      </w:r>
      <w:r w:rsidR="007B75E8">
        <w:rPr>
          <w:rFonts w:ascii="Tahoma" w:hAnsi="Tahoma" w:cs="Tahoma"/>
          <w:sz w:val="24"/>
          <w:szCs w:val="24"/>
        </w:rPr>
        <w:t xml:space="preserve"> </w:t>
      </w:r>
      <w:r w:rsidR="007B75E8" w:rsidRPr="00CC7382">
        <w:rPr>
          <w:rFonts w:ascii="Tahoma" w:hAnsi="Tahoma" w:cs="Tahoma"/>
          <w:i/>
          <w:sz w:val="24"/>
          <w:szCs w:val="24"/>
        </w:rPr>
        <w:t>of Continental Securities</w:t>
      </w:r>
      <w:r w:rsidR="007B75E8">
        <w:rPr>
          <w:rFonts w:ascii="Tahoma" w:hAnsi="Tahoma" w:cs="Tahoma"/>
          <w:sz w:val="24"/>
          <w:szCs w:val="24"/>
        </w:rPr>
        <w:t xml:space="preserve"> </w:t>
      </w:r>
      <w:r w:rsidR="00CC7382" w:rsidRPr="00CC7382">
        <w:rPr>
          <w:rFonts w:ascii="Tahoma" w:hAnsi="Tahoma" w:cs="Tahoma"/>
          <w:i/>
          <w:sz w:val="24"/>
          <w:szCs w:val="24"/>
        </w:rPr>
        <w:t>Trading (Pvt) Limited</w:t>
      </w:r>
      <w:r w:rsidR="00CC7382">
        <w:rPr>
          <w:rFonts w:ascii="Tahoma" w:hAnsi="Tahoma" w:cs="Tahoma"/>
          <w:sz w:val="24"/>
          <w:szCs w:val="24"/>
        </w:rPr>
        <w:t xml:space="preserve"> SC 8/09 it was held that in dealing with an application for condonation</w:t>
      </w:r>
      <w:r w:rsidR="005C0287">
        <w:rPr>
          <w:rFonts w:ascii="Tahoma" w:hAnsi="Tahoma" w:cs="Tahoma"/>
          <w:sz w:val="24"/>
          <w:szCs w:val="24"/>
        </w:rPr>
        <w:t>.</w:t>
      </w:r>
    </w:p>
    <w:p w:rsidR="005C0287" w:rsidRPr="006D488A" w:rsidRDefault="005C0287" w:rsidP="006D488A">
      <w:pPr>
        <w:ind w:left="720"/>
        <w:jc w:val="both"/>
        <w:rPr>
          <w:rFonts w:ascii="Tahoma" w:hAnsi="Tahoma" w:cs="Tahoma"/>
        </w:rPr>
      </w:pPr>
      <w:r w:rsidRPr="006D488A">
        <w:rPr>
          <w:rFonts w:ascii="Tahoma" w:hAnsi="Tahoma" w:cs="Tahoma"/>
        </w:rPr>
        <w:t xml:space="preserve">“It is a requirement in our law that the </w:t>
      </w:r>
      <w:r w:rsidR="00A85681" w:rsidRPr="006D488A">
        <w:rPr>
          <w:rFonts w:ascii="Tahoma" w:hAnsi="Tahoma" w:cs="Tahoma"/>
        </w:rPr>
        <w:t>affidavit</w:t>
      </w:r>
      <w:r w:rsidRPr="006D488A">
        <w:rPr>
          <w:rFonts w:ascii="Tahoma" w:hAnsi="Tahoma" w:cs="Tahoma"/>
        </w:rPr>
        <w:t xml:space="preserve"> should deal with this aspect of the application that is, the </w:t>
      </w:r>
      <w:r w:rsidR="00A85681" w:rsidRPr="006D488A">
        <w:rPr>
          <w:rFonts w:ascii="Tahoma" w:hAnsi="Tahoma" w:cs="Tahoma"/>
          <w:u w:val="single"/>
        </w:rPr>
        <w:t>prospects</w:t>
      </w:r>
      <w:r w:rsidRPr="006D488A">
        <w:rPr>
          <w:rFonts w:ascii="Tahoma" w:hAnsi="Tahoma" w:cs="Tahoma"/>
          <w:u w:val="single"/>
        </w:rPr>
        <w:t xml:space="preserve"> of success</w:t>
      </w:r>
      <w:r w:rsidR="00A85681" w:rsidRPr="006D488A">
        <w:rPr>
          <w:rFonts w:ascii="Tahoma" w:hAnsi="Tahoma" w:cs="Tahoma"/>
        </w:rPr>
        <w:t>.”</w:t>
      </w:r>
    </w:p>
    <w:p w:rsidR="00A85681" w:rsidRDefault="00A85681" w:rsidP="00384290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 Annexure “A” attached to</w:t>
      </w:r>
      <w:r w:rsidR="007E39EB">
        <w:rPr>
          <w:rFonts w:ascii="Tahoma" w:hAnsi="Tahoma" w:cs="Tahoma"/>
          <w:sz w:val="24"/>
          <w:szCs w:val="24"/>
        </w:rPr>
        <w:t xml:space="preserve"> his found</w:t>
      </w:r>
      <w:r w:rsidR="00A773AD">
        <w:rPr>
          <w:rFonts w:ascii="Tahoma" w:hAnsi="Tahoma" w:cs="Tahoma"/>
          <w:sz w:val="24"/>
          <w:szCs w:val="24"/>
        </w:rPr>
        <w:t>ing affidavit the applicant has argued that he has prospects of success on appeal in that,</w:t>
      </w:r>
    </w:p>
    <w:p w:rsidR="009C1AFF" w:rsidRDefault="003361B9" w:rsidP="003361B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Disciplinary hearing committee had no jurisdiction over the matter according to Section F (3.4) and </w:t>
      </w:r>
      <w:r w:rsidR="00DB7364">
        <w:rPr>
          <w:rFonts w:ascii="Tahoma" w:hAnsi="Tahoma" w:cs="Tahoma"/>
          <w:sz w:val="24"/>
          <w:szCs w:val="24"/>
        </w:rPr>
        <w:t xml:space="preserve">F (2) of the Traffic Safety Council of Zimbabwe Code of Conduct. He submitted that the Code states </w:t>
      </w:r>
      <w:r w:rsidR="00D93A7C">
        <w:rPr>
          <w:rFonts w:ascii="Tahoma" w:hAnsi="Tahoma" w:cs="Tahoma"/>
          <w:sz w:val="24"/>
          <w:szCs w:val="24"/>
        </w:rPr>
        <w:t xml:space="preserve">that where </w:t>
      </w:r>
      <w:r w:rsidR="00B32295">
        <w:rPr>
          <w:rFonts w:ascii="Tahoma" w:hAnsi="Tahoma" w:cs="Tahoma"/>
          <w:sz w:val="24"/>
          <w:szCs w:val="24"/>
        </w:rPr>
        <w:t xml:space="preserve">the offence </w:t>
      </w:r>
      <w:r w:rsidR="00650627">
        <w:rPr>
          <w:rFonts w:ascii="Tahoma" w:hAnsi="Tahoma" w:cs="Tahoma"/>
          <w:sz w:val="24"/>
          <w:szCs w:val="24"/>
        </w:rPr>
        <w:t>necessitates a</w:t>
      </w:r>
      <w:r w:rsidR="00B32295">
        <w:rPr>
          <w:rFonts w:ascii="Tahoma" w:hAnsi="Tahoma" w:cs="Tahoma"/>
          <w:sz w:val="24"/>
          <w:szCs w:val="24"/>
        </w:rPr>
        <w:t xml:space="preserve"> verbal or written warning the hearing shall be conducted by the immediate </w:t>
      </w:r>
      <w:r w:rsidR="009B2685">
        <w:rPr>
          <w:rFonts w:ascii="Tahoma" w:hAnsi="Tahoma" w:cs="Tahoma"/>
          <w:sz w:val="24"/>
          <w:szCs w:val="24"/>
        </w:rPr>
        <w:t>Supervisor</w:t>
      </w:r>
      <w:r w:rsidR="008765FB">
        <w:rPr>
          <w:rFonts w:ascii="Tahoma" w:hAnsi="Tahoma" w:cs="Tahoma"/>
          <w:sz w:val="24"/>
          <w:szCs w:val="24"/>
        </w:rPr>
        <w:t xml:space="preserve"> </w:t>
      </w:r>
      <w:r w:rsidR="009C1AFF">
        <w:rPr>
          <w:rFonts w:ascii="Tahoma" w:hAnsi="Tahoma" w:cs="Tahoma"/>
          <w:sz w:val="24"/>
          <w:szCs w:val="24"/>
        </w:rPr>
        <w:t>not the Committee as is the case here.</w:t>
      </w:r>
    </w:p>
    <w:p w:rsidR="00AA7A00" w:rsidRDefault="009C1AFF" w:rsidP="003361B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Dismissal was </w:t>
      </w:r>
      <w:r w:rsidR="0096020B">
        <w:rPr>
          <w:rFonts w:ascii="Tahoma" w:hAnsi="Tahoma" w:cs="Tahoma"/>
          <w:sz w:val="24"/>
          <w:szCs w:val="24"/>
        </w:rPr>
        <w:t>supposed to</w:t>
      </w:r>
      <w:r>
        <w:rPr>
          <w:rFonts w:ascii="Tahoma" w:hAnsi="Tahoma" w:cs="Tahoma"/>
          <w:sz w:val="24"/>
          <w:szCs w:val="24"/>
        </w:rPr>
        <w:t xml:space="preserve"> be on the 2nd count not the first count.  This case does not call for dismissal on the first count.  The</w:t>
      </w:r>
      <w:r w:rsidR="00337EEE">
        <w:rPr>
          <w:rFonts w:ascii="Tahoma" w:hAnsi="Tahoma" w:cs="Tahoma"/>
          <w:sz w:val="24"/>
          <w:szCs w:val="24"/>
        </w:rPr>
        <w:t xml:space="preserve"> offence necessitated a written </w:t>
      </w:r>
      <w:r w:rsidR="0096020B">
        <w:rPr>
          <w:rFonts w:ascii="Tahoma" w:hAnsi="Tahoma" w:cs="Tahoma"/>
          <w:sz w:val="24"/>
          <w:szCs w:val="24"/>
        </w:rPr>
        <w:t>warning not</w:t>
      </w:r>
      <w:r w:rsidR="00AA7A00">
        <w:rPr>
          <w:rFonts w:ascii="Tahoma" w:hAnsi="Tahoma" w:cs="Tahoma"/>
          <w:sz w:val="24"/>
          <w:szCs w:val="24"/>
        </w:rPr>
        <w:t xml:space="preserve"> dismissal or a penalty.</w:t>
      </w:r>
    </w:p>
    <w:p w:rsidR="0031609D" w:rsidRDefault="00AA7A00" w:rsidP="003361B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There was gross misdirection by the Disciplinary Committee as it did</w:t>
      </w:r>
      <w:r w:rsidR="0031609D">
        <w:rPr>
          <w:rFonts w:ascii="Tahoma" w:hAnsi="Tahoma" w:cs="Tahoma"/>
          <w:sz w:val="24"/>
          <w:szCs w:val="24"/>
        </w:rPr>
        <w:t xml:space="preserve"> not follow the Code of Conduct when it based its decisions on contributing factors.</w:t>
      </w:r>
    </w:p>
    <w:p w:rsidR="003361B9" w:rsidRDefault="0031609D" w:rsidP="00A10934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Respondent in </w:t>
      </w:r>
      <w:r w:rsidR="00A10934">
        <w:rPr>
          <w:rFonts w:ascii="Tahoma" w:hAnsi="Tahoma" w:cs="Tahoma"/>
          <w:sz w:val="24"/>
          <w:szCs w:val="24"/>
        </w:rPr>
        <w:t xml:space="preserve">response argued that applicant did not address the prospects of success in the founding affidavit. </w:t>
      </w:r>
      <w:r w:rsidR="009B2685" w:rsidRPr="0031609D">
        <w:rPr>
          <w:rFonts w:ascii="Tahoma" w:hAnsi="Tahoma" w:cs="Tahoma"/>
          <w:sz w:val="24"/>
          <w:szCs w:val="24"/>
        </w:rPr>
        <w:t xml:space="preserve"> </w:t>
      </w:r>
      <w:r w:rsidR="00A10934">
        <w:rPr>
          <w:rFonts w:ascii="Tahoma" w:hAnsi="Tahoma" w:cs="Tahoma"/>
          <w:sz w:val="24"/>
          <w:szCs w:val="24"/>
        </w:rPr>
        <w:t>Respondent further stated</w:t>
      </w:r>
      <w:r w:rsidR="002E7605">
        <w:rPr>
          <w:rFonts w:ascii="Tahoma" w:hAnsi="Tahoma" w:cs="Tahoma"/>
          <w:sz w:val="24"/>
          <w:szCs w:val="24"/>
        </w:rPr>
        <w:t xml:space="preserve"> that the applicant had left the court</w:t>
      </w:r>
      <w:r w:rsidR="002E56D7">
        <w:rPr>
          <w:rFonts w:ascii="Tahoma" w:hAnsi="Tahoma" w:cs="Tahoma"/>
          <w:sz w:val="24"/>
          <w:szCs w:val="24"/>
        </w:rPr>
        <w:t xml:space="preserve"> to guess the prospects of success on his app</w:t>
      </w:r>
      <w:r w:rsidR="008C3B7B">
        <w:rPr>
          <w:rFonts w:ascii="Tahoma" w:hAnsi="Tahoma" w:cs="Tahoma"/>
          <w:sz w:val="24"/>
          <w:szCs w:val="24"/>
        </w:rPr>
        <w:t>lication should feel.</w:t>
      </w:r>
    </w:p>
    <w:p w:rsidR="0096020B" w:rsidRDefault="0096020B" w:rsidP="00A10934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Applicant addressed the issue of prospects of suc</w:t>
      </w:r>
      <w:r w:rsidR="008C236E">
        <w:rPr>
          <w:rFonts w:ascii="Tahoma" w:hAnsi="Tahoma" w:cs="Tahoma"/>
          <w:sz w:val="24"/>
          <w:szCs w:val="24"/>
        </w:rPr>
        <w:t>cess in Annexure A of his founding affidavit. The applicant pointed out at the gross-misdirection</w:t>
      </w:r>
      <w:r w:rsidR="00CD760F">
        <w:rPr>
          <w:rFonts w:ascii="Tahoma" w:hAnsi="Tahoma" w:cs="Tahoma"/>
          <w:sz w:val="24"/>
          <w:szCs w:val="24"/>
        </w:rPr>
        <w:t xml:space="preserve"> in the hearing in that the Code of Conduct was</w:t>
      </w:r>
      <w:r w:rsidR="00020E3B">
        <w:rPr>
          <w:rFonts w:ascii="Tahoma" w:hAnsi="Tahoma" w:cs="Tahoma"/>
          <w:sz w:val="24"/>
          <w:szCs w:val="24"/>
        </w:rPr>
        <w:t xml:space="preserve"> not adhered to.</w:t>
      </w:r>
    </w:p>
    <w:p w:rsidR="00020E3B" w:rsidRDefault="00020E3B" w:rsidP="00A10934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Respondent in its heads of argument submitted </w:t>
      </w:r>
      <w:r w:rsidR="00B87CE9">
        <w:rPr>
          <w:rFonts w:ascii="Tahoma" w:hAnsi="Tahoma" w:cs="Tahoma"/>
          <w:sz w:val="24"/>
          <w:szCs w:val="24"/>
        </w:rPr>
        <w:t xml:space="preserve">that the right to appeal had also prescribed. It was further argued that the </w:t>
      </w:r>
      <w:r w:rsidR="00295A18">
        <w:rPr>
          <w:rFonts w:ascii="Tahoma" w:hAnsi="Tahoma" w:cs="Tahoma"/>
          <w:sz w:val="24"/>
          <w:szCs w:val="24"/>
        </w:rPr>
        <w:t>right to appeal qualifies as a “debt” under the Prescription</w:t>
      </w:r>
      <w:r w:rsidR="00EA0B94">
        <w:rPr>
          <w:rFonts w:ascii="Tahoma" w:hAnsi="Tahoma" w:cs="Tahoma"/>
          <w:sz w:val="24"/>
          <w:szCs w:val="24"/>
        </w:rPr>
        <w:t xml:space="preserve"> Act. Mr </w:t>
      </w:r>
      <w:proofErr w:type="spellStart"/>
      <w:r w:rsidR="00EA0B94">
        <w:rPr>
          <w:rFonts w:ascii="Tahoma" w:hAnsi="Tahoma" w:cs="Tahoma"/>
          <w:sz w:val="24"/>
          <w:szCs w:val="24"/>
        </w:rPr>
        <w:t>Chingoma</w:t>
      </w:r>
      <w:proofErr w:type="spellEnd"/>
      <w:r w:rsidR="00EA0B94">
        <w:rPr>
          <w:rFonts w:ascii="Tahoma" w:hAnsi="Tahoma" w:cs="Tahoma"/>
          <w:sz w:val="24"/>
          <w:szCs w:val="24"/>
        </w:rPr>
        <w:t xml:space="preserve"> in his submissions indicated that he was not going to deal with the issue</w:t>
      </w:r>
      <w:r w:rsidR="002B301F">
        <w:rPr>
          <w:rFonts w:ascii="Tahoma" w:hAnsi="Tahoma" w:cs="Tahoma"/>
          <w:sz w:val="24"/>
          <w:szCs w:val="24"/>
        </w:rPr>
        <w:t xml:space="preserve"> of prescription as a point </w:t>
      </w:r>
      <w:r w:rsidR="002B301F" w:rsidRPr="00084BD8">
        <w:rPr>
          <w:rFonts w:ascii="Tahoma" w:hAnsi="Tahoma" w:cs="Tahoma"/>
          <w:i/>
          <w:sz w:val="24"/>
          <w:szCs w:val="24"/>
        </w:rPr>
        <w:t>in limine</w:t>
      </w:r>
      <w:r w:rsidR="002B301F">
        <w:rPr>
          <w:rFonts w:ascii="Tahoma" w:hAnsi="Tahoma" w:cs="Tahoma"/>
          <w:sz w:val="24"/>
          <w:szCs w:val="24"/>
        </w:rPr>
        <w:t xml:space="preserve"> but would deal with it through the issue of prospects of success.</w:t>
      </w:r>
    </w:p>
    <w:p w:rsidR="00084BD8" w:rsidRDefault="00084BD8" w:rsidP="00A10934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 have already found that the applicant gave a reasonable explanation for the delay. The applicant also acquitted himself well in explai</w:t>
      </w:r>
      <w:r w:rsidR="00D93A7C">
        <w:rPr>
          <w:rFonts w:ascii="Tahoma" w:hAnsi="Tahoma" w:cs="Tahoma"/>
          <w:sz w:val="24"/>
          <w:szCs w:val="24"/>
        </w:rPr>
        <w:t>ning the prospects of success on</w:t>
      </w:r>
      <w:r>
        <w:rPr>
          <w:rFonts w:ascii="Tahoma" w:hAnsi="Tahoma" w:cs="Tahoma"/>
          <w:sz w:val="24"/>
          <w:szCs w:val="24"/>
        </w:rPr>
        <w:t xml:space="preserve"> appeal.</w:t>
      </w:r>
    </w:p>
    <w:p w:rsidR="00084BD8" w:rsidRDefault="00084BD8" w:rsidP="00A10934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In the circumstances I find that the application being merited </w:t>
      </w:r>
      <w:r w:rsidR="00A90559">
        <w:rPr>
          <w:rFonts w:ascii="Tahoma" w:hAnsi="Tahoma" w:cs="Tahoma"/>
          <w:sz w:val="24"/>
          <w:szCs w:val="24"/>
        </w:rPr>
        <w:t>I order as follows,</w:t>
      </w:r>
    </w:p>
    <w:p w:rsidR="00A90559" w:rsidRDefault="00A90559" w:rsidP="00A9055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application for condonation of late filing of appeal be and is hereby granted.</w:t>
      </w:r>
    </w:p>
    <w:p w:rsidR="00A90559" w:rsidRDefault="00A90559" w:rsidP="00A9055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Respondent shall bear costs.</w:t>
      </w:r>
    </w:p>
    <w:p w:rsidR="004250D3" w:rsidRDefault="004250D3" w:rsidP="004250D3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CC7382" w:rsidRPr="00932241" w:rsidRDefault="0047331C" w:rsidP="00650627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650627">
        <w:rPr>
          <w:rFonts w:ascii="Tahoma" w:hAnsi="Tahoma" w:cs="Tahoma"/>
          <w:i/>
          <w:sz w:val="24"/>
          <w:szCs w:val="24"/>
        </w:rPr>
        <w:t>Dube, Manikai &amp; Hwacha</w:t>
      </w:r>
      <w:r>
        <w:rPr>
          <w:rFonts w:ascii="Tahoma" w:hAnsi="Tahoma" w:cs="Tahoma"/>
          <w:sz w:val="24"/>
          <w:szCs w:val="24"/>
        </w:rPr>
        <w:t>, respondent’s legal practitioners</w:t>
      </w:r>
    </w:p>
    <w:sectPr w:rsidR="00CC7382" w:rsidRPr="00932241" w:rsidSect="00B060EA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2CA" w:rsidRDefault="001012CA" w:rsidP="00106141">
      <w:pPr>
        <w:spacing w:after="0" w:line="240" w:lineRule="auto"/>
      </w:pPr>
      <w:r>
        <w:separator/>
      </w:r>
    </w:p>
  </w:endnote>
  <w:endnote w:type="continuationSeparator" w:id="0">
    <w:p w:rsidR="001012CA" w:rsidRDefault="001012CA" w:rsidP="00106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28750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87CE9" w:rsidRDefault="00B87C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0A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87CE9" w:rsidRDefault="00B87C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2CA" w:rsidRDefault="001012CA" w:rsidP="00106141">
      <w:pPr>
        <w:spacing w:after="0" w:line="240" w:lineRule="auto"/>
      </w:pPr>
      <w:r>
        <w:separator/>
      </w:r>
    </w:p>
  </w:footnote>
  <w:footnote w:type="continuationSeparator" w:id="0">
    <w:p w:rsidR="001012CA" w:rsidRDefault="001012CA" w:rsidP="00106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CE9" w:rsidRPr="00106141" w:rsidRDefault="00B87CE9">
    <w:pPr>
      <w:pStyle w:val="Header"/>
      <w:rPr>
        <w:rFonts w:ascii="Tahoma" w:hAnsi="Tahoma" w:cs="Tahoma"/>
        <w:sz w:val="24"/>
        <w:szCs w:val="24"/>
      </w:rPr>
    </w:pPr>
    <w:r>
      <w:rPr>
        <w:rFonts w:ascii="Tahoma" w:hAnsi="Tahoma" w:cs="Tahoma"/>
        <w:sz w:val="24"/>
        <w:szCs w:val="24"/>
      </w:rPr>
      <w:tab/>
    </w:r>
    <w:r>
      <w:rPr>
        <w:rFonts w:ascii="Tahoma" w:hAnsi="Tahoma" w:cs="Tahoma"/>
        <w:sz w:val="24"/>
        <w:szCs w:val="24"/>
      </w:rPr>
      <w:tab/>
    </w:r>
    <w:r w:rsidR="00591AC3">
      <w:rPr>
        <w:rFonts w:ascii="Tahoma" w:hAnsi="Tahoma" w:cs="Tahoma"/>
        <w:sz w:val="24"/>
        <w:szCs w:val="24"/>
      </w:rPr>
      <w:t>JUDGMENT NO. LC/H/24</w:t>
    </w:r>
    <w:r w:rsidRPr="00106141">
      <w:rPr>
        <w:rFonts w:ascii="Tahoma" w:hAnsi="Tahoma" w:cs="Tahoma"/>
        <w:sz w:val="24"/>
        <w:szCs w:val="24"/>
      </w:rPr>
      <w:t>/2020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32B47"/>
    <w:multiLevelType w:val="hybridMultilevel"/>
    <w:tmpl w:val="A576413E"/>
    <w:lvl w:ilvl="0" w:tplc="0CB6015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A93083"/>
    <w:multiLevelType w:val="hybridMultilevel"/>
    <w:tmpl w:val="587859B8"/>
    <w:lvl w:ilvl="0" w:tplc="F6526D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C664644"/>
    <w:multiLevelType w:val="hybridMultilevel"/>
    <w:tmpl w:val="F5D23D1C"/>
    <w:lvl w:ilvl="0" w:tplc="14926EE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DC5"/>
    <w:rsid w:val="00020E3B"/>
    <w:rsid w:val="00037D40"/>
    <w:rsid w:val="00061C55"/>
    <w:rsid w:val="00065D2D"/>
    <w:rsid w:val="00084BD8"/>
    <w:rsid w:val="000B0A76"/>
    <w:rsid w:val="000C06FE"/>
    <w:rsid w:val="000E0E99"/>
    <w:rsid w:val="001012CA"/>
    <w:rsid w:val="00106141"/>
    <w:rsid w:val="0010711F"/>
    <w:rsid w:val="00151727"/>
    <w:rsid w:val="001A45C3"/>
    <w:rsid w:val="00257223"/>
    <w:rsid w:val="00274B7B"/>
    <w:rsid w:val="00295A18"/>
    <w:rsid w:val="002B301F"/>
    <w:rsid w:val="002C550B"/>
    <w:rsid w:val="002E56D7"/>
    <w:rsid w:val="002E7605"/>
    <w:rsid w:val="0031609D"/>
    <w:rsid w:val="003361B9"/>
    <w:rsid w:val="00337EEE"/>
    <w:rsid w:val="0037431D"/>
    <w:rsid w:val="00384290"/>
    <w:rsid w:val="003C19C5"/>
    <w:rsid w:val="00414B04"/>
    <w:rsid w:val="004250D3"/>
    <w:rsid w:val="004445DA"/>
    <w:rsid w:val="00446DC5"/>
    <w:rsid w:val="0047331C"/>
    <w:rsid w:val="004E4AF9"/>
    <w:rsid w:val="00591AC3"/>
    <w:rsid w:val="00597E82"/>
    <w:rsid w:val="005C0287"/>
    <w:rsid w:val="005E6E86"/>
    <w:rsid w:val="006034E3"/>
    <w:rsid w:val="0060430A"/>
    <w:rsid w:val="00604800"/>
    <w:rsid w:val="006179DA"/>
    <w:rsid w:val="00650627"/>
    <w:rsid w:val="006B0501"/>
    <w:rsid w:val="006D488A"/>
    <w:rsid w:val="006E3774"/>
    <w:rsid w:val="00736986"/>
    <w:rsid w:val="00770B2B"/>
    <w:rsid w:val="0077793E"/>
    <w:rsid w:val="007B75E8"/>
    <w:rsid w:val="007E39EB"/>
    <w:rsid w:val="0087299A"/>
    <w:rsid w:val="00875054"/>
    <w:rsid w:val="00875D2A"/>
    <w:rsid w:val="008765FB"/>
    <w:rsid w:val="0088686C"/>
    <w:rsid w:val="008C236E"/>
    <w:rsid w:val="008C3229"/>
    <w:rsid w:val="008C3B7B"/>
    <w:rsid w:val="009116FA"/>
    <w:rsid w:val="009171DA"/>
    <w:rsid w:val="00932241"/>
    <w:rsid w:val="0096020B"/>
    <w:rsid w:val="0099197F"/>
    <w:rsid w:val="009A6FEA"/>
    <w:rsid w:val="009B2685"/>
    <w:rsid w:val="009C1AFF"/>
    <w:rsid w:val="00A10934"/>
    <w:rsid w:val="00A773AD"/>
    <w:rsid w:val="00A85681"/>
    <w:rsid w:val="00A90559"/>
    <w:rsid w:val="00AA7A00"/>
    <w:rsid w:val="00B02893"/>
    <w:rsid w:val="00B060EA"/>
    <w:rsid w:val="00B261DF"/>
    <w:rsid w:val="00B32295"/>
    <w:rsid w:val="00B5362F"/>
    <w:rsid w:val="00B87CE9"/>
    <w:rsid w:val="00B9751F"/>
    <w:rsid w:val="00BC46F6"/>
    <w:rsid w:val="00C8270C"/>
    <w:rsid w:val="00CA52B4"/>
    <w:rsid w:val="00CB1766"/>
    <w:rsid w:val="00CC7382"/>
    <w:rsid w:val="00CD760F"/>
    <w:rsid w:val="00CE0983"/>
    <w:rsid w:val="00D551B2"/>
    <w:rsid w:val="00D93A7C"/>
    <w:rsid w:val="00DB7364"/>
    <w:rsid w:val="00DD1376"/>
    <w:rsid w:val="00DD76A7"/>
    <w:rsid w:val="00E25EA0"/>
    <w:rsid w:val="00E7044C"/>
    <w:rsid w:val="00EA07AE"/>
    <w:rsid w:val="00EA0B94"/>
    <w:rsid w:val="00EE3049"/>
    <w:rsid w:val="00F1677E"/>
    <w:rsid w:val="00F3741E"/>
    <w:rsid w:val="00F63036"/>
    <w:rsid w:val="00FA5DC6"/>
    <w:rsid w:val="00FC4F9E"/>
    <w:rsid w:val="00FF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D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6DC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322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61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141"/>
  </w:style>
  <w:style w:type="paragraph" w:styleId="Footer">
    <w:name w:val="footer"/>
    <w:basedOn w:val="Normal"/>
    <w:link w:val="FooterChar"/>
    <w:uiPriority w:val="99"/>
    <w:unhideWhenUsed/>
    <w:rsid w:val="001061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1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D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6DC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322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61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141"/>
  </w:style>
  <w:style w:type="paragraph" w:styleId="Footer">
    <w:name w:val="footer"/>
    <w:basedOn w:val="Normal"/>
    <w:link w:val="FooterChar"/>
    <w:uiPriority w:val="99"/>
    <w:unhideWhenUsed/>
    <w:rsid w:val="001061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13</cp:revision>
  <dcterms:created xsi:type="dcterms:W3CDTF">2020-01-14T13:02:00Z</dcterms:created>
  <dcterms:modified xsi:type="dcterms:W3CDTF">2020-01-23T08:02:00Z</dcterms:modified>
</cp:coreProperties>
</file>