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93E" w:rsidRPr="000A2379" w:rsidRDefault="0015593E" w:rsidP="001A6F91">
      <w:pPr>
        <w:spacing w:line="360" w:lineRule="auto"/>
        <w:rPr>
          <w:b/>
        </w:rPr>
      </w:pPr>
      <w:bookmarkStart w:id="0" w:name="_GoBack"/>
      <w:bookmarkEnd w:id="0"/>
      <w:r w:rsidRPr="000A2379">
        <w:rPr>
          <w:b/>
        </w:rPr>
        <w:t>IN TH</w:t>
      </w:r>
      <w:r w:rsidR="00FA1617" w:rsidRPr="000A2379">
        <w:rPr>
          <w:b/>
        </w:rPr>
        <w:t xml:space="preserve">E LABOUR COURT </w:t>
      </w:r>
      <w:r w:rsidR="00FA1617" w:rsidRPr="000A2379">
        <w:rPr>
          <w:b/>
        </w:rPr>
        <w:tab/>
      </w:r>
      <w:r w:rsidR="00FA1617" w:rsidRPr="000A2379">
        <w:rPr>
          <w:b/>
        </w:rPr>
        <w:tab/>
      </w:r>
      <w:r w:rsidR="00FA1617" w:rsidRPr="000A2379">
        <w:rPr>
          <w:b/>
        </w:rPr>
        <w:tab/>
        <w:t>JUDGM</w:t>
      </w:r>
      <w:r w:rsidR="00AC4F1E" w:rsidRPr="000A2379">
        <w:rPr>
          <w:b/>
        </w:rPr>
        <w:t xml:space="preserve">ENT </w:t>
      </w:r>
      <w:r w:rsidRPr="000A2379">
        <w:rPr>
          <w:b/>
        </w:rPr>
        <w:t>LC/H/</w:t>
      </w:r>
      <w:r w:rsidR="00D17338" w:rsidRPr="000A2379">
        <w:rPr>
          <w:b/>
        </w:rPr>
        <w:t>409/2013</w:t>
      </w:r>
    </w:p>
    <w:p w:rsidR="0015593E" w:rsidRDefault="0015593E" w:rsidP="001A6F91">
      <w:pPr>
        <w:spacing w:line="360" w:lineRule="auto"/>
        <w:rPr>
          <w:b/>
        </w:rPr>
      </w:pPr>
      <w:r w:rsidRPr="000A2379">
        <w:rPr>
          <w:b/>
        </w:rPr>
        <w:t>HARARE, 1 AUGUST 2013</w:t>
      </w:r>
      <w:r w:rsidRPr="000A2379">
        <w:rPr>
          <w:b/>
        </w:rPr>
        <w:tab/>
      </w:r>
      <w:r w:rsidRPr="000A2379">
        <w:rPr>
          <w:b/>
        </w:rPr>
        <w:tab/>
      </w:r>
      <w:r w:rsidRPr="000A2379">
        <w:rPr>
          <w:b/>
        </w:rPr>
        <w:tab/>
      </w:r>
      <w:r w:rsidRPr="000A2379">
        <w:rPr>
          <w:b/>
        </w:rPr>
        <w:tab/>
        <w:t>CASE NO. LC/H/557/12</w:t>
      </w:r>
    </w:p>
    <w:p w:rsidR="00B35544" w:rsidRPr="000A2379" w:rsidRDefault="00B35544" w:rsidP="001A6F91">
      <w:pPr>
        <w:spacing w:line="360" w:lineRule="auto"/>
        <w:rPr>
          <w:b/>
        </w:rPr>
      </w:pPr>
      <w:r>
        <w:rPr>
          <w:b/>
        </w:rPr>
        <w:t>AND 13 SEPTEMBER 2013</w:t>
      </w:r>
    </w:p>
    <w:p w:rsidR="0015593E" w:rsidRPr="000A2379" w:rsidRDefault="0015593E" w:rsidP="001A6F91">
      <w:pPr>
        <w:spacing w:line="360" w:lineRule="auto"/>
      </w:pPr>
      <w:r w:rsidRPr="000A2379">
        <w:t>In the matter between</w:t>
      </w:r>
    </w:p>
    <w:p w:rsidR="0015593E" w:rsidRPr="000A2379" w:rsidRDefault="0015593E" w:rsidP="001A6F91">
      <w:pPr>
        <w:spacing w:line="360" w:lineRule="auto"/>
      </w:pPr>
    </w:p>
    <w:p w:rsidR="0015593E" w:rsidRPr="000A2379" w:rsidRDefault="0015593E" w:rsidP="001A6F91">
      <w:pPr>
        <w:spacing w:line="360" w:lineRule="auto"/>
      </w:pPr>
    </w:p>
    <w:p w:rsidR="0015593E" w:rsidRPr="000A2379" w:rsidRDefault="0015593E" w:rsidP="001A6F91">
      <w:pPr>
        <w:spacing w:line="360" w:lineRule="auto"/>
        <w:rPr>
          <w:b/>
        </w:rPr>
      </w:pPr>
      <w:r w:rsidRPr="000A2379">
        <w:rPr>
          <w:b/>
        </w:rPr>
        <w:t>JOSEPH MPALA</w:t>
      </w:r>
      <w:r w:rsidRPr="000A2379">
        <w:rPr>
          <w:b/>
        </w:rPr>
        <w:tab/>
      </w:r>
      <w:r w:rsidRPr="000A2379">
        <w:rPr>
          <w:b/>
        </w:rPr>
        <w:tab/>
      </w:r>
      <w:r w:rsidRPr="000A2379">
        <w:rPr>
          <w:b/>
        </w:rPr>
        <w:tab/>
      </w:r>
      <w:r w:rsidRPr="000A2379">
        <w:rPr>
          <w:b/>
        </w:rPr>
        <w:tab/>
      </w:r>
      <w:r w:rsidRPr="000A2379">
        <w:rPr>
          <w:b/>
        </w:rPr>
        <w:tab/>
        <w:t>-</w:t>
      </w:r>
      <w:r w:rsidRPr="000A2379">
        <w:rPr>
          <w:b/>
        </w:rPr>
        <w:tab/>
        <w:t>Appellant</w:t>
      </w:r>
    </w:p>
    <w:p w:rsidR="0015593E" w:rsidRPr="000A2379" w:rsidRDefault="0015593E" w:rsidP="001A6F91">
      <w:pPr>
        <w:spacing w:line="360" w:lineRule="auto"/>
      </w:pPr>
      <w:r w:rsidRPr="000A2379">
        <w:t>And</w:t>
      </w:r>
    </w:p>
    <w:p w:rsidR="0015593E" w:rsidRPr="000A2379" w:rsidRDefault="0015593E" w:rsidP="001A6F91">
      <w:pPr>
        <w:spacing w:line="360" w:lineRule="auto"/>
        <w:rPr>
          <w:b/>
        </w:rPr>
      </w:pPr>
      <w:r w:rsidRPr="000A2379">
        <w:rPr>
          <w:b/>
        </w:rPr>
        <w:t>MINISTRY OF EDUCATION, SPORTS</w:t>
      </w:r>
      <w:r w:rsidRPr="000A2379">
        <w:rPr>
          <w:b/>
        </w:rPr>
        <w:tab/>
      </w:r>
      <w:r w:rsidRPr="000A2379">
        <w:rPr>
          <w:b/>
        </w:rPr>
        <w:tab/>
        <w:t xml:space="preserve"> -</w:t>
      </w:r>
      <w:r w:rsidRPr="000A2379">
        <w:rPr>
          <w:b/>
        </w:rPr>
        <w:tab/>
        <w:t>Respondent</w:t>
      </w:r>
      <w:r w:rsidRPr="000A2379">
        <w:rPr>
          <w:b/>
        </w:rPr>
        <w:tab/>
      </w:r>
      <w:r w:rsidRPr="000A2379">
        <w:rPr>
          <w:b/>
        </w:rPr>
        <w:tab/>
      </w:r>
    </w:p>
    <w:p w:rsidR="0015593E" w:rsidRPr="000A2379" w:rsidRDefault="0015593E" w:rsidP="001A6F91">
      <w:pPr>
        <w:spacing w:line="360" w:lineRule="auto"/>
        <w:rPr>
          <w:b/>
        </w:rPr>
      </w:pPr>
      <w:r w:rsidRPr="000A2379">
        <w:rPr>
          <w:b/>
        </w:rPr>
        <w:t>AND CULTURE</w:t>
      </w:r>
    </w:p>
    <w:p w:rsidR="0015593E" w:rsidRPr="000A2379" w:rsidRDefault="0015593E" w:rsidP="001A6F91">
      <w:pPr>
        <w:spacing w:line="360" w:lineRule="auto"/>
        <w:rPr>
          <w:b/>
        </w:rPr>
      </w:pPr>
    </w:p>
    <w:p w:rsidR="0015593E" w:rsidRPr="000A2379" w:rsidRDefault="0015593E" w:rsidP="001A6F91">
      <w:pPr>
        <w:spacing w:line="360" w:lineRule="auto"/>
      </w:pPr>
      <w:r w:rsidRPr="000A2379">
        <w:t xml:space="preserve">Before The Honourable B.T. Chivizhe: President </w:t>
      </w:r>
    </w:p>
    <w:p w:rsidR="0015593E" w:rsidRPr="000A2379" w:rsidRDefault="0015593E" w:rsidP="001A6F91">
      <w:pPr>
        <w:spacing w:line="360" w:lineRule="auto"/>
        <w:rPr>
          <w:b/>
        </w:rPr>
      </w:pPr>
      <w:r w:rsidRPr="000A2379">
        <w:rPr>
          <w:b/>
        </w:rPr>
        <w:t xml:space="preserve">For Appellant </w:t>
      </w:r>
      <w:r w:rsidR="00B727CC">
        <w:rPr>
          <w:b/>
        </w:rPr>
        <w:t xml:space="preserve">   :</w:t>
      </w:r>
      <w:r w:rsidRPr="000A2379">
        <w:rPr>
          <w:b/>
        </w:rPr>
        <w:t>Mr. F. Murisi – Murisi and Partners (Legal Practitioners)</w:t>
      </w:r>
    </w:p>
    <w:p w:rsidR="0015593E" w:rsidRPr="000A2379" w:rsidRDefault="0015593E" w:rsidP="001A6F91">
      <w:pPr>
        <w:spacing w:line="360" w:lineRule="auto"/>
        <w:rPr>
          <w:b/>
        </w:rPr>
      </w:pPr>
    </w:p>
    <w:p w:rsidR="0015593E" w:rsidRPr="000A2379" w:rsidRDefault="0015593E" w:rsidP="001A6F91">
      <w:pPr>
        <w:spacing w:line="360" w:lineRule="auto"/>
        <w:ind w:left="720" w:hanging="720"/>
        <w:rPr>
          <w:b/>
        </w:rPr>
      </w:pPr>
      <w:r w:rsidRPr="000A2379">
        <w:rPr>
          <w:b/>
        </w:rPr>
        <w:t>For Respondent</w:t>
      </w:r>
      <w:r w:rsidR="00B727CC">
        <w:rPr>
          <w:b/>
        </w:rPr>
        <w:t>:</w:t>
      </w:r>
      <w:r w:rsidRPr="000A2379">
        <w:rPr>
          <w:b/>
        </w:rPr>
        <w:t>Mr. K. Warinda – Civil Division, A</w:t>
      </w:r>
      <w:r w:rsidR="00EC2CBD">
        <w:rPr>
          <w:b/>
        </w:rPr>
        <w:t>.</w:t>
      </w:r>
      <w:r w:rsidRPr="000A2379">
        <w:rPr>
          <w:b/>
        </w:rPr>
        <w:t>G’s</w:t>
      </w:r>
      <w:r w:rsidR="00EC2CBD">
        <w:rPr>
          <w:b/>
        </w:rPr>
        <w:t xml:space="preserve"> </w:t>
      </w:r>
      <w:r w:rsidR="00A2387F" w:rsidRPr="000A2379">
        <w:rPr>
          <w:b/>
        </w:rPr>
        <w:t>Office</w:t>
      </w:r>
    </w:p>
    <w:p w:rsidR="0015593E" w:rsidRPr="000A2379" w:rsidRDefault="0015593E" w:rsidP="001A6F91">
      <w:pPr>
        <w:spacing w:line="360" w:lineRule="auto"/>
        <w:rPr>
          <w:b/>
        </w:rPr>
      </w:pPr>
    </w:p>
    <w:p w:rsidR="0015593E" w:rsidRPr="000A2379" w:rsidRDefault="0015593E" w:rsidP="001A6F91">
      <w:pPr>
        <w:spacing w:line="360" w:lineRule="auto"/>
        <w:rPr>
          <w:b/>
        </w:rPr>
      </w:pPr>
    </w:p>
    <w:p w:rsidR="0015593E" w:rsidRDefault="0015593E" w:rsidP="001A6F91">
      <w:pPr>
        <w:spacing w:line="360" w:lineRule="auto"/>
        <w:rPr>
          <w:b/>
        </w:rPr>
      </w:pPr>
      <w:r w:rsidRPr="000A2379">
        <w:rPr>
          <w:b/>
        </w:rPr>
        <w:t>CHIVIZHE, B.T.:</w:t>
      </w:r>
    </w:p>
    <w:p w:rsidR="00B727CC" w:rsidRPr="000A2379" w:rsidRDefault="00B727CC" w:rsidP="001A6F91">
      <w:pPr>
        <w:spacing w:line="360" w:lineRule="auto"/>
        <w:rPr>
          <w:b/>
        </w:rPr>
      </w:pPr>
    </w:p>
    <w:p w:rsidR="00A2387F" w:rsidRDefault="00A2387F" w:rsidP="001A6F91">
      <w:pPr>
        <w:spacing w:line="360" w:lineRule="auto"/>
        <w:ind w:firstLine="720"/>
        <w:jc w:val="both"/>
      </w:pPr>
      <w:r w:rsidRPr="000A2379">
        <w:t xml:space="preserve">The matter was placed before me as an appeal against the determination by the Public Service Commission confirming the decision by the Respondent to discharge the Appellant from employment with </w:t>
      </w:r>
      <w:r w:rsidR="000B20CF">
        <w:t xml:space="preserve">effect from after duty on 9 November </w:t>
      </w:r>
      <w:r w:rsidRPr="000A2379">
        <w:t>2009.</w:t>
      </w:r>
    </w:p>
    <w:p w:rsidR="00B81BB7" w:rsidRPr="000A2379" w:rsidRDefault="00B81BB7" w:rsidP="001A6F91">
      <w:pPr>
        <w:spacing w:line="360" w:lineRule="auto"/>
        <w:ind w:firstLine="720"/>
        <w:jc w:val="both"/>
      </w:pPr>
    </w:p>
    <w:p w:rsidR="00FC6071" w:rsidRPr="000A2379" w:rsidRDefault="00A2387F" w:rsidP="001A6F91">
      <w:pPr>
        <w:spacing w:line="360" w:lineRule="auto"/>
        <w:ind w:firstLine="720"/>
        <w:jc w:val="both"/>
      </w:pPr>
      <w:r w:rsidRPr="000A2379">
        <w:t>The Appellant was employed in the Ministry of Education, Sports and Culture based at Chinhoyi High School.  He was arrested in Octob</w:t>
      </w:r>
      <w:r w:rsidR="003D70B9" w:rsidRPr="000A2379">
        <w:t>er, 2009 on allegations of murder a</w:t>
      </w:r>
      <w:r w:rsidRPr="000A2379">
        <w:t xml:space="preserve">fter he </w:t>
      </w:r>
      <w:r w:rsidR="005D60FF" w:rsidRPr="000A2379">
        <w:t xml:space="preserve">allegedly assaulted a school child to </w:t>
      </w:r>
      <w:r w:rsidR="00D17338" w:rsidRPr="000A2379">
        <w:t>death.  He was granted bail by the High Court and consequently the Respondent suspended him from duty from around the 3</w:t>
      </w:r>
      <w:r w:rsidR="00D17338" w:rsidRPr="000A2379">
        <w:rPr>
          <w:vertAlign w:val="superscript"/>
        </w:rPr>
        <w:t>rd</w:t>
      </w:r>
      <w:r w:rsidR="00D17338" w:rsidRPr="000A2379">
        <w:t xml:space="preserve"> December 2009.  The Appellant </w:t>
      </w:r>
      <w:r w:rsidR="0073588D" w:rsidRPr="000A2379">
        <w:t xml:space="preserve">was subsequently dismissed in August 2010 in terms of </w:t>
      </w:r>
      <w:r w:rsidR="0073588D" w:rsidRPr="000B20CF">
        <w:rPr>
          <w:b/>
        </w:rPr>
        <w:t xml:space="preserve">Section 63 (b) of the Public Service Regulations, </w:t>
      </w:r>
      <w:r w:rsidR="00FF5562">
        <w:rPr>
          <w:b/>
        </w:rPr>
        <w:t xml:space="preserve">Statutory Instrument 1 of </w:t>
      </w:r>
      <w:r w:rsidR="0073588D" w:rsidRPr="000B20CF">
        <w:rPr>
          <w:b/>
        </w:rPr>
        <w:t>2000</w:t>
      </w:r>
      <w:r w:rsidR="0073588D" w:rsidRPr="000A2379">
        <w:t>.  The matter was referred on review to the Public Service Commission</w:t>
      </w:r>
      <w:r w:rsidR="000B20CF">
        <w:t>.</w:t>
      </w:r>
      <w:r w:rsidR="0073588D" w:rsidRPr="000A2379">
        <w:t xml:space="preserve"> </w:t>
      </w:r>
      <w:r w:rsidR="000B20CF">
        <w:t>That body then</w:t>
      </w:r>
      <w:r w:rsidR="0073588D" w:rsidRPr="000A2379">
        <w:t xml:space="preserve"> confirmed the decision by the Respondent to discharge </w:t>
      </w:r>
      <w:r w:rsidR="0073588D" w:rsidRPr="000A2379">
        <w:lastRenderedPageBreak/>
        <w:t>the Appellant from employment.  The Appellant is appealing against both his suspension and</w:t>
      </w:r>
      <w:r w:rsidR="001E4C0B" w:rsidRPr="000A2379">
        <w:t xml:space="preserve"> his</w:t>
      </w:r>
      <w:r w:rsidR="0073588D" w:rsidRPr="000A2379">
        <w:t xml:space="preserve"> </w:t>
      </w:r>
      <w:r w:rsidR="00FC6071" w:rsidRPr="000A2379">
        <w:t>consequent discharge from service.</w:t>
      </w:r>
    </w:p>
    <w:p w:rsidR="00FC6071" w:rsidRPr="000A2379" w:rsidRDefault="00FC6071" w:rsidP="001A6F91">
      <w:pPr>
        <w:spacing w:line="360" w:lineRule="auto"/>
        <w:jc w:val="both"/>
      </w:pPr>
      <w:r w:rsidRPr="000A2379">
        <w:t>The grounds of appeal on which the appeal is noted are as follows;</w:t>
      </w:r>
    </w:p>
    <w:p w:rsidR="00FA1617" w:rsidRPr="00B727CC" w:rsidRDefault="00FC6071" w:rsidP="001A6F91">
      <w:pPr>
        <w:pStyle w:val="ListParagraph"/>
        <w:numPr>
          <w:ilvl w:val="0"/>
          <w:numId w:val="1"/>
        </w:numPr>
        <w:spacing w:line="360" w:lineRule="auto"/>
        <w:jc w:val="both"/>
        <w:rPr>
          <w:rFonts w:ascii="Times New Roman" w:hAnsi="Times New Roman"/>
        </w:rPr>
      </w:pPr>
      <w:r w:rsidRPr="00B727CC">
        <w:rPr>
          <w:rFonts w:ascii="Times New Roman" w:hAnsi="Times New Roman"/>
        </w:rPr>
        <w:t xml:space="preserve">The Tribunal </w:t>
      </w:r>
      <w:r w:rsidRPr="00B727CC">
        <w:rPr>
          <w:rFonts w:ascii="Times New Roman" w:hAnsi="Times New Roman"/>
          <w:b/>
          <w:i/>
        </w:rPr>
        <w:t>a quo</w:t>
      </w:r>
      <w:r w:rsidRPr="00B727CC">
        <w:rPr>
          <w:rFonts w:ascii="Times New Roman" w:hAnsi="Times New Roman"/>
          <w:i/>
        </w:rPr>
        <w:t xml:space="preserve"> </w:t>
      </w:r>
      <w:r w:rsidRPr="00B727CC">
        <w:rPr>
          <w:rFonts w:ascii="Times New Roman" w:hAnsi="Times New Roman"/>
        </w:rPr>
        <w:t xml:space="preserve">erred in failing to appreciate that after Respondent had acted in terms of </w:t>
      </w:r>
      <w:r w:rsidRPr="00B727CC">
        <w:rPr>
          <w:rFonts w:ascii="Times New Roman" w:hAnsi="Times New Roman"/>
          <w:b/>
        </w:rPr>
        <w:t>Section 48 (1)</w:t>
      </w:r>
      <w:r w:rsidRPr="00B727CC">
        <w:rPr>
          <w:rFonts w:ascii="Times New Roman" w:hAnsi="Times New Roman"/>
        </w:rPr>
        <w:t xml:space="preserve"> of the </w:t>
      </w:r>
      <w:r w:rsidRPr="00B727CC">
        <w:rPr>
          <w:rFonts w:ascii="Times New Roman" w:hAnsi="Times New Roman"/>
          <w:b/>
        </w:rPr>
        <w:t xml:space="preserve">Public Service Regulations, Statutory Instrument 1 </w:t>
      </w:r>
      <w:r w:rsidRPr="00B727CC">
        <w:rPr>
          <w:rFonts w:ascii="Times New Roman" w:hAnsi="Times New Roman"/>
        </w:rPr>
        <w:t xml:space="preserve">of </w:t>
      </w:r>
      <w:r w:rsidRPr="00B727CC">
        <w:rPr>
          <w:rFonts w:ascii="Times New Roman" w:hAnsi="Times New Roman"/>
          <w:b/>
        </w:rPr>
        <w:t>2000, “the Regulations”</w:t>
      </w:r>
      <w:r w:rsidRPr="00B727CC">
        <w:rPr>
          <w:rFonts w:ascii="Times New Roman" w:hAnsi="Times New Roman"/>
        </w:rPr>
        <w:t xml:space="preserve"> by suspending the Appellant, it could not then purport to act in terms of </w:t>
      </w:r>
      <w:r w:rsidRPr="00B727CC">
        <w:rPr>
          <w:rFonts w:ascii="Times New Roman" w:hAnsi="Times New Roman"/>
          <w:b/>
        </w:rPr>
        <w:t>Section 63(b)</w:t>
      </w:r>
      <w:r w:rsidRPr="00B727CC">
        <w:rPr>
          <w:rFonts w:ascii="Times New Roman" w:hAnsi="Times New Roman"/>
        </w:rPr>
        <w:t xml:space="preserve"> of the Regulations</w:t>
      </w:r>
      <w:r w:rsidR="00FA1617" w:rsidRPr="00B727CC">
        <w:rPr>
          <w:rFonts w:ascii="Times New Roman" w:hAnsi="Times New Roman"/>
        </w:rPr>
        <w:t>.</w:t>
      </w:r>
    </w:p>
    <w:p w:rsidR="00FA1617" w:rsidRPr="00B727CC" w:rsidRDefault="00FC6071" w:rsidP="001A6F91">
      <w:pPr>
        <w:pStyle w:val="ListParagraph"/>
        <w:numPr>
          <w:ilvl w:val="0"/>
          <w:numId w:val="1"/>
        </w:numPr>
        <w:spacing w:line="360" w:lineRule="auto"/>
        <w:jc w:val="both"/>
        <w:rPr>
          <w:rFonts w:ascii="Times New Roman" w:hAnsi="Times New Roman"/>
        </w:rPr>
      </w:pPr>
      <w:r w:rsidRPr="00B727CC">
        <w:rPr>
          <w:rFonts w:ascii="Times New Roman" w:hAnsi="Times New Roman"/>
        </w:rPr>
        <w:t xml:space="preserve">The Tribunal </w:t>
      </w:r>
      <w:r w:rsidRPr="00B727CC">
        <w:rPr>
          <w:rFonts w:ascii="Times New Roman" w:hAnsi="Times New Roman"/>
          <w:b/>
          <w:i/>
        </w:rPr>
        <w:t>a quo</w:t>
      </w:r>
      <w:r w:rsidRPr="00B727CC">
        <w:rPr>
          <w:rFonts w:ascii="Times New Roman" w:hAnsi="Times New Roman"/>
        </w:rPr>
        <w:t xml:space="preserve"> erred in failing to appreciate that after Respondent had suspended Appellant in terms of </w:t>
      </w:r>
      <w:r w:rsidRPr="00B727CC">
        <w:rPr>
          <w:rFonts w:ascii="Times New Roman" w:hAnsi="Times New Roman"/>
          <w:b/>
        </w:rPr>
        <w:t>Section 48 (1)</w:t>
      </w:r>
      <w:r w:rsidRPr="00B727CC">
        <w:rPr>
          <w:rFonts w:ascii="Times New Roman" w:hAnsi="Times New Roman"/>
        </w:rPr>
        <w:t xml:space="preserve"> of </w:t>
      </w:r>
      <w:r w:rsidRPr="00B727CC">
        <w:rPr>
          <w:rFonts w:ascii="Times New Roman" w:hAnsi="Times New Roman"/>
          <w:b/>
        </w:rPr>
        <w:t>the Regulations</w:t>
      </w:r>
      <w:r w:rsidRPr="00B727CC">
        <w:rPr>
          <w:rFonts w:ascii="Times New Roman" w:hAnsi="Times New Roman"/>
        </w:rPr>
        <w:t>, it was duty bound to institute disciplinary proceeding</w:t>
      </w:r>
      <w:r w:rsidR="007C5B77" w:rsidRPr="00B727CC">
        <w:rPr>
          <w:rFonts w:ascii="Times New Roman" w:hAnsi="Times New Roman"/>
        </w:rPr>
        <w:t xml:space="preserve">s against the Appellant forthwith in terms of </w:t>
      </w:r>
      <w:r w:rsidR="007C5B77" w:rsidRPr="00B727CC">
        <w:rPr>
          <w:rFonts w:ascii="Times New Roman" w:hAnsi="Times New Roman"/>
          <w:b/>
        </w:rPr>
        <w:t>Section 48 (3)</w:t>
      </w:r>
      <w:r w:rsidR="007C5B77" w:rsidRPr="00B727CC">
        <w:rPr>
          <w:rFonts w:ascii="Times New Roman" w:hAnsi="Times New Roman"/>
        </w:rPr>
        <w:t xml:space="preserve"> of the Regulations.</w:t>
      </w:r>
    </w:p>
    <w:p w:rsidR="006324EF" w:rsidRPr="00B727CC" w:rsidRDefault="007C5B77" w:rsidP="001A6F91">
      <w:pPr>
        <w:pStyle w:val="ListParagraph"/>
        <w:numPr>
          <w:ilvl w:val="0"/>
          <w:numId w:val="1"/>
        </w:numPr>
        <w:spacing w:line="360" w:lineRule="auto"/>
        <w:jc w:val="both"/>
        <w:rPr>
          <w:rFonts w:ascii="Times New Roman" w:hAnsi="Times New Roman"/>
        </w:rPr>
      </w:pPr>
      <w:r w:rsidRPr="00B727CC">
        <w:rPr>
          <w:rFonts w:ascii="Times New Roman" w:hAnsi="Times New Roman"/>
        </w:rPr>
        <w:t xml:space="preserve">The Tribunal </w:t>
      </w:r>
      <w:r w:rsidRPr="00B727CC">
        <w:rPr>
          <w:rFonts w:ascii="Times New Roman" w:hAnsi="Times New Roman"/>
          <w:b/>
          <w:i/>
        </w:rPr>
        <w:t>a quo</w:t>
      </w:r>
      <w:r w:rsidRPr="00B727CC">
        <w:rPr>
          <w:rFonts w:ascii="Times New Roman" w:hAnsi="Times New Roman"/>
        </w:rPr>
        <w:t xml:space="preserve"> failed to appreciate that the Respondent’s decision to discharge the Appellant from its employ was biased and malicious as it was only a move calculated to remedy the unlawful status of Appellant’s suspension, which issue Appellant’s then Legal Practitioners had raised.</w:t>
      </w:r>
    </w:p>
    <w:p w:rsidR="00FA1617" w:rsidRPr="00B727CC" w:rsidRDefault="007C5B77" w:rsidP="001A6F91">
      <w:pPr>
        <w:pStyle w:val="ListParagraph"/>
        <w:numPr>
          <w:ilvl w:val="0"/>
          <w:numId w:val="1"/>
        </w:numPr>
        <w:spacing w:line="360" w:lineRule="auto"/>
        <w:jc w:val="both"/>
        <w:rPr>
          <w:rFonts w:ascii="Times New Roman" w:hAnsi="Times New Roman"/>
        </w:rPr>
      </w:pPr>
      <w:r w:rsidRPr="00B727CC">
        <w:rPr>
          <w:rFonts w:ascii="Times New Roman" w:hAnsi="Times New Roman"/>
        </w:rPr>
        <w:t xml:space="preserve">In any case, the Tribunal </w:t>
      </w:r>
      <w:r w:rsidRPr="00B727CC">
        <w:rPr>
          <w:rFonts w:ascii="Times New Roman" w:hAnsi="Times New Roman"/>
          <w:b/>
          <w:i/>
        </w:rPr>
        <w:t>a quo</w:t>
      </w:r>
      <w:r w:rsidRPr="00B727CC">
        <w:rPr>
          <w:rFonts w:ascii="Times New Roman" w:hAnsi="Times New Roman"/>
        </w:rPr>
        <w:t xml:space="preserve"> misdirected itself in failing to appreciate that the Respondent’s exercise of its discretion to discharge the Appellant in terms of </w:t>
      </w:r>
      <w:r w:rsidRPr="00B727CC">
        <w:rPr>
          <w:rFonts w:ascii="Times New Roman" w:hAnsi="Times New Roman"/>
          <w:b/>
        </w:rPr>
        <w:t>Section 63(b)</w:t>
      </w:r>
      <w:r w:rsidRPr="00B727CC">
        <w:rPr>
          <w:rFonts w:ascii="Times New Roman" w:hAnsi="Times New Roman"/>
        </w:rPr>
        <w:t xml:space="preserve"> of </w:t>
      </w:r>
      <w:r w:rsidRPr="00B727CC">
        <w:rPr>
          <w:rFonts w:ascii="Times New Roman" w:hAnsi="Times New Roman"/>
          <w:b/>
        </w:rPr>
        <w:t>the Regulations</w:t>
      </w:r>
      <w:r w:rsidRPr="00B727CC">
        <w:rPr>
          <w:rFonts w:ascii="Times New Roman" w:hAnsi="Times New Roman"/>
        </w:rPr>
        <w:t xml:space="preserve"> was reasonable and improper in the circumstances.</w:t>
      </w:r>
    </w:p>
    <w:p w:rsidR="0063668E" w:rsidRDefault="007C5B77" w:rsidP="001A6F91">
      <w:pPr>
        <w:pStyle w:val="ListParagraph"/>
        <w:numPr>
          <w:ilvl w:val="0"/>
          <w:numId w:val="1"/>
        </w:numPr>
        <w:spacing w:line="360" w:lineRule="auto"/>
        <w:jc w:val="both"/>
      </w:pPr>
      <w:r w:rsidRPr="00B727CC">
        <w:rPr>
          <w:rFonts w:ascii="Times New Roman" w:hAnsi="Times New Roman"/>
        </w:rPr>
        <w:t xml:space="preserve">The Tribunal </w:t>
      </w:r>
      <w:r w:rsidRPr="00B727CC">
        <w:rPr>
          <w:rFonts w:ascii="Times New Roman" w:hAnsi="Times New Roman"/>
          <w:b/>
          <w:i/>
        </w:rPr>
        <w:t>a quo</w:t>
      </w:r>
      <w:r w:rsidRPr="00B727CC">
        <w:rPr>
          <w:rFonts w:ascii="Times New Roman" w:hAnsi="Times New Roman"/>
        </w:rPr>
        <w:t xml:space="preserve"> misdirected itself in failing to appreciate that the Appellant had a legitimate expectation to be heard before his discharge in terms of </w:t>
      </w:r>
      <w:r w:rsidRPr="00B727CC">
        <w:rPr>
          <w:rFonts w:ascii="Times New Roman" w:hAnsi="Times New Roman"/>
          <w:b/>
          <w:i/>
        </w:rPr>
        <w:t>audi alterum partem rule</w:t>
      </w:r>
      <w:r w:rsidRPr="000A2379">
        <w:t>.”</w:t>
      </w:r>
      <w:r w:rsidR="00FC6071" w:rsidRPr="000A2379">
        <w:t xml:space="preserve"> </w:t>
      </w:r>
    </w:p>
    <w:p w:rsidR="000B20CF" w:rsidRPr="000A2379" w:rsidRDefault="000B20CF" w:rsidP="001A6F91">
      <w:pPr>
        <w:pStyle w:val="ListParagraph"/>
        <w:spacing w:line="360" w:lineRule="auto"/>
        <w:ind w:left="1080"/>
        <w:jc w:val="both"/>
      </w:pPr>
    </w:p>
    <w:p w:rsidR="00B727CC" w:rsidRDefault="0063668E" w:rsidP="001A6F91">
      <w:pPr>
        <w:spacing w:line="360" w:lineRule="auto"/>
        <w:ind w:firstLine="720"/>
        <w:jc w:val="both"/>
      </w:pPr>
      <w:r w:rsidRPr="000A2379">
        <w:t>The Respondent has taken a po</w:t>
      </w:r>
      <w:r w:rsidR="004B61ED" w:rsidRPr="000A2379">
        <w:t xml:space="preserve">int in limine.  The point is that </w:t>
      </w:r>
      <w:r w:rsidRPr="000A2379">
        <w:t xml:space="preserve">the appeal presently before the court is fatally defective because the Appellant has </w:t>
      </w:r>
      <w:r w:rsidR="006324EF" w:rsidRPr="000A2379">
        <w:t>cited</w:t>
      </w:r>
      <w:r w:rsidRPr="000A2379">
        <w:t xml:space="preserve"> as Respondent the Ministry of Education, Sports and Culture.  It is Respondent</w:t>
      </w:r>
      <w:r w:rsidR="006324EF" w:rsidRPr="000A2379">
        <w:t>’s contention that</w:t>
      </w:r>
      <w:r w:rsidRPr="000A2379">
        <w:t xml:space="preserve"> the Ministry is not a </w:t>
      </w:r>
      <w:r w:rsidR="006324EF" w:rsidRPr="000A2379">
        <w:t>competent</w:t>
      </w:r>
      <w:r w:rsidRPr="000A2379">
        <w:t xml:space="preserve"> party because it is not a legal </w:t>
      </w:r>
      <w:r w:rsidR="006324EF" w:rsidRPr="000A2379">
        <w:t>persona</w:t>
      </w:r>
      <w:r w:rsidRPr="000A2379">
        <w:t>.  Respond</w:t>
      </w:r>
      <w:r w:rsidR="006324EF" w:rsidRPr="000A2379">
        <w:t xml:space="preserve">ent has referred </w:t>
      </w:r>
      <w:r w:rsidR="00B727CC" w:rsidRPr="000A2379">
        <w:t xml:space="preserve">for </w:t>
      </w:r>
      <w:r w:rsidR="000B20CF">
        <w:t>this</w:t>
      </w:r>
      <w:r w:rsidR="00B727CC" w:rsidRPr="000A2379">
        <w:t xml:space="preserve"> proposition to the case of </w:t>
      </w:r>
      <w:r w:rsidR="00B727CC" w:rsidRPr="000A2379">
        <w:rPr>
          <w:b/>
        </w:rPr>
        <w:t>Gariya Safaris (Pvt) Ltd vs Van Wyk 1996</w:t>
      </w:r>
      <w:r w:rsidR="00B727CC" w:rsidRPr="00B81BB7">
        <w:rPr>
          <w:b/>
        </w:rPr>
        <w:t xml:space="preserve"> (2) ZLR 246 (H).</w:t>
      </w:r>
      <w:r w:rsidR="000B20CF">
        <w:t xml:space="preserve"> </w:t>
      </w:r>
      <w:r w:rsidR="00B727CC" w:rsidRPr="000A2379">
        <w:t xml:space="preserve">The Respondent further submitted that in terms of </w:t>
      </w:r>
      <w:r w:rsidR="00B727CC" w:rsidRPr="000A2379">
        <w:rPr>
          <w:b/>
        </w:rPr>
        <w:t xml:space="preserve">Section 3 of the State Liabilities Act </w:t>
      </w:r>
      <w:r w:rsidR="00FF5562">
        <w:rPr>
          <w:b/>
        </w:rPr>
        <w:t>[</w:t>
      </w:r>
      <w:r w:rsidR="00B727CC" w:rsidRPr="000A2379">
        <w:rPr>
          <w:b/>
        </w:rPr>
        <w:t>Chapter 8:14</w:t>
      </w:r>
      <w:r w:rsidR="00FF5562">
        <w:rPr>
          <w:b/>
        </w:rPr>
        <w:t>]</w:t>
      </w:r>
      <w:r w:rsidR="00B727CC" w:rsidRPr="000A2379">
        <w:t xml:space="preserve"> the Appellant should have cited the appropriate Minister and not the Ministry as Respondent.</w:t>
      </w:r>
    </w:p>
    <w:p w:rsidR="000B20CF" w:rsidRPr="000A2379" w:rsidRDefault="000B20CF" w:rsidP="001A6F91">
      <w:pPr>
        <w:spacing w:line="360" w:lineRule="auto"/>
        <w:ind w:firstLine="720"/>
        <w:jc w:val="both"/>
      </w:pPr>
    </w:p>
    <w:p w:rsidR="0063668E" w:rsidRDefault="00B727CC" w:rsidP="001A6F91">
      <w:pPr>
        <w:spacing w:line="360" w:lineRule="auto"/>
        <w:ind w:firstLine="720"/>
        <w:jc w:val="both"/>
      </w:pPr>
      <w:r w:rsidRPr="000A2379">
        <w:lastRenderedPageBreak/>
        <w:t xml:space="preserve">In response the Appellant submitted that; </w:t>
      </w:r>
      <w:r w:rsidR="0082538A">
        <w:t xml:space="preserve">as </w:t>
      </w:r>
      <w:r w:rsidRPr="000A2379">
        <w:t>the issue is only being raised for the first time in Respondent</w:t>
      </w:r>
      <w:r w:rsidR="00FF5562">
        <w:t>’s</w:t>
      </w:r>
      <w:r w:rsidRPr="000A2379">
        <w:t xml:space="preserve"> Heads of Argument </w:t>
      </w:r>
      <w:r w:rsidR="0082538A">
        <w:t>instead of being</w:t>
      </w:r>
      <w:r w:rsidRPr="000A2379">
        <w:t xml:space="preserve"> raised in Respondent opposing papers</w:t>
      </w:r>
      <w:r w:rsidR="0082538A">
        <w:t xml:space="preserve"> the court ought to dismiss the point</w:t>
      </w:r>
      <w:r w:rsidRPr="000A2379">
        <w:t xml:space="preserve">; that the Respondent  cannot  raise the technical </w:t>
      </w:r>
      <w:r w:rsidR="0082538A">
        <w:t>point</w:t>
      </w:r>
      <w:r w:rsidRPr="000A2379">
        <w:t xml:space="preserve"> as at this stage of the proceedings; that in the event that the Respondent’s submission </w:t>
      </w:r>
      <w:r w:rsidR="00FF5562">
        <w:t>finds favour with the court then</w:t>
      </w:r>
      <w:r w:rsidRPr="000A2379">
        <w:t xml:space="preserve"> the Appellant </w:t>
      </w:r>
      <w:r w:rsidR="0082538A">
        <w:t>i</w:t>
      </w:r>
      <w:r w:rsidRPr="000A2379">
        <w:t xml:space="preserve">s seeking for leave </w:t>
      </w:r>
      <w:r w:rsidR="0082538A">
        <w:t>from</w:t>
      </w:r>
      <w:r w:rsidRPr="000A2379">
        <w:t xml:space="preserve"> t</w:t>
      </w:r>
      <w:r w:rsidR="0082538A">
        <w:t>he court to correct the anomaly</w:t>
      </w:r>
      <w:r w:rsidRPr="000A2379">
        <w:t xml:space="preserve"> by joining the Public Service Commission as a party; that under </w:t>
      </w:r>
      <w:r w:rsidRPr="000A2379">
        <w:rPr>
          <w:b/>
        </w:rPr>
        <w:t>Section 3 of the State L</w:t>
      </w:r>
      <w:r w:rsidR="00B81BB7">
        <w:rPr>
          <w:b/>
        </w:rPr>
        <w:t>iabilities Act [Chapter 8:14]</w:t>
      </w:r>
      <w:r w:rsidR="0082538A">
        <w:rPr>
          <w:b/>
        </w:rPr>
        <w:t xml:space="preserve"> </w:t>
      </w:r>
      <w:r w:rsidR="0082538A">
        <w:t xml:space="preserve">there </w:t>
      </w:r>
      <w:r w:rsidR="00B81BB7">
        <w:t xml:space="preserve">is </w:t>
      </w:r>
      <w:r w:rsidR="0082538A">
        <w:t>anyway</w:t>
      </w:r>
      <w:r w:rsidRPr="000A2379">
        <w:t xml:space="preserve"> an option to cite the Minister/Ministry </w:t>
      </w:r>
      <w:r w:rsidR="006324EF" w:rsidRPr="000A2379">
        <w:t>as the nominal</w:t>
      </w:r>
      <w:r w:rsidR="0063668E" w:rsidRPr="000A2379">
        <w:t xml:space="preserve"> defe</w:t>
      </w:r>
      <w:r w:rsidR="006324EF" w:rsidRPr="000A2379">
        <w:t>ndant in a cause of action, that</w:t>
      </w:r>
      <w:r w:rsidR="0063668E" w:rsidRPr="000A2379">
        <w:t xml:space="preserve"> the circumst</w:t>
      </w:r>
      <w:r w:rsidR="00B81BB7">
        <w:t xml:space="preserve">ances were different from the </w:t>
      </w:r>
      <w:r w:rsidR="00B81BB7" w:rsidRPr="00B81BB7">
        <w:rPr>
          <w:b/>
        </w:rPr>
        <w:t>Gariy</w:t>
      </w:r>
      <w:r w:rsidR="0063668E" w:rsidRPr="00B81BB7">
        <w:rPr>
          <w:b/>
        </w:rPr>
        <w:t>a</w:t>
      </w:r>
      <w:r w:rsidR="0063668E" w:rsidRPr="000A2379">
        <w:t xml:space="preserve"> case cited by the</w:t>
      </w:r>
      <w:r w:rsidR="0082538A">
        <w:t xml:space="preserve"> Respondent; that in any event</w:t>
      </w:r>
      <w:r w:rsidR="00B81BB7">
        <w:t xml:space="preserve"> the courts </w:t>
      </w:r>
      <w:r w:rsidR="006324EF" w:rsidRPr="000A2379">
        <w:t>generally</w:t>
      </w:r>
      <w:r w:rsidR="000A2379" w:rsidRPr="000A2379">
        <w:t xml:space="preserve"> loathe </w:t>
      </w:r>
      <w:r w:rsidR="006324EF" w:rsidRPr="000A2379">
        <w:t>t</w:t>
      </w:r>
      <w:r w:rsidR="0063668E" w:rsidRPr="000A2379">
        <w:t>o resolv</w:t>
      </w:r>
      <w:r w:rsidR="006324EF" w:rsidRPr="000A2379">
        <w:t>e labour disputes on technicality</w:t>
      </w:r>
      <w:r w:rsidR="0063668E" w:rsidRPr="000A2379">
        <w:t xml:space="preserve"> and therefore the court should dismiss the point </w:t>
      </w:r>
      <w:r w:rsidR="0063668E" w:rsidRPr="00B727CC">
        <w:rPr>
          <w:i/>
        </w:rPr>
        <w:t>in limine</w:t>
      </w:r>
      <w:r w:rsidR="0063668E" w:rsidRPr="000A2379">
        <w:t xml:space="preserve"> and allow the matter to proceed to be heard on the merits.</w:t>
      </w:r>
    </w:p>
    <w:p w:rsidR="00B81BB7" w:rsidRPr="000A2379" w:rsidRDefault="00B81BB7" w:rsidP="001A6F91">
      <w:pPr>
        <w:spacing w:line="360" w:lineRule="auto"/>
        <w:ind w:firstLine="720"/>
        <w:jc w:val="both"/>
      </w:pPr>
    </w:p>
    <w:p w:rsidR="00ED7AC2" w:rsidRDefault="000A2379" w:rsidP="001A6F91">
      <w:pPr>
        <w:spacing w:line="360" w:lineRule="auto"/>
        <w:ind w:firstLine="720"/>
        <w:jc w:val="both"/>
      </w:pPr>
      <w:r w:rsidRPr="000A2379">
        <w:t>The Respondent has in my</w:t>
      </w:r>
      <w:r w:rsidR="0063668E" w:rsidRPr="000A2379">
        <w:t xml:space="preserve"> considered view raised a valid point </w:t>
      </w:r>
      <w:r w:rsidR="0063668E" w:rsidRPr="00B727CC">
        <w:rPr>
          <w:i/>
        </w:rPr>
        <w:t>in limine</w:t>
      </w:r>
      <w:r w:rsidR="0063668E" w:rsidRPr="000A2379">
        <w:t xml:space="preserve">.  </w:t>
      </w:r>
      <w:r w:rsidR="00FF5562">
        <w:rPr>
          <w:b/>
        </w:rPr>
        <w:t xml:space="preserve">  </w:t>
      </w:r>
      <w:r w:rsidR="00FF5562" w:rsidRPr="000A2379">
        <w:t xml:space="preserve">Contrary to submissions by Appellant </w:t>
      </w:r>
      <w:r w:rsidR="00FF5562">
        <w:t>counsel</w:t>
      </w:r>
      <w:r w:rsidR="00252A32">
        <w:t xml:space="preserve"> </w:t>
      </w:r>
      <w:r w:rsidR="00252A32" w:rsidRPr="002F1117">
        <w:rPr>
          <w:b/>
        </w:rPr>
        <w:t>Section 3</w:t>
      </w:r>
      <w:r w:rsidR="00252A32" w:rsidRPr="000A2379">
        <w:t xml:space="preserve"> of the </w:t>
      </w:r>
      <w:r w:rsidR="00252A32" w:rsidRPr="002F1117">
        <w:rPr>
          <w:b/>
        </w:rPr>
        <w:t xml:space="preserve">State Liabilities </w:t>
      </w:r>
      <w:r w:rsidR="00252A32">
        <w:rPr>
          <w:b/>
        </w:rPr>
        <w:t>[</w:t>
      </w:r>
      <w:r w:rsidR="00252A32" w:rsidRPr="002F1117">
        <w:rPr>
          <w:b/>
        </w:rPr>
        <w:t>Act Chapter 8:14</w:t>
      </w:r>
      <w:r w:rsidR="00252A32">
        <w:rPr>
          <w:b/>
        </w:rPr>
        <w:t>]</w:t>
      </w:r>
      <w:r w:rsidR="00252A32">
        <w:t xml:space="preserve"> d</w:t>
      </w:r>
      <w:r w:rsidR="00FF5562" w:rsidRPr="000A2379">
        <w:t>oes not give an option to cite either the Ministry or the Minister.</w:t>
      </w:r>
      <w:r w:rsidR="00ED7AC2" w:rsidRPr="000A2379">
        <w:t xml:space="preserve"> </w:t>
      </w:r>
      <w:r w:rsidR="00FF5562">
        <w:t xml:space="preserve"> It </w:t>
      </w:r>
      <w:r w:rsidR="00ED7AC2" w:rsidRPr="000A2379">
        <w:t>clearly indi</w:t>
      </w:r>
      <w:r w:rsidR="006324EF" w:rsidRPr="000A2379">
        <w:t>cates that the</w:t>
      </w:r>
      <w:r w:rsidR="00ED7AC2" w:rsidRPr="000A2379">
        <w:t xml:space="preserve"> Minister should b</w:t>
      </w:r>
      <w:r w:rsidR="006324EF" w:rsidRPr="000A2379">
        <w:t xml:space="preserve">e cited as defendant in any legal </w:t>
      </w:r>
      <w:r w:rsidR="00ED7AC2" w:rsidRPr="000A2379">
        <w:t>action.</w:t>
      </w:r>
      <w:r w:rsidR="00B81BB7">
        <w:t xml:space="preserve"> </w:t>
      </w:r>
      <w:r w:rsidR="00F60C97">
        <w:t xml:space="preserve"> </w:t>
      </w:r>
      <w:r w:rsidR="002F1117" w:rsidRPr="002F1117">
        <w:rPr>
          <w:b/>
        </w:rPr>
        <w:t>Section 3 of the State Liabilities Act</w:t>
      </w:r>
      <w:r w:rsidR="002F1117">
        <w:t xml:space="preserve"> </w:t>
      </w:r>
      <w:r w:rsidR="00F60C97">
        <w:rPr>
          <w:b/>
        </w:rPr>
        <w:t xml:space="preserve">[Chapter 8:14] </w:t>
      </w:r>
      <w:r w:rsidR="002F1117">
        <w:t>reads;</w:t>
      </w:r>
      <w:r w:rsidR="00ED7AC2" w:rsidRPr="000A2379">
        <w:t xml:space="preserve"> </w:t>
      </w:r>
    </w:p>
    <w:p w:rsidR="00FF5562" w:rsidRDefault="00FF5562" w:rsidP="001A6F91">
      <w:pPr>
        <w:spacing w:line="360" w:lineRule="auto"/>
        <w:ind w:firstLine="720"/>
        <w:jc w:val="both"/>
      </w:pPr>
    </w:p>
    <w:p w:rsidR="00FF5562" w:rsidRPr="00FF5562" w:rsidRDefault="00FF5562" w:rsidP="00FF5562">
      <w:pPr>
        <w:spacing w:line="360" w:lineRule="auto"/>
        <w:ind w:left="720"/>
        <w:jc w:val="both"/>
        <w:rPr>
          <w:i/>
        </w:rPr>
      </w:pPr>
      <w:r>
        <w:rPr>
          <w:i/>
        </w:rPr>
        <w:t>“In any action or other proceedings which are instituted by virtue of section two, the Plaintiff, the applicant or the petitioner, as the case may be, may make the Minister to who the headship of the Ministry or department concerned has been assigned nominal defendant or respondent.”</w:t>
      </w:r>
    </w:p>
    <w:p w:rsidR="00B81BB7" w:rsidRPr="000A2379" w:rsidRDefault="00B81BB7" w:rsidP="001A6F91">
      <w:pPr>
        <w:spacing w:line="360" w:lineRule="auto"/>
        <w:ind w:firstLine="720"/>
        <w:jc w:val="both"/>
      </w:pPr>
    </w:p>
    <w:p w:rsidR="00ED7AC2" w:rsidRPr="00B81BB7" w:rsidRDefault="006324EF" w:rsidP="001A6F91">
      <w:pPr>
        <w:spacing w:line="360" w:lineRule="auto"/>
        <w:ind w:firstLine="720"/>
        <w:jc w:val="both"/>
      </w:pPr>
      <w:r w:rsidRPr="000A2379">
        <w:t xml:space="preserve">Although the </w:t>
      </w:r>
      <w:r w:rsidR="00ED7AC2" w:rsidRPr="000A2379">
        <w:t xml:space="preserve">point </w:t>
      </w:r>
      <w:r w:rsidRPr="000A2379">
        <w:t>was not</w:t>
      </w:r>
      <w:r w:rsidR="00ED7AC2" w:rsidRPr="000A2379">
        <w:t xml:space="preserve"> raised by Respondent in </w:t>
      </w:r>
      <w:r w:rsidRPr="000A2379">
        <w:t>its</w:t>
      </w:r>
      <w:r w:rsidR="00ED7AC2" w:rsidRPr="000A2379">
        <w:t xml:space="preserve"> opposing papers</w:t>
      </w:r>
      <w:r w:rsidRPr="000A2379">
        <w:t xml:space="preserve"> the point</w:t>
      </w:r>
      <w:r w:rsidR="00FF5562">
        <w:t>,</w:t>
      </w:r>
      <w:r w:rsidR="000345B9">
        <w:t xml:space="preserve"> </w:t>
      </w:r>
      <w:r w:rsidR="00B81BB7">
        <w:t>being</w:t>
      </w:r>
      <w:r w:rsidR="00FF5562">
        <w:t>,</w:t>
      </w:r>
      <w:r w:rsidR="00B81BB7">
        <w:t xml:space="preserve"> </w:t>
      </w:r>
      <w:r w:rsidR="000345B9">
        <w:t>in my view</w:t>
      </w:r>
      <w:r w:rsidR="00FF5562">
        <w:t>,</w:t>
      </w:r>
      <w:r w:rsidR="00B81BB7">
        <w:t xml:space="preserve"> a point of law</w:t>
      </w:r>
      <w:r w:rsidRPr="000A2379">
        <w:t xml:space="preserve"> </w:t>
      </w:r>
      <w:r w:rsidR="00ED7AC2" w:rsidRPr="000A2379">
        <w:t xml:space="preserve">could have been raised at any </w:t>
      </w:r>
      <w:r w:rsidR="00EA5D5E" w:rsidRPr="000A2379">
        <w:t>stage</w:t>
      </w:r>
      <w:r w:rsidR="00ED7AC2" w:rsidRPr="000A2379">
        <w:t xml:space="preserve"> of the proceedings.  </w:t>
      </w:r>
      <w:r w:rsidR="00B81BB7">
        <w:t>The point being raised is that</w:t>
      </w:r>
      <w:r w:rsidR="00FF5562">
        <w:t xml:space="preserve"> the Appellant having cited the Ministry instead of the Minister,</w:t>
      </w:r>
      <w:r w:rsidR="00B81BB7">
        <w:t xml:space="preserve"> there is no Respondent before the</w:t>
      </w:r>
      <w:r w:rsidR="00FF5562">
        <w:t xml:space="preserve"> Court whose actions are being impugned</w:t>
      </w:r>
      <w:r w:rsidR="00B81BB7">
        <w:t xml:space="preserve"> by this appeal.  It is a trite principle that proceedings can only be valid if they are b</w:t>
      </w:r>
      <w:r w:rsidR="00F60C97">
        <w:t>rought against an identifiable R</w:t>
      </w:r>
      <w:r w:rsidR="00B81BB7">
        <w:t xml:space="preserve">espondent.  The Court has been aptly referred to </w:t>
      </w:r>
      <w:r w:rsidR="00B81BB7" w:rsidRPr="00B81BB7">
        <w:rPr>
          <w:b/>
        </w:rPr>
        <w:t>Gariya</w:t>
      </w:r>
      <w:r w:rsidR="00B81BB7">
        <w:t xml:space="preserve"> decision by the Respondent.</w:t>
      </w:r>
    </w:p>
    <w:p w:rsidR="000A2379" w:rsidRPr="000A2379" w:rsidRDefault="00ED7AC2" w:rsidP="001A6F91">
      <w:pPr>
        <w:spacing w:line="360" w:lineRule="auto"/>
        <w:ind w:firstLine="720"/>
        <w:jc w:val="both"/>
      </w:pPr>
      <w:r w:rsidRPr="000A2379">
        <w:lastRenderedPageBreak/>
        <w:t>The Appellant</w:t>
      </w:r>
      <w:r w:rsidR="00FF5562">
        <w:t>’s Counsel</w:t>
      </w:r>
      <w:r w:rsidRPr="000A2379">
        <w:t xml:space="preserve"> has sought to correct the anomaly by </w:t>
      </w:r>
      <w:r w:rsidR="00EA5D5E" w:rsidRPr="000A2379">
        <w:t xml:space="preserve">orally </w:t>
      </w:r>
      <w:r w:rsidRPr="000A2379">
        <w:t xml:space="preserve">seeking for leave from the court to amend </w:t>
      </w:r>
      <w:r w:rsidR="00FF5562">
        <w:t>h</w:t>
      </w:r>
      <w:r w:rsidRPr="000A2379">
        <w:t xml:space="preserve">is papers to </w:t>
      </w:r>
      <w:r w:rsidR="000345B9">
        <w:t>substitute</w:t>
      </w:r>
      <w:r w:rsidRPr="000A2379">
        <w:t xml:space="preserve"> the Public Service Commission.  </w:t>
      </w:r>
      <w:r w:rsidR="00FF5562">
        <w:t>The correct procedure in my view would be for Appellant to by way of a</w:t>
      </w:r>
      <w:r w:rsidR="00F60C97">
        <w:t xml:space="preserve"> formal</w:t>
      </w:r>
      <w:r w:rsidR="00AC77FA">
        <w:t xml:space="preserve"> application seek the substitution</w:t>
      </w:r>
      <w:r w:rsidR="00FF5562">
        <w:t xml:space="preserve"> of the Public Service Commission in place of </w:t>
      </w:r>
      <w:r w:rsidR="00F60C97">
        <w:t>‘</w:t>
      </w:r>
      <w:r w:rsidR="00FF5562">
        <w:t>the Ministry</w:t>
      </w:r>
      <w:r w:rsidR="00F60C97">
        <w:t>’</w:t>
      </w:r>
      <w:r w:rsidR="00FF5562">
        <w:t>.</w:t>
      </w:r>
    </w:p>
    <w:p w:rsidR="00B81BB7" w:rsidRDefault="000345B9" w:rsidP="001A6F91">
      <w:pPr>
        <w:spacing w:line="360" w:lineRule="auto"/>
        <w:jc w:val="both"/>
      </w:pPr>
      <w:r>
        <w:tab/>
      </w:r>
    </w:p>
    <w:p w:rsidR="008646FE" w:rsidRDefault="000345B9" w:rsidP="001A6F91">
      <w:pPr>
        <w:spacing w:line="360" w:lineRule="auto"/>
        <w:ind w:firstLine="720"/>
        <w:jc w:val="both"/>
      </w:pPr>
      <w:r>
        <w:t>There is accordingly no appeal before the court and the purported notice of appeal should be struck</w:t>
      </w:r>
      <w:r w:rsidR="008646FE">
        <w:t xml:space="preserve"> off the roll.</w:t>
      </w:r>
    </w:p>
    <w:p w:rsidR="001A6F91" w:rsidRDefault="001A6F91" w:rsidP="001A6F91">
      <w:pPr>
        <w:spacing w:line="360" w:lineRule="auto"/>
        <w:jc w:val="both"/>
      </w:pPr>
    </w:p>
    <w:p w:rsidR="008646FE" w:rsidRDefault="00FF5562" w:rsidP="001A6F91">
      <w:pPr>
        <w:spacing w:line="360" w:lineRule="auto"/>
        <w:jc w:val="both"/>
      </w:pPr>
      <w:r>
        <w:t>It is accordingly</w:t>
      </w:r>
      <w:r w:rsidR="008646FE">
        <w:t xml:space="preserve"> ordered</w:t>
      </w:r>
      <w:r>
        <w:t xml:space="preserve"> as follows:</w:t>
      </w:r>
    </w:p>
    <w:p w:rsidR="00FF5562" w:rsidRDefault="00FF5562" w:rsidP="001A6F91">
      <w:pPr>
        <w:spacing w:line="360" w:lineRule="auto"/>
        <w:jc w:val="both"/>
      </w:pPr>
    </w:p>
    <w:p w:rsidR="00FF5562" w:rsidRDefault="00FF5562" w:rsidP="00FF5562">
      <w:pPr>
        <w:pStyle w:val="ListParagraph"/>
        <w:numPr>
          <w:ilvl w:val="0"/>
          <w:numId w:val="2"/>
        </w:numPr>
        <w:spacing w:line="360" w:lineRule="auto"/>
        <w:jc w:val="both"/>
      </w:pPr>
      <w:r>
        <w:t>The point in limine is upheld.</w:t>
      </w:r>
    </w:p>
    <w:p w:rsidR="00FF5562" w:rsidRDefault="00FF5562" w:rsidP="00FF5562">
      <w:pPr>
        <w:spacing w:line="360" w:lineRule="auto"/>
        <w:jc w:val="both"/>
      </w:pPr>
    </w:p>
    <w:p w:rsidR="00FF5562" w:rsidRDefault="00FF5562" w:rsidP="00FF5562">
      <w:pPr>
        <w:pStyle w:val="ListParagraph"/>
        <w:numPr>
          <w:ilvl w:val="0"/>
          <w:numId w:val="2"/>
        </w:numPr>
        <w:spacing w:line="360" w:lineRule="auto"/>
        <w:jc w:val="both"/>
      </w:pPr>
      <w:r>
        <w:t>The notice of appeal is hereby struck off the roll with no order as to costs.</w:t>
      </w:r>
    </w:p>
    <w:p w:rsidR="008646FE" w:rsidRDefault="008646FE" w:rsidP="001A6F91">
      <w:pPr>
        <w:spacing w:line="360" w:lineRule="auto"/>
        <w:jc w:val="both"/>
      </w:pPr>
    </w:p>
    <w:p w:rsidR="008646FE" w:rsidRDefault="008646FE" w:rsidP="001A6F91">
      <w:pPr>
        <w:spacing w:line="360" w:lineRule="auto"/>
        <w:jc w:val="both"/>
      </w:pPr>
    </w:p>
    <w:p w:rsidR="008646FE" w:rsidRDefault="008646FE" w:rsidP="001A6F91">
      <w:pPr>
        <w:spacing w:line="360" w:lineRule="auto"/>
        <w:jc w:val="both"/>
      </w:pPr>
    </w:p>
    <w:p w:rsidR="008646FE" w:rsidRPr="00002C4E" w:rsidRDefault="008646FE" w:rsidP="001A6F91">
      <w:pPr>
        <w:spacing w:line="360" w:lineRule="auto"/>
        <w:jc w:val="both"/>
        <w:rPr>
          <w:b/>
          <w:i/>
        </w:rPr>
      </w:pPr>
      <w:r w:rsidRPr="00002C4E">
        <w:rPr>
          <w:b/>
          <w:i/>
        </w:rPr>
        <w:t>Murisi &amp; Associates – Appellant’s Legal Practitioners</w:t>
      </w:r>
    </w:p>
    <w:p w:rsidR="00FF5562" w:rsidRDefault="00FF5562" w:rsidP="001A6F91">
      <w:pPr>
        <w:spacing w:line="360" w:lineRule="auto"/>
        <w:jc w:val="both"/>
        <w:rPr>
          <w:b/>
          <w:i/>
        </w:rPr>
      </w:pPr>
    </w:p>
    <w:p w:rsidR="000345B9" w:rsidRPr="00002C4E" w:rsidRDefault="008646FE" w:rsidP="001A6F91">
      <w:pPr>
        <w:spacing w:line="360" w:lineRule="auto"/>
        <w:jc w:val="both"/>
        <w:rPr>
          <w:b/>
          <w:i/>
        </w:rPr>
      </w:pPr>
      <w:r w:rsidRPr="00002C4E">
        <w:rPr>
          <w:b/>
          <w:i/>
        </w:rPr>
        <w:t>Civil Division</w:t>
      </w:r>
      <w:r w:rsidR="00002C4E" w:rsidRPr="00002C4E">
        <w:rPr>
          <w:b/>
          <w:i/>
        </w:rPr>
        <w:t xml:space="preserve"> – Respondent’s Legal Practitioners</w:t>
      </w:r>
      <w:r w:rsidR="000345B9" w:rsidRPr="00002C4E">
        <w:rPr>
          <w:b/>
          <w:i/>
        </w:rPr>
        <w:t xml:space="preserve"> </w:t>
      </w:r>
    </w:p>
    <w:sectPr w:rsidR="000345B9" w:rsidRPr="00002C4E" w:rsidSect="00E0539D">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97B" w:rsidRDefault="00AB697B" w:rsidP="00E0539D">
      <w:r>
        <w:separator/>
      </w:r>
    </w:p>
  </w:endnote>
  <w:endnote w:type="continuationSeparator" w:id="0">
    <w:p w:rsidR="00AB697B" w:rsidRDefault="00AB697B" w:rsidP="00E0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1447"/>
      <w:docPartObj>
        <w:docPartGallery w:val="Page Numbers (Bottom of Page)"/>
        <w:docPartUnique/>
      </w:docPartObj>
    </w:sdtPr>
    <w:sdtEndPr/>
    <w:sdtContent>
      <w:p w:rsidR="00ED7AC2" w:rsidRDefault="00014667">
        <w:pPr>
          <w:pStyle w:val="Footer"/>
          <w:jc w:val="center"/>
        </w:pPr>
        <w:r>
          <w:fldChar w:fldCharType="begin"/>
        </w:r>
        <w:r>
          <w:instrText xml:space="preserve"> PAGE   \* MERGEFORMAT </w:instrText>
        </w:r>
        <w:r>
          <w:fldChar w:fldCharType="separate"/>
        </w:r>
        <w:r w:rsidR="00F7078D">
          <w:rPr>
            <w:noProof/>
          </w:rPr>
          <w:t>4</w:t>
        </w:r>
        <w:r>
          <w:rPr>
            <w:noProof/>
          </w:rPr>
          <w:fldChar w:fldCharType="end"/>
        </w:r>
      </w:p>
    </w:sdtContent>
  </w:sdt>
  <w:p w:rsidR="00ED7AC2" w:rsidRDefault="00ED7A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1448"/>
      <w:docPartObj>
        <w:docPartGallery w:val="Page Numbers (Bottom of Page)"/>
        <w:docPartUnique/>
      </w:docPartObj>
    </w:sdtPr>
    <w:sdtEndPr/>
    <w:sdtContent>
      <w:p w:rsidR="00ED7AC2" w:rsidRDefault="00014667">
        <w:pPr>
          <w:pStyle w:val="Footer"/>
          <w:jc w:val="center"/>
        </w:pPr>
        <w:r>
          <w:fldChar w:fldCharType="begin"/>
        </w:r>
        <w:r>
          <w:instrText xml:space="preserve"> PAGE   \* MERGEFORMAT </w:instrText>
        </w:r>
        <w:r>
          <w:fldChar w:fldCharType="separate"/>
        </w:r>
        <w:r w:rsidR="00F7078D">
          <w:rPr>
            <w:noProof/>
          </w:rPr>
          <w:t>1</w:t>
        </w:r>
        <w:r>
          <w:rPr>
            <w:noProof/>
          </w:rPr>
          <w:fldChar w:fldCharType="end"/>
        </w:r>
      </w:p>
    </w:sdtContent>
  </w:sdt>
  <w:p w:rsidR="00ED7AC2" w:rsidRDefault="00ED7A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97B" w:rsidRDefault="00AB697B" w:rsidP="00E0539D">
      <w:r>
        <w:separator/>
      </w:r>
    </w:p>
  </w:footnote>
  <w:footnote w:type="continuationSeparator" w:id="0">
    <w:p w:rsidR="00AB697B" w:rsidRDefault="00AB697B" w:rsidP="00E053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AC2" w:rsidRPr="00E0539D" w:rsidRDefault="00ED7AC2">
    <w:pPr>
      <w:pStyle w:val="Header"/>
      <w:rPr>
        <w:lang w:val="en-ZW"/>
      </w:rPr>
    </w:pPr>
    <w:r>
      <w:rPr>
        <w:lang w:val="en-ZW"/>
      </w:rPr>
      <w:tab/>
      <w:t xml:space="preserve">  </w:t>
    </w:r>
    <w:r>
      <w:rPr>
        <w:lang w:val="en-ZW"/>
      </w:rPr>
      <w:tab/>
      <w:t xml:space="preserve"> JUDGMENT NO. LC/H/409/2013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F1923"/>
    <w:multiLevelType w:val="hybridMultilevel"/>
    <w:tmpl w:val="2068A5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ECB5460"/>
    <w:multiLevelType w:val="hybridMultilevel"/>
    <w:tmpl w:val="550E54FC"/>
    <w:lvl w:ilvl="0" w:tplc="BF5CE8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3E"/>
    <w:rsid w:val="00002C4E"/>
    <w:rsid w:val="00014667"/>
    <w:rsid w:val="000345B9"/>
    <w:rsid w:val="000549D2"/>
    <w:rsid w:val="00067FAE"/>
    <w:rsid w:val="00092277"/>
    <w:rsid w:val="000A2379"/>
    <w:rsid w:val="000B20CF"/>
    <w:rsid w:val="001405F9"/>
    <w:rsid w:val="0015593E"/>
    <w:rsid w:val="00170320"/>
    <w:rsid w:val="001A6F91"/>
    <w:rsid w:val="001E4C0B"/>
    <w:rsid w:val="001E60D4"/>
    <w:rsid w:val="00252A32"/>
    <w:rsid w:val="002772CF"/>
    <w:rsid w:val="002F1117"/>
    <w:rsid w:val="00385187"/>
    <w:rsid w:val="003D70B9"/>
    <w:rsid w:val="003F3770"/>
    <w:rsid w:val="00435F6D"/>
    <w:rsid w:val="00457C81"/>
    <w:rsid w:val="004B61ED"/>
    <w:rsid w:val="00510212"/>
    <w:rsid w:val="005D60FF"/>
    <w:rsid w:val="005D716A"/>
    <w:rsid w:val="005E16FA"/>
    <w:rsid w:val="005E1EA2"/>
    <w:rsid w:val="0060624D"/>
    <w:rsid w:val="006324EF"/>
    <w:rsid w:val="0063668E"/>
    <w:rsid w:val="00644696"/>
    <w:rsid w:val="006D4364"/>
    <w:rsid w:val="00731E3A"/>
    <w:rsid w:val="0073588D"/>
    <w:rsid w:val="007B5D3C"/>
    <w:rsid w:val="007C5B77"/>
    <w:rsid w:val="007D142B"/>
    <w:rsid w:val="0082538A"/>
    <w:rsid w:val="008646FE"/>
    <w:rsid w:val="00977539"/>
    <w:rsid w:val="009A4202"/>
    <w:rsid w:val="009D6C3A"/>
    <w:rsid w:val="00A0443B"/>
    <w:rsid w:val="00A2387F"/>
    <w:rsid w:val="00A40488"/>
    <w:rsid w:val="00AB697B"/>
    <w:rsid w:val="00AC4F1E"/>
    <w:rsid w:val="00AC70F3"/>
    <w:rsid w:val="00AC77FA"/>
    <w:rsid w:val="00B35544"/>
    <w:rsid w:val="00B61212"/>
    <w:rsid w:val="00B727CC"/>
    <w:rsid w:val="00B81BB7"/>
    <w:rsid w:val="00B81EF1"/>
    <w:rsid w:val="00BA0DC7"/>
    <w:rsid w:val="00C03604"/>
    <w:rsid w:val="00C451E1"/>
    <w:rsid w:val="00CA630C"/>
    <w:rsid w:val="00CC13A9"/>
    <w:rsid w:val="00D124DD"/>
    <w:rsid w:val="00D144D8"/>
    <w:rsid w:val="00D17338"/>
    <w:rsid w:val="00D41A12"/>
    <w:rsid w:val="00DD67AC"/>
    <w:rsid w:val="00E0539D"/>
    <w:rsid w:val="00EA5D5E"/>
    <w:rsid w:val="00EC2CBD"/>
    <w:rsid w:val="00ED7AC2"/>
    <w:rsid w:val="00F11357"/>
    <w:rsid w:val="00F52BC7"/>
    <w:rsid w:val="00F60419"/>
    <w:rsid w:val="00F60C97"/>
    <w:rsid w:val="00F66AE6"/>
    <w:rsid w:val="00F7078D"/>
    <w:rsid w:val="00FA1617"/>
    <w:rsid w:val="00FC6071"/>
    <w:rsid w:val="00FF556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E84D44-A7EB-4825-AB53-A7B1C852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93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39D"/>
    <w:pPr>
      <w:tabs>
        <w:tab w:val="center" w:pos="4513"/>
        <w:tab w:val="right" w:pos="9026"/>
      </w:tabs>
    </w:pPr>
  </w:style>
  <w:style w:type="character" w:customStyle="1" w:styleId="HeaderChar">
    <w:name w:val="Header Char"/>
    <w:basedOn w:val="DefaultParagraphFont"/>
    <w:link w:val="Header"/>
    <w:uiPriority w:val="99"/>
    <w:rsid w:val="00E0539D"/>
    <w:rPr>
      <w:rFonts w:ascii="Tahoma" w:eastAsia="Times New Roman" w:hAnsi="Tahoma" w:cs="Times New Roman"/>
      <w:sz w:val="24"/>
      <w:szCs w:val="24"/>
      <w:lang w:val="en-US"/>
    </w:rPr>
  </w:style>
  <w:style w:type="paragraph" w:styleId="Footer">
    <w:name w:val="footer"/>
    <w:basedOn w:val="Normal"/>
    <w:link w:val="FooterChar"/>
    <w:uiPriority w:val="99"/>
    <w:unhideWhenUsed/>
    <w:rsid w:val="00E0539D"/>
    <w:pPr>
      <w:tabs>
        <w:tab w:val="center" w:pos="4513"/>
        <w:tab w:val="right" w:pos="9026"/>
      </w:tabs>
    </w:pPr>
  </w:style>
  <w:style w:type="character" w:customStyle="1" w:styleId="FooterChar">
    <w:name w:val="Footer Char"/>
    <w:basedOn w:val="DefaultParagraphFont"/>
    <w:link w:val="Footer"/>
    <w:uiPriority w:val="99"/>
    <w:rsid w:val="00E0539D"/>
    <w:rPr>
      <w:rFonts w:ascii="Tahoma" w:eastAsia="Times New Roman" w:hAnsi="Tahoma" w:cs="Times New Roman"/>
      <w:sz w:val="24"/>
      <w:szCs w:val="24"/>
      <w:lang w:val="en-US"/>
    </w:rPr>
  </w:style>
  <w:style w:type="paragraph" w:styleId="ListParagraph">
    <w:name w:val="List Paragraph"/>
    <w:basedOn w:val="Normal"/>
    <w:uiPriority w:val="34"/>
    <w:qFormat/>
    <w:rsid w:val="00FC6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8901D-8781-4743-AA0A-582E1ECB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JSC</cp:lastModifiedBy>
  <cp:revision>2</cp:revision>
  <cp:lastPrinted>2013-09-05T10:22:00Z</cp:lastPrinted>
  <dcterms:created xsi:type="dcterms:W3CDTF">2017-05-02T11:10:00Z</dcterms:created>
  <dcterms:modified xsi:type="dcterms:W3CDTF">2017-05-02T11:10:00Z</dcterms:modified>
</cp:coreProperties>
</file>