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4C7" w:rsidRDefault="003354C7" w:rsidP="00E92647">
      <w:pPr>
        <w:pStyle w:val="NoSpacing"/>
        <w:jc w:val="both"/>
        <w:rPr>
          <w:rFonts w:ascii="Times New Roman" w:hAnsi="Times New Roman" w:cs="Times New Roman"/>
          <w:b/>
          <w:szCs w:val="24"/>
        </w:rPr>
      </w:pPr>
    </w:p>
    <w:p w:rsidR="00665965" w:rsidRDefault="00665965" w:rsidP="00E92647">
      <w:pPr>
        <w:pStyle w:val="NoSpacing"/>
        <w:jc w:val="both"/>
        <w:rPr>
          <w:rFonts w:ascii="Times New Roman" w:hAnsi="Times New Roman" w:cs="Times New Roman"/>
          <w:b/>
          <w:szCs w:val="24"/>
        </w:rPr>
      </w:pPr>
      <w:r>
        <w:rPr>
          <w:rFonts w:ascii="Times New Roman" w:hAnsi="Times New Roman" w:cs="Times New Roman"/>
          <w:b/>
          <w:szCs w:val="24"/>
        </w:rPr>
        <w:t>JOSEPH BELLODI</w:t>
      </w:r>
    </w:p>
    <w:p w:rsidR="00665965" w:rsidRDefault="00665965" w:rsidP="00E92647">
      <w:pPr>
        <w:pStyle w:val="NoSpacing"/>
        <w:jc w:val="both"/>
        <w:rPr>
          <w:rFonts w:ascii="Times New Roman" w:hAnsi="Times New Roman" w:cs="Times New Roman"/>
          <w:b/>
          <w:szCs w:val="24"/>
        </w:rPr>
      </w:pPr>
    </w:p>
    <w:p w:rsidR="00665965" w:rsidRDefault="00665965" w:rsidP="00E92647">
      <w:pPr>
        <w:pStyle w:val="NoSpacing"/>
        <w:jc w:val="both"/>
        <w:rPr>
          <w:rFonts w:ascii="Times New Roman" w:hAnsi="Times New Roman" w:cs="Times New Roman"/>
          <w:b/>
          <w:szCs w:val="24"/>
        </w:rPr>
      </w:pPr>
      <w:r>
        <w:rPr>
          <w:rFonts w:ascii="Times New Roman" w:hAnsi="Times New Roman" w:cs="Times New Roman"/>
          <w:b/>
          <w:szCs w:val="24"/>
        </w:rPr>
        <w:t>SHAYLEE MARIA BELLODI</w:t>
      </w:r>
    </w:p>
    <w:p w:rsidR="00665965" w:rsidRDefault="00665965" w:rsidP="00E92647">
      <w:pPr>
        <w:pStyle w:val="NoSpacing"/>
        <w:jc w:val="both"/>
        <w:rPr>
          <w:rFonts w:ascii="Times New Roman" w:hAnsi="Times New Roman" w:cs="Times New Roman"/>
          <w:b/>
          <w:szCs w:val="24"/>
        </w:rPr>
      </w:pPr>
    </w:p>
    <w:p w:rsidR="00665965" w:rsidRDefault="00665965" w:rsidP="00E92647">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665965" w:rsidRDefault="00665965" w:rsidP="00E92647">
      <w:pPr>
        <w:pStyle w:val="NoSpacing"/>
        <w:jc w:val="both"/>
        <w:rPr>
          <w:rFonts w:ascii="Times New Roman" w:hAnsi="Times New Roman" w:cs="Times New Roman"/>
          <w:b/>
          <w:szCs w:val="24"/>
        </w:rPr>
      </w:pPr>
    </w:p>
    <w:p w:rsidR="00665965" w:rsidRDefault="00665965" w:rsidP="00E92647">
      <w:pPr>
        <w:pStyle w:val="NoSpacing"/>
        <w:jc w:val="both"/>
        <w:rPr>
          <w:rFonts w:ascii="Times New Roman" w:hAnsi="Times New Roman" w:cs="Times New Roman"/>
          <w:b/>
          <w:szCs w:val="24"/>
        </w:rPr>
      </w:pPr>
      <w:r>
        <w:rPr>
          <w:rFonts w:ascii="Times New Roman" w:hAnsi="Times New Roman" w:cs="Times New Roman"/>
          <w:b/>
          <w:szCs w:val="24"/>
        </w:rPr>
        <w:t>LOVENESS MANALA MOTSI N.O</w:t>
      </w:r>
    </w:p>
    <w:p w:rsidR="00665965" w:rsidRDefault="00665965" w:rsidP="00E92647">
      <w:pPr>
        <w:pStyle w:val="NoSpacing"/>
        <w:jc w:val="both"/>
        <w:rPr>
          <w:rFonts w:ascii="Times New Roman" w:hAnsi="Times New Roman" w:cs="Times New Roman"/>
          <w:b/>
          <w:szCs w:val="24"/>
        </w:rPr>
      </w:pPr>
    </w:p>
    <w:p w:rsidR="00665965" w:rsidRDefault="00665965" w:rsidP="00E92647">
      <w:pPr>
        <w:pStyle w:val="NoSpacing"/>
        <w:jc w:val="both"/>
        <w:rPr>
          <w:rFonts w:ascii="Times New Roman" w:hAnsi="Times New Roman" w:cs="Times New Roman"/>
          <w:b/>
          <w:szCs w:val="24"/>
        </w:rPr>
      </w:pPr>
      <w:r>
        <w:rPr>
          <w:rFonts w:ascii="Times New Roman" w:hAnsi="Times New Roman" w:cs="Times New Roman"/>
          <w:b/>
          <w:szCs w:val="24"/>
        </w:rPr>
        <w:t>AND</w:t>
      </w:r>
    </w:p>
    <w:p w:rsidR="00665965" w:rsidRDefault="00665965" w:rsidP="00E92647">
      <w:pPr>
        <w:pStyle w:val="NoSpacing"/>
        <w:jc w:val="both"/>
        <w:rPr>
          <w:rFonts w:ascii="Times New Roman" w:hAnsi="Times New Roman" w:cs="Times New Roman"/>
          <w:b/>
          <w:szCs w:val="24"/>
        </w:rPr>
      </w:pPr>
      <w:r>
        <w:rPr>
          <w:rFonts w:ascii="Times New Roman" w:hAnsi="Times New Roman" w:cs="Times New Roman"/>
          <w:b/>
          <w:szCs w:val="24"/>
        </w:rPr>
        <w:t xml:space="preserve">ASSISTANT MASTER OF THE HIGH COURT </w:t>
      </w:r>
    </w:p>
    <w:p w:rsidR="00665965" w:rsidRDefault="00665965" w:rsidP="00E92647">
      <w:pPr>
        <w:pStyle w:val="NoSpacing"/>
        <w:jc w:val="both"/>
        <w:rPr>
          <w:rFonts w:ascii="Times New Roman" w:hAnsi="Times New Roman" w:cs="Times New Roman"/>
          <w:szCs w:val="24"/>
        </w:rPr>
      </w:pPr>
      <w:r>
        <w:rPr>
          <w:rFonts w:ascii="Times New Roman" w:hAnsi="Times New Roman" w:cs="Times New Roman"/>
          <w:b/>
          <w:szCs w:val="24"/>
        </w:rPr>
        <w:t>OF ZIMBABWE, BULAWAYO N.O</w:t>
      </w:r>
    </w:p>
    <w:p w:rsidR="00665965" w:rsidRDefault="00665965" w:rsidP="00E92647">
      <w:pPr>
        <w:pStyle w:val="NoSpacing"/>
        <w:jc w:val="both"/>
        <w:rPr>
          <w:rFonts w:ascii="Times New Roman" w:hAnsi="Times New Roman" w:cs="Times New Roman"/>
          <w:szCs w:val="24"/>
        </w:rPr>
      </w:pPr>
    </w:p>
    <w:p w:rsidR="00665965" w:rsidRDefault="00665965" w:rsidP="00E92647">
      <w:pPr>
        <w:pStyle w:val="NoSpacing"/>
        <w:jc w:val="both"/>
        <w:rPr>
          <w:rFonts w:ascii="Times New Roman" w:hAnsi="Times New Roman" w:cs="Times New Roman"/>
          <w:szCs w:val="24"/>
        </w:rPr>
      </w:pPr>
    </w:p>
    <w:p w:rsidR="00665965" w:rsidRDefault="00665965" w:rsidP="00E92647">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665965" w:rsidRDefault="00665965" w:rsidP="00E92647">
      <w:pPr>
        <w:pStyle w:val="NoSpacing"/>
        <w:jc w:val="both"/>
        <w:rPr>
          <w:rFonts w:ascii="Times New Roman" w:hAnsi="Times New Roman" w:cs="Times New Roman"/>
          <w:szCs w:val="24"/>
        </w:rPr>
      </w:pPr>
      <w:r>
        <w:rPr>
          <w:rFonts w:ascii="Times New Roman" w:hAnsi="Times New Roman" w:cs="Times New Roman"/>
          <w:szCs w:val="24"/>
        </w:rPr>
        <w:t>MAKONESE J</w:t>
      </w:r>
    </w:p>
    <w:p w:rsidR="00665965" w:rsidRDefault="00665965" w:rsidP="00E92647">
      <w:pPr>
        <w:pStyle w:val="NoSpacing"/>
        <w:jc w:val="both"/>
        <w:rPr>
          <w:rFonts w:ascii="Times New Roman" w:hAnsi="Times New Roman" w:cs="Times New Roman"/>
          <w:szCs w:val="24"/>
        </w:rPr>
      </w:pPr>
      <w:r>
        <w:rPr>
          <w:rFonts w:ascii="Times New Roman" w:hAnsi="Times New Roman" w:cs="Times New Roman"/>
          <w:szCs w:val="24"/>
        </w:rPr>
        <w:t>BULAWAYO 16 &amp; 19 MARCH 2020</w:t>
      </w:r>
    </w:p>
    <w:p w:rsidR="00665965" w:rsidRDefault="00665965" w:rsidP="00E92647">
      <w:pPr>
        <w:pStyle w:val="NoSpacing"/>
        <w:jc w:val="both"/>
        <w:rPr>
          <w:rFonts w:ascii="Times New Roman" w:hAnsi="Times New Roman" w:cs="Times New Roman"/>
          <w:szCs w:val="24"/>
        </w:rPr>
      </w:pPr>
    </w:p>
    <w:p w:rsidR="00665965" w:rsidRDefault="00665965" w:rsidP="00E92647">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665965" w:rsidRDefault="00665965" w:rsidP="00E92647">
      <w:pPr>
        <w:pStyle w:val="NoSpacing"/>
        <w:jc w:val="both"/>
        <w:rPr>
          <w:rFonts w:ascii="Times New Roman" w:hAnsi="Times New Roman" w:cs="Times New Roman"/>
          <w:b/>
          <w:szCs w:val="24"/>
        </w:rPr>
      </w:pPr>
    </w:p>
    <w:p w:rsidR="00665965" w:rsidRDefault="00665965" w:rsidP="00E92647">
      <w:pPr>
        <w:pStyle w:val="NoSpacing"/>
        <w:jc w:val="both"/>
        <w:rPr>
          <w:rFonts w:ascii="Times New Roman" w:hAnsi="Times New Roman" w:cs="Times New Roman"/>
          <w:szCs w:val="24"/>
        </w:rPr>
      </w:pPr>
      <w:r>
        <w:rPr>
          <w:rFonts w:ascii="Times New Roman" w:hAnsi="Times New Roman" w:cs="Times New Roman"/>
          <w:i/>
          <w:szCs w:val="24"/>
        </w:rPr>
        <w:t xml:space="preserve">Ms J </w:t>
      </w:r>
      <w:proofErr w:type="spellStart"/>
      <w:r>
        <w:rPr>
          <w:rFonts w:ascii="Times New Roman" w:hAnsi="Times New Roman" w:cs="Times New Roman"/>
          <w:i/>
          <w:szCs w:val="24"/>
        </w:rPr>
        <w:t>Mugova</w:t>
      </w:r>
      <w:proofErr w:type="spellEnd"/>
      <w:r>
        <w:rPr>
          <w:rFonts w:ascii="Times New Roman" w:hAnsi="Times New Roman" w:cs="Times New Roman"/>
          <w:i/>
          <w:szCs w:val="24"/>
        </w:rPr>
        <w:t>, for the applicant</w:t>
      </w:r>
    </w:p>
    <w:p w:rsidR="00665965" w:rsidRDefault="00AE6F0E" w:rsidP="00E92647">
      <w:pPr>
        <w:pStyle w:val="NoSpacing"/>
        <w:jc w:val="both"/>
        <w:rPr>
          <w:rFonts w:ascii="Times New Roman" w:hAnsi="Times New Roman" w:cs="Times New Roman"/>
          <w:szCs w:val="24"/>
        </w:rPr>
      </w:pPr>
      <w:r>
        <w:rPr>
          <w:rFonts w:ascii="Times New Roman" w:hAnsi="Times New Roman" w:cs="Times New Roman"/>
          <w:i/>
          <w:szCs w:val="24"/>
        </w:rPr>
        <w:t xml:space="preserve">G </w:t>
      </w:r>
      <w:proofErr w:type="spellStart"/>
      <w:r>
        <w:rPr>
          <w:rFonts w:ascii="Times New Roman" w:hAnsi="Times New Roman" w:cs="Times New Roman"/>
          <w:i/>
          <w:szCs w:val="24"/>
        </w:rPr>
        <w:t>Sengweni</w:t>
      </w:r>
      <w:proofErr w:type="spellEnd"/>
      <w:r>
        <w:rPr>
          <w:rFonts w:ascii="Times New Roman" w:hAnsi="Times New Roman" w:cs="Times New Roman"/>
          <w:i/>
          <w:szCs w:val="24"/>
        </w:rPr>
        <w:t>,</w:t>
      </w:r>
      <w:r w:rsidR="00665965">
        <w:rPr>
          <w:rFonts w:ascii="Times New Roman" w:hAnsi="Times New Roman" w:cs="Times New Roman"/>
          <w:i/>
          <w:szCs w:val="24"/>
        </w:rPr>
        <w:t xml:space="preserve"> for the 1</w:t>
      </w:r>
      <w:r w:rsidR="00665965" w:rsidRPr="00665965">
        <w:rPr>
          <w:rFonts w:ascii="Times New Roman" w:hAnsi="Times New Roman" w:cs="Times New Roman"/>
          <w:i/>
          <w:szCs w:val="24"/>
          <w:vertAlign w:val="superscript"/>
        </w:rPr>
        <w:t>st</w:t>
      </w:r>
      <w:r w:rsidR="00665965">
        <w:rPr>
          <w:rFonts w:ascii="Times New Roman" w:hAnsi="Times New Roman" w:cs="Times New Roman"/>
          <w:i/>
          <w:szCs w:val="24"/>
        </w:rPr>
        <w:t xml:space="preserve"> respondent</w:t>
      </w:r>
    </w:p>
    <w:p w:rsidR="00665965" w:rsidRDefault="00665965" w:rsidP="00E92647">
      <w:pPr>
        <w:pStyle w:val="NoSpacing"/>
        <w:jc w:val="both"/>
        <w:rPr>
          <w:rFonts w:ascii="Times New Roman" w:hAnsi="Times New Roman" w:cs="Times New Roman"/>
          <w:b/>
          <w:szCs w:val="24"/>
        </w:rPr>
      </w:pPr>
    </w:p>
    <w:p w:rsidR="001D08C3" w:rsidRDefault="00665965" w:rsidP="00E92647">
      <w:pPr>
        <w:spacing w:line="360" w:lineRule="auto"/>
        <w:jc w:val="both"/>
        <w:rPr>
          <w:rFonts w:ascii="Times New Roman" w:hAnsi="Times New Roman" w:cs="Times New Roman"/>
          <w:sz w:val="24"/>
          <w:szCs w:val="24"/>
        </w:rPr>
      </w:pPr>
      <w:r>
        <w:rPr>
          <w:szCs w:val="24"/>
        </w:rPr>
        <w:tab/>
      </w:r>
      <w:r>
        <w:rPr>
          <w:rFonts w:ascii="Times New Roman" w:hAnsi="Times New Roman" w:cs="Times New Roman"/>
          <w:b/>
          <w:sz w:val="24"/>
          <w:szCs w:val="24"/>
        </w:rPr>
        <w:t>MAKONESE J:</w:t>
      </w:r>
      <w:r>
        <w:rPr>
          <w:b/>
          <w:sz w:val="24"/>
          <w:szCs w:val="24"/>
        </w:rPr>
        <w:tab/>
      </w:r>
      <w:r>
        <w:rPr>
          <w:rFonts w:ascii="Times New Roman" w:hAnsi="Times New Roman" w:cs="Times New Roman"/>
          <w:sz w:val="24"/>
          <w:szCs w:val="24"/>
        </w:rPr>
        <w:t>This is</w:t>
      </w:r>
      <w:r w:rsidR="003C714D">
        <w:rPr>
          <w:rFonts w:ascii="Times New Roman" w:hAnsi="Times New Roman" w:cs="Times New Roman"/>
          <w:sz w:val="24"/>
          <w:szCs w:val="24"/>
        </w:rPr>
        <w:t xml:space="preserve"> an</w:t>
      </w:r>
      <w:r>
        <w:rPr>
          <w:rFonts w:ascii="Times New Roman" w:hAnsi="Times New Roman" w:cs="Times New Roman"/>
          <w:sz w:val="24"/>
          <w:szCs w:val="24"/>
        </w:rPr>
        <w:t xml:space="preserve"> opposed application for the removal of 1</w:t>
      </w:r>
      <w:r w:rsidRPr="0066596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the executor (Executrix Dative) in the estate of the late Grace </w:t>
      </w:r>
      <w:proofErr w:type="spellStart"/>
      <w:r>
        <w:rPr>
          <w:rFonts w:ascii="Times New Roman" w:hAnsi="Times New Roman" w:cs="Times New Roman"/>
          <w:sz w:val="24"/>
          <w:szCs w:val="24"/>
        </w:rPr>
        <w:t>Bellodi</w:t>
      </w:r>
      <w:proofErr w:type="spellEnd"/>
      <w:r>
        <w:rPr>
          <w:rFonts w:ascii="Times New Roman" w:hAnsi="Times New Roman" w:cs="Times New Roman"/>
          <w:sz w:val="24"/>
          <w:szCs w:val="24"/>
        </w:rPr>
        <w:t xml:space="preserve"> under DRB 283/17.</w:t>
      </w:r>
    </w:p>
    <w:p w:rsidR="00665965" w:rsidRPr="003354C7" w:rsidRDefault="003C714D" w:rsidP="00E92647">
      <w:pPr>
        <w:spacing w:line="360" w:lineRule="auto"/>
        <w:jc w:val="both"/>
        <w:rPr>
          <w:rFonts w:ascii="Times New Roman" w:hAnsi="Times New Roman" w:cs="Times New Roman"/>
          <w:b/>
          <w:sz w:val="24"/>
          <w:szCs w:val="24"/>
        </w:rPr>
      </w:pPr>
      <w:r>
        <w:rPr>
          <w:rFonts w:ascii="Times New Roman" w:hAnsi="Times New Roman" w:cs="Times New Roman"/>
          <w:b/>
          <w:sz w:val="24"/>
          <w:szCs w:val="24"/>
        </w:rPr>
        <w:t>Factual background</w:t>
      </w:r>
    </w:p>
    <w:p w:rsidR="003354C7" w:rsidRDefault="00665965"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late Grace </w:t>
      </w:r>
      <w:proofErr w:type="spellStart"/>
      <w:r>
        <w:rPr>
          <w:rFonts w:ascii="Times New Roman" w:hAnsi="Times New Roman" w:cs="Times New Roman"/>
          <w:sz w:val="24"/>
          <w:szCs w:val="24"/>
        </w:rPr>
        <w:t>Bellodi</w:t>
      </w:r>
      <w:proofErr w:type="spellEnd"/>
      <w:r>
        <w:rPr>
          <w:rFonts w:ascii="Times New Roman" w:hAnsi="Times New Roman" w:cs="Times New Roman"/>
          <w:sz w:val="24"/>
          <w:szCs w:val="24"/>
        </w:rPr>
        <w:t xml:space="preserve"> (herei</w:t>
      </w:r>
      <w:r w:rsidR="00B100B3">
        <w:rPr>
          <w:rFonts w:ascii="Times New Roman" w:hAnsi="Times New Roman" w:cs="Times New Roman"/>
          <w:sz w:val="24"/>
          <w:szCs w:val="24"/>
        </w:rPr>
        <w:t>n</w:t>
      </w:r>
      <w:r>
        <w:rPr>
          <w:rFonts w:ascii="Times New Roman" w:hAnsi="Times New Roman" w:cs="Times New Roman"/>
          <w:sz w:val="24"/>
          <w:szCs w:val="24"/>
        </w:rPr>
        <w:t>after refe</w:t>
      </w:r>
      <w:r w:rsidR="003354C7">
        <w:rPr>
          <w:rFonts w:ascii="Times New Roman" w:hAnsi="Times New Roman" w:cs="Times New Roman"/>
          <w:sz w:val="24"/>
          <w:szCs w:val="24"/>
        </w:rPr>
        <w:t>r</w:t>
      </w:r>
      <w:r>
        <w:rPr>
          <w:rFonts w:ascii="Times New Roman" w:hAnsi="Times New Roman" w:cs="Times New Roman"/>
          <w:sz w:val="24"/>
          <w:szCs w:val="24"/>
        </w:rPr>
        <w:t>red to as the “deceased”</w:t>
      </w:r>
      <w:r w:rsidR="00767DCA">
        <w:rPr>
          <w:rFonts w:ascii="Times New Roman" w:hAnsi="Times New Roman" w:cs="Times New Roman"/>
          <w:sz w:val="24"/>
          <w:szCs w:val="24"/>
        </w:rPr>
        <w:t>) passed on</w:t>
      </w:r>
      <w:r w:rsidR="00B100B3">
        <w:rPr>
          <w:rFonts w:ascii="Times New Roman" w:hAnsi="Times New Roman" w:cs="Times New Roman"/>
          <w:sz w:val="24"/>
          <w:szCs w:val="24"/>
        </w:rPr>
        <w:t>,</w:t>
      </w:r>
      <w:r w:rsidR="00767DCA">
        <w:rPr>
          <w:rFonts w:ascii="Times New Roman" w:hAnsi="Times New Roman" w:cs="Times New Roman"/>
          <w:sz w:val="24"/>
          <w:szCs w:val="24"/>
        </w:rPr>
        <w:t xml:space="preserve"> on the 5</w:t>
      </w:r>
      <w:r w:rsidR="00767DCA" w:rsidRPr="00767DCA">
        <w:rPr>
          <w:rFonts w:ascii="Times New Roman" w:hAnsi="Times New Roman" w:cs="Times New Roman"/>
          <w:sz w:val="24"/>
          <w:szCs w:val="24"/>
          <w:vertAlign w:val="superscript"/>
        </w:rPr>
        <w:t>th</w:t>
      </w:r>
      <w:r w:rsidR="00767DCA">
        <w:rPr>
          <w:rFonts w:ascii="Times New Roman" w:hAnsi="Times New Roman" w:cs="Times New Roman"/>
          <w:sz w:val="24"/>
          <w:szCs w:val="24"/>
        </w:rPr>
        <w:t xml:space="preserve"> Mar</w:t>
      </w:r>
      <w:r w:rsidR="003354C7">
        <w:rPr>
          <w:rFonts w:ascii="Times New Roman" w:hAnsi="Times New Roman" w:cs="Times New Roman"/>
          <w:sz w:val="24"/>
          <w:szCs w:val="24"/>
        </w:rPr>
        <w:t xml:space="preserve">ch 2017.  She died intestate. </w:t>
      </w:r>
      <w:r w:rsidR="00767DCA">
        <w:rPr>
          <w:rFonts w:ascii="Times New Roman" w:hAnsi="Times New Roman" w:cs="Times New Roman"/>
          <w:sz w:val="24"/>
          <w:szCs w:val="24"/>
        </w:rPr>
        <w:t xml:space="preserve"> She and the 1</w:t>
      </w:r>
      <w:r w:rsidR="00767DCA" w:rsidRPr="00767DCA">
        <w:rPr>
          <w:rFonts w:ascii="Times New Roman" w:hAnsi="Times New Roman" w:cs="Times New Roman"/>
          <w:sz w:val="24"/>
          <w:szCs w:val="24"/>
          <w:vertAlign w:val="superscript"/>
        </w:rPr>
        <w:t>st</w:t>
      </w:r>
      <w:r w:rsidR="00767DCA">
        <w:rPr>
          <w:rFonts w:ascii="Times New Roman" w:hAnsi="Times New Roman" w:cs="Times New Roman"/>
          <w:sz w:val="24"/>
          <w:szCs w:val="24"/>
        </w:rPr>
        <w:t xml:space="preserve"> applicant had been married out of community of property under then Marriages Act (Chapter 37).  She is survived by a widower, Joseph </w:t>
      </w:r>
      <w:proofErr w:type="spellStart"/>
      <w:r w:rsidR="00767DCA">
        <w:rPr>
          <w:rFonts w:ascii="Times New Roman" w:hAnsi="Times New Roman" w:cs="Times New Roman"/>
          <w:sz w:val="24"/>
          <w:szCs w:val="24"/>
        </w:rPr>
        <w:t>Bellodi</w:t>
      </w:r>
      <w:proofErr w:type="spellEnd"/>
      <w:r w:rsidR="00767DCA">
        <w:rPr>
          <w:rFonts w:ascii="Times New Roman" w:hAnsi="Times New Roman" w:cs="Times New Roman"/>
          <w:sz w:val="24"/>
          <w:szCs w:val="24"/>
        </w:rPr>
        <w:t>, the 1</w:t>
      </w:r>
      <w:r w:rsidR="00767DCA" w:rsidRPr="00767DCA">
        <w:rPr>
          <w:rFonts w:ascii="Times New Roman" w:hAnsi="Times New Roman" w:cs="Times New Roman"/>
          <w:sz w:val="24"/>
          <w:szCs w:val="24"/>
          <w:vertAlign w:val="superscript"/>
        </w:rPr>
        <w:t>st</w:t>
      </w:r>
      <w:r w:rsidR="00767DCA">
        <w:rPr>
          <w:rFonts w:ascii="Times New Roman" w:hAnsi="Times New Roman" w:cs="Times New Roman"/>
          <w:sz w:val="24"/>
          <w:szCs w:val="24"/>
        </w:rPr>
        <w:t xml:space="preserve"> applicant.  The 2</w:t>
      </w:r>
      <w:r w:rsidR="00767DCA" w:rsidRPr="00767DCA">
        <w:rPr>
          <w:rFonts w:ascii="Times New Roman" w:hAnsi="Times New Roman" w:cs="Times New Roman"/>
          <w:sz w:val="24"/>
          <w:szCs w:val="24"/>
          <w:vertAlign w:val="superscript"/>
        </w:rPr>
        <w:t>nd</w:t>
      </w:r>
      <w:r w:rsidR="00767DCA">
        <w:rPr>
          <w:rFonts w:ascii="Times New Roman" w:hAnsi="Times New Roman" w:cs="Times New Roman"/>
          <w:sz w:val="24"/>
          <w:szCs w:val="24"/>
        </w:rPr>
        <w:t xml:space="preserve"> applicant is a daughter of the deceased.  The deceased is also survived by a child from ano</w:t>
      </w:r>
      <w:r w:rsidR="003354C7">
        <w:rPr>
          <w:rFonts w:ascii="Times New Roman" w:hAnsi="Times New Roman" w:cs="Times New Roman"/>
          <w:sz w:val="24"/>
          <w:szCs w:val="24"/>
        </w:rPr>
        <w:t xml:space="preserve">ther marriage, </w:t>
      </w:r>
      <w:proofErr w:type="spellStart"/>
      <w:r w:rsidR="003354C7">
        <w:rPr>
          <w:rFonts w:ascii="Times New Roman" w:hAnsi="Times New Roman" w:cs="Times New Roman"/>
          <w:sz w:val="24"/>
          <w:szCs w:val="24"/>
        </w:rPr>
        <w:t>Alroy</w:t>
      </w:r>
      <w:proofErr w:type="spellEnd"/>
      <w:r w:rsidR="003354C7">
        <w:rPr>
          <w:rFonts w:ascii="Times New Roman" w:hAnsi="Times New Roman" w:cs="Times New Roman"/>
          <w:sz w:val="24"/>
          <w:szCs w:val="24"/>
        </w:rPr>
        <w:t xml:space="preserve"> Dexter Rajah, </w:t>
      </w:r>
      <w:r w:rsidR="00767DCA">
        <w:rPr>
          <w:rFonts w:ascii="Times New Roman" w:hAnsi="Times New Roman" w:cs="Times New Roman"/>
          <w:sz w:val="24"/>
          <w:szCs w:val="24"/>
        </w:rPr>
        <w:t>a major.  Upon the death of the deceased and the filing of a Death Notice in terms of section 5 of the Administra</w:t>
      </w:r>
      <w:r w:rsidR="00D55DAE">
        <w:rPr>
          <w:rFonts w:ascii="Times New Roman" w:hAnsi="Times New Roman" w:cs="Times New Roman"/>
          <w:sz w:val="24"/>
          <w:szCs w:val="24"/>
        </w:rPr>
        <w:t>tion of Estates</w:t>
      </w:r>
      <w:r w:rsidR="003354C7">
        <w:rPr>
          <w:rFonts w:ascii="Times New Roman" w:hAnsi="Times New Roman" w:cs="Times New Roman"/>
          <w:sz w:val="24"/>
          <w:szCs w:val="24"/>
        </w:rPr>
        <w:t xml:space="preserve"> Act (Chapter 6:</w:t>
      </w:r>
      <w:r w:rsidR="005447FB">
        <w:rPr>
          <w:rFonts w:ascii="Times New Roman" w:hAnsi="Times New Roman" w:cs="Times New Roman"/>
          <w:sz w:val="24"/>
          <w:szCs w:val="24"/>
        </w:rPr>
        <w:t>01)</w:t>
      </w:r>
      <w:r w:rsidR="00767DCA">
        <w:rPr>
          <w:rFonts w:ascii="Times New Roman" w:hAnsi="Times New Roman" w:cs="Times New Roman"/>
          <w:sz w:val="24"/>
          <w:szCs w:val="24"/>
        </w:rPr>
        <w:t xml:space="preserve"> on the 28</w:t>
      </w:r>
      <w:r w:rsidR="00767DCA" w:rsidRPr="00767DCA">
        <w:rPr>
          <w:rFonts w:ascii="Times New Roman" w:hAnsi="Times New Roman" w:cs="Times New Roman"/>
          <w:sz w:val="24"/>
          <w:szCs w:val="24"/>
          <w:vertAlign w:val="superscript"/>
        </w:rPr>
        <w:t>th</w:t>
      </w:r>
      <w:r w:rsidR="00767DCA">
        <w:rPr>
          <w:rFonts w:ascii="Times New Roman" w:hAnsi="Times New Roman" w:cs="Times New Roman"/>
          <w:sz w:val="24"/>
          <w:szCs w:val="24"/>
        </w:rPr>
        <w:t xml:space="preserve"> of March 2017, it became necessary to have an Executor appointed in te</w:t>
      </w:r>
      <w:r w:rsidR="005447FB">
        <w:rPr>
          <w:rFonts w:ascii="Times New Roman" w:hAnsi="Times New Roman" w:cs="Times New Roman"/>
          <w:sz w:val="24"/>
          <w:szCs w:val="24"/>
        </w:rPr>
        <w:t>rms of section 25 of the</w:t>
      </w:r>
      <w:r w:rsidR="00767DCA">
        <w:rPr>
          <w:rFonts w:ascii="Times New Roman" w:hAnsi="Times New Roman" w:cs="Times New Roman"/>
          <w:sz w:val="24"/>
          <w:szCs w:val="24"/>
        </w:rPr>
        <w:t xml:space="preserve"> Act</w:t>
      </w:r>
      <w:r w:rsidR="005447FB">
        <w:rPr>
          <w:rFonts w:ascii="Times New Roman" w:hAnsi="Times New Roman" w:cs="Times New Roman"/>
          <w:sz w:val="24"/>
          <w:szCs w:val="24"/>
        </w:rPr>
        <w:t xml:space="preserve">. </w:t>
      </w:r>
      <w:r w:rsidR="00767DCA">
        <w:rPr>
          <w:rFonts w:ascii="Times New Roman" w:hAnsi="Times New Roman" w:cs="Times New Roman"/>
          <w:sz w:val="24"/>
          <w:szCs w:val="24"/>
        </w:rPr>
        <w:t xml:space="preserve">  It appears from the Master’s Report that the filing of the Death Notice by one </w:t>
      </w:r>
      <w:r w:rsidR="003841EB">
        <w:rPr>
          <w:rFonts w:ascii="Times New Roman" w:hAnsi="Times New Roman" w:cs="Times New Roman"/>
          <w:sz w:val="24"/>
          <w:szCs w:val="24"/>
        </w:rPr>
        <w:t xml:space="preserve">Mildred C Wilson (hereinafter referred to as Ms Wilson), who was the sister in law to the deceased opened a pandorax’s box </w:t>
      </w:r>
      <w:r w:rsidR="0060682E">
        <w:rPr>
          <w:rFonts w:ascii="Times New Roman" w:hAnsi="Times New Roman" w:cs="Times New Roman"/>
          <w:sz w:val="24"/>
          <w:szCs w:val="24"/>
        </w:rPr>
        <w:t>in</w:t>
      </w:r>
      <w:r w:rsidR="003841EB">
        <w:rPr>
          <w:rFonts w:ascii="Times New Roman" w:hAnsi="Times New Roman" w:cs="Times New Roman"/>
          <w:sz w:val="24"/>
          <w:szCs w:val="24"/>
        </w:rPr>
        <w:t xml:space="preserve"> the</w:t>
      </w:r>
      <w:r w:rsidR="0060682E">
        <w:rPr>
          <w:rFonts w:ascii="Times New Roman" w:hAnsi="Times New Roman" w:cs="Times New Roman"/>
          <w:sz w:val="24"/>
          <w:szCs w:val="24"/>
        </w:rPr>
        <w:t xml:space="preserve"> administration of estate.</w:t>
      </w:r>
      <w:r w:rsidR="003841EB">
        <w:rPr>
          <w:rFonts w:ascii="Times New Roman" w:hAnsi="Times New Roman" w:cs="Times New Roman"/>
          <w:sz w:val="24"/>
          <w:szCs w:val="24"/>
        </w:rPr>
        <w:t xml:space="preserve">  The 1</w:t>
      </w:r>
      <w:r w:rsidR="003841EB" w:rsidRPr="003841EB">
        <w:rPr>
          <w:rFonts w:ascii="Times New Roman" w:hAnsi="Times New Roman" w:cs="Times New Roman"/>
          <w:sz w:val="24"/>
          <w:szCs w:val="24"/>
          <w:vertAlign w:val="superscript"/>
        </w:rPr>
        <w:t>st</w:t>
      </w:r>
      <w:r w:rsidR="003354C7">
        <w:rPr>
          <w:rFonts w:ascii="Times New Roman" w:hAnsi="Times New Roman" w:cs="Times New Roman"/>
          <w:sz w:val="24"/>
          <w:szCs w:val="24"/>
        </w:rPr>
        <w:t xml:space="preserve"> </w:t>
      </w:r>
      <w:r w:rsidR="003841EB">
        <w:rPr>
          <w:rFonts w:ascii="Times New Roman" w:hAnsi="Times New Roman" w:cs="Times New Roman"/>
          <w:sz w:val="24"/>
          <w:szCs w:val="24"/>
        </w:rPr>
        <w:t>applicant wrote numerous times to the Master complaining about Ms Wilson and alleging theft of</w:t>
      </w:r>
      <w:r w:rsidR="00A240DF">
        <w:rPr>
          <w:rFonts w:ascii="Times New Roman" w:hAnsi="Times New Roman" w:cs="Times New Roman"/>
          <w:sz w:val="24"/>
          <w:szCs w:val="24"/>
        </w:rPr>
        <w:t xml:space="preserve"> estate</w:t>
      </w:r>
      <w:r w:rsidR="003841EB">
        <w:rPr>
          <w:rFonts w:ascii="Times New Roman" w:hAnsi="Times New Roman" w:cs="Times New Roman"/>
          <w:sz w:val="24"/>
          <w:szCs w:val="24"/>
        </w:rPr>
        <w:t xml:space="preserve"> property </w:t>
      </w:r>
      <w:r w:rsidR="00A240DF">
        <w:rPr>
          <w:rFonts w:ascii="Times New Roman" w:hAnsi="Times New Roman" w:cs="Times New Roman"/>
          <w:sz w:val="24"/>
          <w:szCs w:val="24"/>
        </w:rPr>
        <w:t>and dereliction of duty.</w:t>
      </w:r>
    </w:p>
    <w:p w:rsidR="003354C7" w:rsidRDefault="003354C7" w:rsidP="00E92647">
      <w:pPr>
        <w:spacing w:line="360" w:lineRule="auto"/>
        <w:jc w:val="both"/>
        <w:rPr>
          <w:rFonts w:ascii="Times New Roman" w:hAnsi="Times New Roman" w:cs="Times New Roman"/>
          <w:sz w:val="24"/>
          <w:szCs w:val="24"/>
        </w:rPr>
      </w:pPr>
    </w:p>
    <w:p w:rsidR="00665965" w:rsidRDefault="003841EB"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deceased’s mother one Lizzie also wrote</w:t>
      </w:r>
      <w:r w:rsidR="006839DA">
        <w:rPr>
          <w:rFonts w:ascii="Times New Roman" w:hAnsi="Times New Roman" w:cs="Times New Roman"/>
          <w:sz w:val="24"/>
          <w:szCs w:val="24"/>
        </w:rPr>
        <w:t xml:space="preserve"> to the Master laying a claim against</w:t>
      </w:r>
      <w:r>
        <w:rPr>
          <w:rFonts w:ascii="Times New Roman" w:hAnsi="Times New Roman" w:cs="Times New Roman"/>
          <w:sz w:val="24"/>
          <w:szCs w:val="24"/>
        </w:rPr>
        <w:t xml:space="preserve"> the estate.  An edict meeting was held on 5</w:t>
      </w:r>
      <w:r w:rsidRPr="003841EB">
        <w:rPr>
          <w:rFonts w:ascii="Times New Roman" w:hAnsi="Times New Roman" w:cs="Times New Roman"/>
          <w:sz w:val="24"/>
          <w:szCs w:val="24"/>
          <w:vertAlign w:val="superscript"/>
        </w:rPr>
        <w:t>th</w:t>
      </w:r>
      <w:r>
        <w:rPr>
          <w:rFonts w:ascii="Times New Roman" w:hAnsi="Times New Roman" w:cs="Times New Roman"/>
          <w:sz w:val="24"/>
          <w:szCs w:val="24"/>
        </w:rPr>
        <w:t xml:space="preserve"> June 2017.  An independent Executor from </w:t>
      </w:r>
      <w:proofErr w:type="spellStart"/>
      <w:r>
        <w:rPr>
          <w:rFonts w:ascii="Times New Roman" w:hAnsi="Times New Roman" w:cs="Times New Roman"/>
          <w:sz w:val="24"/>
          <w:szCs w:val="24"/>
        </w:rPr>
        <w:t>Upperlink</w:t>
      </w:r>
      <w:proofErr w:type="spellEnd"/>
      <w:r>
        <w:rPr>
          <w:rFonts w:ascii="Times New Roman" w:hAnsi="Times New Roman" w:cs="Times New Roman"/>
          <w:sz w:val="24"/>
          <w:szCs w:val="24"/>
        </w:rPr>
        <w:t xml:space="preserve"> Executors, one </w:t>
      </w:r>
      <w:proofErr w:type="spellStart"/>
      <w:r>
        <w:rPr>
          <w:rFonts w:ascii="Times New Roman" w:hAnsi="Times New Roman" w:cs="Times New Roman"/>
          <w:sz w:val="24"/>
          <w:szCs w:val="24"/>
        </w:rPr>
        <w:t>Manala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Motsi</w:t>
      </w:r>
      <w:proofErr w:type="spellEnd"/>
      <w:r>
        <w:rPr>
          <w:rFonts w:ascii="Times New Roman" w:hAnsi="Times New Roman" w:cs="Times New Roman"/>
          <w:sz w:val="24"/>
          <w:szCs w:val="24"/>
        </w:rPr>
        <w:t xml:space="preserve"> was appointed as Executrix on 3</w:t>
      </w:r>
      <w:r w:rsidRPr="003841EB">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2017.</w:t>
      </w:r>
    </w:p>
    <w:p w:rsidR="003841EB" w:rsidRDefault="003841EB"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the date of</w:t>
      </w:r>
      <w:r w:rsidR="00535931">
        <w:rPr>
          <w:rFonts w:ascii="Times New Roman" w:hAnsi="Times New Roman" w:cs="Times New Roman"/>
          <w:sz w:val="24"/>
          <w:szCs w:val="24"/>
        </w:rPr>
        <w:t xml:space="preserve"> the appointment of the Executrix</w:t>
      </w:r>
      <w:r>
        <w:rPr>
          <w:rFonts w:ascii="Times New Roman" w:hAnsi="Times New Roman" w:cs="Times New Roman"/>
          <w:sz w:val="24"/>
          <w:szCs w:val="24"/>
        </w:rPr>
        <w:t xml:space="preserve"> it is clear that very little was done by way of winding up the estate.  On 23</w:t>
      </w:r>
      <w:r w:rsidRPr="003841EB">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2018, 1</w:t>
      </w:r>
      <w:r w:rsidRPr="003841E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legal prac</w:t>
      </w:r>
      <w:r w:rsidR="009014B6">
        <w:rPr>
          <w:rFonts w:ascii="Times New Roman" w:hAnsi="Times New Roman" w:cs="Times New Roman"/>
          <w:sz w:val="24"/>
          <w:szCs w:val="24"/>
        </w:rPr>
        <w:t>titioners wrote to the</w:t>
      </w:r>
      <w:r>
        <w:rPr>
          <w:rFonts w:ascii="Times New Roman" w:hAnsi="Times New Roman" w:cs="Times New Roman"/>
          <w:sz w:val="24"/>
          <w:szCs w:val="24"/>
        </w:rPr>
        <w:t xml:space="preserve"> Executors registering their client’s dissatisfaction with the pace at which the estate was being administered and wound up.  The letter highlighted the fact that even the publication of the creditor’s and debtor’s notice had not been done and that 1</w:t>
      </w:r>
      <w:r w:rsidRPr="003841E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was contemplating having the executor removed.  On the 31</w:t>
      </w:r>
      <w:r w:rsidRPr="003841EB">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2018 the 1</w:t>
      </w:r>
      <w:r w:rsidRPr="003841E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legal practitioners wrote to the Master r</w:t>
      </w:r>
      <w:r w:rsidR="000E31B1">
        <w:rPr>
          <w:rFonts w:ascii="Times New Roman" w:hAnsi="Times New Roman" w:cs="Times New Roman"/>
          <w:sz w:val="24"/>
          <w:szCs w:val="24"/>
        </w:rPr>
        <w:t>egistering their dismay</w:t>
      </w:r>
      <w:r>
        <w:rPr>
          <w:rFonts w:ascii="Times New Roman" w:hAnsi="Times New Roman" w:cs="Times New Roman"/>
          <w:sz w:val="24"/>
          <w:szCs w:val="24"/>
        </w:rPr>
        <w:t xml:space="preserve"> with the manner in which the executors were administering the estate.  1</w:t>
      </w:r>
      <w:r w:rsidRPr="003841E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brought it to the attention of the Master that the executors had to that date not responded to the letter</w:t>
      </w:r>
      <w:r w:rsidR="00295CD4">
        <w:rPr>
          <w:rFonts w:ascii="Times New Roman" w:hAnsi="Times New Roman" w:cs="Times New Roman"/>
          <w:sz w:val="24"/>
          <w:szCs w:val="24"/>
        </w:rPr>
        <w:t>s</w:t>
      </w:r>
      <w:r>
        <w:rPr>
          <w:rFonts w:ascii="Times New Roman" w:hAnsi="Times New Roman" w:cs="Times New Roman"/>
          <w:sz w:val="24"/>
          <w:szCs w:val="24"/>
        </w:rPr>
        <w:t xml:space="preserve"> written to them and requested that the executor steps down and another </w:t>
      </w:r>
      <w:r w:rsidR="0063565C">
        <w:rPr>
          <w:rFonts w:ascii="Times New Roman" w:hAnsi="Times New Roman" w:cs="Times New Roman"/>
          <w:sz w:val="24"/>
          <w:szCs w:val="24"/>
        </w:rPr>
        <w:t>appointed.  Subsequent to that</w:t>
      </w:r>
      <w:r w:rsidR="00F63012">
        <w:rPr>
          <w:rFonts w:ascii="Times New Roman" w:hAnsi="Times New Roman" w:cs="Times New Roman"/>
          <w:sz w:val="24"/>
          <w:szCs w:val="24"/>
        </w:rPr>
        <w:t>,</w:t>
      </w:r>
      <w:r w:rsidR="0063565C">
        <w:rPr>
          <w:rFonts w:ascii="Times New Roman" w:hAnsi="Times New Roman" w:cs="Times New Roman"/>
          <w:sz w:val="24"/>
          <w:szCs w:val="24"/>
        </w:rPr>
        <w:t xml:space="preserve"> a number of letters</w:t>
      </w:r>
      <w:r w:rsidR="00F63012">
        <w:rPr>
          <w:rFonts w:ascii="Times New Roman" w:hAnsi="Times New Roman" w:cs="Times New Roman"/>
          <w:sz w:val="24"/>
          <w:szCs w:val="24"/>
        </w:rPr>
        <w:t xml:space="preserve"> were exchanged</w:t>
      </w:r>
      <w:r w:rsidR="0063565C">
        <w:rPr>
          <w:rFonts w:ascii="Times New Roman" w:hAnsi="Times New Roman" w:cs="Times New Roman"/>
          <w:sz w:val="24"/>
          <w:szCs w:val="24"/>
        </w:rPr>
        <w:t xml:space="preserve"> between the executors and 1</w:t>
      </w:r>
      <w:r w:rsidR="0063565C" w:rsidRPr="0063565C">
        <w:rPr>
          <w:rFonts w:ascii="Times New Roman" w:hAnsi="Times New Roman" w:cs="Times New Roman"/>
          <w:sz w:val="24"/>
          <w:szCs w:val="24"/>
          <w:vertAlign w:val="superscript"/>
        </w:rPr>
        <w:t>st</w:t>
      </w:r>
      <w:r w:rsidR="0063565C">
        <w:rPr>
          <w:rFonts w:ascii="Times New Roman" w:hAnsi="Times New Roman" w:cs="Times New Roman"/>
          <w:sz w:val="24"/>
          <w:szCs w:val="24"/>
        </w:rPr>
        <w:t xml:space="preserve"> applicant</w:t>
      </w:r>
      <w:r w:rsidR="002764F0">
        <w:rPr>
          <w:rFonts w:ascii="Times New Roman" w:hAnsi="Times New Roman" w:cs="Times New Roman"/>
          <w:sz w:val="24"/>
          <w:szCs w:val="24"/>
        </w:rPr>
        <w:t>’s legal practitioners.  T</w:t>
      </w:r>
      <w:r w:rsidR="0063565C">
        <w:rPr>
          <w:rFonts w:ascii="Times New Roman" w:hAnsi="Times New Roman" w:cs="Times New Roman"/>
          <w:sz w:val="24"/>
          <w:szCs w:val="24"/>
        </w:rPr>
        <w:t>he execu</w:t>
      </w:r>
      <w:r w:rsidR="00157CAE">
        <w:rPr>
          <w:rFonts w:ascii="Times New Roman" w:hAnsi="Times New Roman" w:cs="Times New Roman"/>
          <w:sz w:val="24"/>
          <w:szCs w:val="24"/>
        </w:rPr>
        <w:t>tor sought to justify the delay.</w:t>
      </w:r>
      <w:r w:rsidR="0063565C">
        <w:rPr>
          <w:rFonts w:ascii="Times New Roman" w:hAnsi="Times New Roman" w:cs="Times New Roman"/>
          <w:sz w:val="24"/>
          <w:szCs w:val="24"/>
        </w:rPr>
        <w:t xml:space="preserve"> 1</w:t>
      </w:r>
      <w:r w:rsidR="0063565C" w:rsidRPr="0063565C">
        <w:rPr>
          <w:rFonts w:ascii="Times New Roman" w:hAnsi="Times New Roman" w:cs="Times New Roman"/>
          <w:sz w:val="24"/>
          <w:szCs w:val="24"/>
          <w:vertAlign w:val="superscript"/>
        </w:rPr>
        <w:t>st</w:t>
      </w:r>
      <w:r w:rsidR="0063565C">
        <w:rPr>
          <w:rFonts w:ascii="Times New Roman" w:hAnsi="Times New Roman" w:cs="Times New Roman"/>
          <w:sz w:val="24"/>
          <w:szCs w:val="24"/>
        </w:rPr>
        <w:t xml:space="preserve"> </w:t>
      </w:r>
      <w:r w:rsidR="00157CAE">
        <w:rPr>
          <w:rFonts w:ascii="Times New Roman" w:hAnsi="Times New Roman" w:cs="Times New Roman"/>
          <w:sz w:val="24"/>
          <w:szCs w:val="24"/>
        </w:rPr>
        <w:t>applicant sought further clarification</w:t>
      </w:r>
      <w:r w:rsidR="0063565C">
        <w:rPr>
          <w:rFonts w:ascii="Times New Roman" w:hAnsi="Times New Roman" w:cs="Times New Roman"/>
          <w:sz w:val="24"/>
          <w:szCs w:val="24"/>
        </w:rPr>
        <w:t xml:space="preserve"> from the executor on what exactly had been done in winding up the estate.  The executor, under pressure from 1</w:t>
      </w:r>
      <w:r w:rsidR="0063565C" w:rsidRPr="0063565C">
        <w:rPr>
          <w:rFonts w:ascii="Times New Roman" w:hAnsi="Times New Roman" w:cs="Times New Roman"/>
          <w:sz w:val="24"/>
          <w:szCs w:val="24"/>
          <w:vertAlign w:val="superscript"/>
        </w:rPr>
        <w:t>st</w:t>
      </w:r>
      <w:r w:rsidR="0063565C">
        <w:rPr>
          <w:rFonts w:ascii="Times New Roman" w:hAnsi="Times New Roman" w:cs="Times New Roman"/>
          <w:sz w:val="24"/>
          <w:szCs w:val="24"/>
        </w:rPr>
        <w:t xml:space="preserve"> applicant’s legal practitioners published a notice to creditors and debtors in the Chronicle Newspaper on the 16</w:t>
      </w:r>
      <w:r w:rsidR="0063565C" w:rsidRPr="0063565C">
        <w:rPr>
          <w:rFonts w:ascii="Times New Roman" w:hAnsi="Times New Roman" w:cs="Times New Roman"/>
          <w:sz w:val="24"/>
          <w:szCs w:val="24"/>
          <w:vertAlign w:val="superscript"/>
        </w:rPr>
        <w:t>th</w:t>
      </w:r>
      <w:r w:rsidR="0063565C">
        <w:rPr>
          <w:rFonts w:ascii="Times New Roman" w:hAnsi="Times New Roman" w:cs="Times New Roman"/>
          <w:sz w:val="24"/>
          <w:szCs w:val="24"/>
        </w:rPr>
        <w:t xml:space="preserve"> of February 2018.  Upon further enquiry by the M</w:t>
      </w:r>
      <w:r w:rsidR="00B34906">
        <w:rPr>
          <w:rFonts w:ascii="Times New Roman" w:hAnsi="Times New Roman" w:cs="Times New Roman"/>
          <w:sz w:val="24"/>
          <w:szCs w:val="24"/>
        </w:rPr>
        <w:t>a</w:t>
      </w:r>
      <w:r w:rsidR="0063565C">
        <w:rPr>
          <w:rFonts w:ascii="Times New Roman" w:hAnsi="Times New Roman" w:cs="Times New Roman"/>
          <w:sz w:val="24"/>
          <w:szCs w:val="24"/>
        </w:rPr>
        <w:t>ster on the progress in winding up of the estate the 1</w:t>
      </w:r>
      <w:r w:rsidR="0063565C" w:rsidRPr="0063565C">
        <w:rPr>
          <w:rFonts w:ascii="Times New Roman" w:hAnsi="Times New Roman" w:cs="Times New Roman"/>
          <w:sz w:val="24"/>
          <w:szCs w:val="24"/>
          <w:vertAlign w:val="superscript"/>
        </w:rPr>
        <w:t>st</w:t>
      </w:r>
      <w:r w:rsidR="0063565C">
        <w:rPr>
          <w:rFonts w:ascii="Times New Roman" w:hAnsi="Times New Roman" w:cs="Times New Roman"/>
          <w:sz w:val="24"/>
          <w:szCs w:val="24"/>
        </w:rPr>
        <w:t xml:space="preserve"> re</w:t>
      </w:r>
      <w:r w:rsidR="00EA6195">
        <w:rPr>
          <w:rFonts w:ascii="Times New Roman" w:hAnsi="Times New Roman" w:cs="Times New Roman"/>
          <w:sz w:val="24"/>
          <w:szCs w:val="24"/>
        </w:rPr>
        <w:t xml:space="preserve">spondent filed an inventory on </w:t>
      </w:r>
      <w:r w:rsidR="0063565C">
        <w:rPr>
          <w:rFonts w:ascii="Times New Roman" w:hAnsi="Times New Roman" w:cs="Times New Roman"/>
          <w:sz w:val="24"/>
          <w:szCs w:val="24"/>
        </w:rPr>
        <w:t>10</w:t>
      </w:r>
      <w:r w:rsidR="0063565C" w:rsidRPr="0063565C">
        <w:rPr>
          <w:rFonts w:ascii="Times New Roman" w:hAnsi="Times New Roman" w:cs="Times New Roman"/>
          <w:sz w:val="24"/>
          <w:szCs w:val="24"/>
          <w:vertAlign w:val="superscript"/>
        </w:rPr>
        <w:t>th</w:t>
      </w:r>
      <w:r w:rsidR="0063565C">
        <w:rPr>
          <w:rFonts w:ascii="Times New Roman" w:hAnsi="Times New Roman" w:cs="Times New Roman"/>
          <w:sz w:val="24"/>
          <w:szCs w:val="24"/>
        </w:rPr>
        <w:t xml:space="preserve"> August 2018.</w:t>
      </w:r>
    </w:p>
    <w:p w:rsidR="00B34906" w:rsidRDefault="0063565C"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ab/>
        <w:t>Aggrieved by the manner in which the estate was being handled by the 1</w:t>
      </w:r>
      <w:r w:rsidRPr="006356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this application was filed on the 3</w:t>
      </w:r>
      <w:r w:rsidRPr="0063565C">
        <w:rPr>
          <w:rFonts w:ascii="Times New Roman" w:hAnsi="Times New Roman" w:cs="Times New Roman"/>
          <w:sz w:val="24"/>
          <w:szCs w:val="24"/>
          <w:vertAlign w:val="superscript"/>
        </w:rPr>
        <w:t>rd</w:t>
      </w:r>
      <w:r>
        <w:rPr>
          <w:rFonts w:ascii="Times New Roman" w:hAnsi="Times New Roman" w:cs="Times New Roman"/>
          <w:sz w:val="24"/>
          <w:szCs w:val="24"/>
        </w:rPr>
        <w:t xml:space="preserve"> of August 2018.  The substance of the application is that 1</w:t>
      </w:r>
      <w:r w:rsidRPr="0063565C">
        <w:rPr>
          <w:rFonts w:ascii="Times New Roman" w:hAnsi="Times New Roman" w:cs="Times New Roman"/>
          <w:sz w:val="24"/>
          <w:szCs w:val="24"/>
          <w:vertAlign w:val="superscript"/>
        </w:rPr>
        <w:t>st</w:t>
      </w:r>
      <w:r w:rsidR="00B34906">
        <w:rPr>
          <w:rFonts w:ascii="Times New Roman" w:hAnsi="Times New Roman" w:cs="Times New Roman"/>
          <w:sz w:val="24"/>
          <w:szCs w:val="24"/>
        </w:rPr>
        <w:t xml:space="preserve"> respon</w:t>
      </w:r>
      <w:r w:rsidR="00975A00">
        <w:rPr>
          <w:rFonts w:ascii="Times New Roman" w:hAnsi="Times New Roman" w:cs="Times New Roman"/>
          <w:sz w:val="24"/>
          <w:szCs w:val="24"/>
        </w:rPr>
        <w:t>dent through acts</w:t>
      </w:r>
      <w:r w:rsidR="00A62830">
        <w:rPr>
          <w:rFonts w:ascii="Times New Roman" w:hAnsi="Times New Roman" w:cs="Times New Roman"/>
          <w:sz w:val="24"/>
          <w:szCs w:val="24"/>
        </w:rPr>
        <w:t xml:space="preserve"> of commission and omission</w:t>
      </w:r>
      <w:r w:rsidR="00975A00">
        <w:rPr>
          <w:rFonts w:ascii="Times New Roman" w:hAnsi="Times New Roman" w:cs="Times New Roman"/>
          <w:sz w:val="24"/>
          <w:szCs w:val="24"/>
        </w:rPr>
        <w:t xml:space="preserve"> </w:t>
      </w:r>
      <w:r w:rsidR="00B34906">
        <w:rPr>
          <w:rFonts w:ascii="Times New Roman" w:hAnsi="Times New Roman" w:cs="Times New Roman"/>
          <w:sz w:val="24"/>
          <w:szCs w:val="24"/>
        </w:rPr>
        <w:t>h</w:t>
      </w:r>
      <w:r>
        <w:rPr>
          <w:rFonts w:ascii="Times New Roman" w:hAnsi="Times New Roman" w:cs="Times New Roman"/>
          <w:sz w:val="24"/>
          <w:szCs w:val="24"/>
        </w:rPr>
        <w:t>as become unsuitable to continue as executor of the estate.  The applicants contend that since her appointment as Executrix Dative on the 8</w:t>
      </w:r>
      <w:r w:rsidRPr="0063565C">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2017 it took her a period of one and half years to advertise for creditors and debtors.  The applicants further aver that 1</w:t>
      </w:r>
      <w:r w:rsidRPr="006356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w:t>
      </w:r>
      <w:r w:rsidR="00A62830">
        <w:rPr>
          <w:rFonts w:ascii="Times New Roman" w:hAnsi="Times New Roman" w:cs="Times New Roman"/>
          <w:sz w:val="24"/>
          <w:szCs w:val="24"/>
        </w:rPr>
        <w:t>nt failed to furnish a report</w:t>
      </w:r>
      <w:r w:rsidR="00171918">
        <w:rPr>
          <w:rFonts w:ascii="Times New Roman" w:hAnsi="Times New Roman" w:cs="Times New Roman"/>
          <w:sz w:val="24"/>
          <w:szCs w:val="24"/>
        </w:rPr>
        <w:t xml:space="preserve"> </w:t>
      </w:r>
      <w:r>
        <w:rPr>
          <w:rFonts w:ascii="Times New Roman" w:hAnsi="Times New Roman" w:cs="Times New Roman"/>
          <w:sz w:val="24"/>
          <w:szCs w:val="24"/>
        </w:rPr>
        <w:t>he</w:t>
      </w:r>
      <w:r w:rsidR="00171918">
        <w:rPr>
          <w:rFonts w:ascii="Times New Roman" w:hAnsi="Times New Roman" w:cs="Times New Roman"/>
          <w:sz w:val="24"/>
          <w:szCs w:val="24"/>
        </w:rPr>
        <w:t>r</w:t>
      </w:r>
      <w:r>
        <w:rPr>
          <w:rFonts w:ascii="Times New Roman" w:hAnsi="Times New Roman" w:cs="Times New Roman"/>
          <w:sz w:val="24"/>
          <w:szCs w:val="24"/>
        </w:rPr>
        <w:t xml:space="preserve"> alleged efforts to recover assets </w:t>
      </w:r>
      <w:r w:rsidR="004D0BF1">
        <w:rPr>
          <w:rFonts w:ascii="Times New Roman" w:hAnsi="Times New Roman" w:cs="Times New Roman"/>
          <w:sz w:val="24"/>
          <w:szCs w:val="24"/>
        </w:rPr>
        <w:t>of the estate.  The applicants contend that 1</w:t>
      </w:r>
      <w:r w:rsidR="004D0BF1" w:rsidRPr="004D0BF1">
        <w:rPr>
          <w:rFonts w:ascii="Times New Roman" w:hAnsi="Times New Roman" w:cs="Times New Roman"/>
          <w:sz w:val="24"/>
          <w:szCs w:val="24"/>
          <w:vertAlign w:val="superscript"/>
        </w:rPr>
        <w:t>st</w:t>
      </w:r>
      <w:r w:rsidR="004D0BF1">
        <w:rPr>
          <w:rFonts w:ascii="Times New Roman" w:hAnsi="Times New Roman" w:cs="Times New Roman"/>
          <w:sz w:val="24"/>
          <w:szCs w:val="24"/>
        </w:rPr>
        <w:t xml:space="preserve"> respondent failed for</w:t>
      </w:r>
      <w:r w:rsidR="004A6036">
        <w:rPr>
          <w:rFonts w:ascii="Times New Roman" w:hAnsi="Times New Roman" w:cs="Times New Roman"/>
          <w:sz w:val="24"/>
          <w:szCs w:val="24"/>
        </w:rPr>
        <w:t xml:space="preserve"> a period of more than ten months after</w:t>
      </w:r>
      <w:r w:rsidR="004D0BF1">
        <w:rPr>
          <w:rFonts w:ascii="Times New Roman" w:hAnsi="Times New Roman" w:cs="Times New Roman"/>
          <w:sz w:val="24"/>
          <w:szCs w:val="24"/>
        </w:rPr>
        <w:t xml:space="preserve"> her </w:t>
      </w:r>
      <w:proofErr w:type="gramStart"/>
      <w:r w:rsidR="004D0BF1">
        <w:rPr>
          <w:rFonts w:ascii="Times New Roman" w:hAnsi="Times New Roman" w:cs="Times New Roman"/>
          <w:sz w:val="24"/>
          <w:szCs w:val="24"/>
        </w:rPr>
        <w:t>appointment</w:t>
      </w:r>
      <w:r w:rsidR="004A6036">
        <w:rPr>
          <w:rFonts w:ascii="Times New Roman" w:hAnsi="Times New Roman" w:cs="Times New Roman"/>
          <w:sz w:val="24"/>
          <w:szCs w:val="24"/>
        </w:rPr>
        <w:t>,</w:t>
      </w:r>
      <w:proofErr w:type="gramEnd"/>
      <w:r w:rsidR="004A6036">
        <w:rPr>
          <w:rFonts w:ascii="Times New Roman" w:hAnsi="Times New Roman" w:cs="Times New Roman"/>
          <w:sz w:val="24"/>
          <w:szCs w:val="24"/>
        </w:rPr>
        <w:t xml:space="preserve"> and</w:t>
      </w:r>
      <w:r w:rsidR="004D0BF1">
        <w:rPr>
          <w:rFonts w:ascii="Times New Roman" w:hAnsi="Times New Roman" w:cs="Times New Roman"/>
          <w:sz w:val="24"/>
          <w:szCs w:val="24"/>
        </w:rPr>
        <w:t xml:space="preserve"> after being called upon to do so by the Assistant Master</w:t>
      </w:r>
      <w:r w:rsidR="004A6036">
        <w:rPr>
          <w:rFonts w:ascii="Times New Roman" w:hAnsi="Times New Roman" w:cs="Times New Roman"/>
          <w:sz w:val="24"/>
          <w:szCs w:val="24"/>
        </w:rPr>
        <w:t>,</w:t>
      </w:r>
      <w:r w:rsidR="004D0BF1">
        <w:rPr>
          <w:rFonts w:ascii="Times New Roman" w:hAnsi="Times New Roman" w:cs="Times New Roman"/>
          <w:sz w:val="24"/>
          <w:szCs w:val="24"/>
        </w:rPr>
        <w:t xml:space="preserve"> to file an inventory of the assets.  It is argued on behalf of the </w:t>
      </w:r>
    </w:p>
    <w:p w:rsidR="00B34906" w:rsidRDefault="00B34906" w:rsidP="00E92647">
      <w:pPr>
        <w:spacing w:line="360" w:lineRule="auto"/>
        <w:jc w:val="both"/>
        <w:rPr>
          <w:rFonts w:ascii="Times New Roman" w:hAnsi="Times New Roman" w:cs="Times New Roman"/>
          <w:sz w:val="24"/>
          <w:szCs w:val="24"/>
        </w:rPr>
      </w:pPr>
    </w:p>
    <w:p w:rsidR="00E27A2F" w:rsidRDefault="00E27A2F" w:rsidP="00E92647">
      <w:pPr>
        <w:spacing w:line="360" w:lineRule="auto"/>
        <w:jc w:val="both"/>
        <w:rPr>
          <w:rFonts w:ascii="Times New Roman" w:hAnsi="Times New Roman" w:cs="Times New Roman"/>
          <w:sz w:val="24"/>
          <w:szCs w:val="24"/>
        </w:rPr>
      </w:pPr>
    </w:p>
    <w:p w:rsidR="004D0BF1" w:rsidRDefault="004D0BF1"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applicants that 1</w:t>
      </w:r>
      <w:r w:rsidRPr="004D0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B80F02">
        <w:rPr>
          <w:rFonts w:ascii="Times New Roman" w:hAnsi="Times New Roman" w:cs="Times New Roman"/>
          <w:sz w:val="24"/>
          <w:szCs w:val="24"/>
        </w:rPr>
        <w:t xml:space="preserve"> has not made further progress i</w:t>
      </w:r>
      <w:r>
        <w:rPr>
          <w:rFonts w:ascii="Times New Roman" w:hAnsi="Times New Roman" w:cs="Times New Roman"/>
          <w:sz w:val="24"/>
          <w:szCs w:val="24"/>
        </w:rPr>
        <w:t>n the winding up of the estate since advertising for debtors and creditors and has failed to account for and collect</w:t>
      </w:r>
      <w:r w:rsidR="00B80F02">
        <w:rPr>
          <w:rFonts w:ascii="Times New Roman" w:hAnsi="Times New Roman" w:cs="Times New Roman"/>
          <w:sz w:val="24"/>
          <w:szCs w:val="24"/>
        </w:rPr>
        <w:t xml:space="preserve"> cash in respect of</w:t>
      </w:r>
      <w:r>
        <w:rPr>
          <w:rFonts w:ascii="Times New Roman" w:hAnsi="Times New Roman" w:cs="Times New Roman"/>
          <w:sz w:val="24"/>
          <w:szCs w:val="24"/>
        </w:rPr>
        <w:t xml:space="preserve"> monies paid as rentals for immovable property belonging to the estate.  In essence she has not protected the inter</w:t>
      </w:r>
      <w:r w:rsidR="00B34906">
        <w:rPr>
          <w:rFonts w:ascii="Times New Roman" w:hAnsi="Times New Roman" w:cs="Times New Roman"/>
          <w:sz w:val="24"/>
          <w:szCs w:val="24"/>
        </w:rPr>
        <w:t>e</w:t>
      </w:r>
      <w:r>
        <w:rPr>
          <w:rFonts w:ascii="Times New Roman" w:hAnsi="Times New Roman" w:cs="Times New Roman"/>
          <w:sz w:val="24"/>
          <w:szCs w:val="24"/>
        </w:rPr>
        <w:t xml:space="preserve">st of the estate.  In direct response to the allegation of delay, </w:t>
      </w:r>
      <w:r w:rsidRPr="00B34906">
        <w:rPr>
          <w:rFonts w:ascii="Times New Roman" w:hAnsi="Times New Roman" w:cs="Times New Roman"/>
          <w:i/>
          <w:sz w:val="24"/>
          <w:szCs w:val="24"/>
        </w:rPr>
        <w:t xml:space="preserve">Mr </w:t>
      </w:r>
      <w:proofErr w:type="spellStart"/>
      <w:r w:rsidRPr="00B34906">
        <w:rPr>
          <w:rFonts w:ascii="Times New Roman" w:hAnsi="Times New Roman" w:cs="Times New Roman"/>
          <w:i/>
          <w:sz w:val="24"/>
          <w:szCs w:val="24"/>
        </w:rPr>
        <w:t>Sengweni</w:t>
      </w:r>
      <w:proofErr w:type="spellEnd"/>
      <w:r>
        <w:rPr>
          <w:rFonts w:ascii="Times New Roman" w:hAnsi="Times New Roman" w:cs="Times New Roman"/>
          <w:sz w:val="24"/>
          <w:szCs w:val="24"/>
        </w:rPr>
        <w:t>, appearing for the 1</w:t>
      </w:r>
      <w:r w:rsidRPr="004D0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indicated that 1</w:t>
      </w:r>
      <w:r w:rsidRPr="004D0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involved in a car accident and that fo</w:t>
      </w:r>
      <w:r w:rsidR="006B6424">
        <w:rPr>
          <w:rFonts w:ascii="Times New Roman" w:hAnsi="Times New Roman" w:cs="Times New Roman"/>
          <w:sz w:val="24"/>
          <w:szCs w:val="24"/>
        </w:rPr>
        <w:t>r the greater part of 2018 and 2019</w:t>
      </w:r>
      <w:r>
        <w:rPr>
          <w:rFonts w:ascii="Times New Roman" w:hAnsi="Times New Roman" w:cs="Times New Roman"/>
          <w:sz w:val="24"/>
          <w:szCs w:val="24"/>
        </w:rPr>
        <w:t xml:space="preserve"> was indisposed.  </w:t>
      </w:r>
      <w:r w:rsidRPr="00B34906">
        <w:rPr>
          <w:rFonts w:ascii="Times New Roman" w:hAnsi="Times New Roman" w:cs="Times New Roman"/>
          <w:i/>
          <w:sz w:val="24"/>
          <w:szCs w:val="24"/>
        </w:rPr>
        <w:t xml:space="preserve">Mrs </w:t>
      </w:r>
      <w:proofErr w:type="spellStart"/>
      <w:r w:rsidRPr="00B34906">
        <w:rPr>
          <w:rFonts w:ascii="Times New Roman" w:hAnsi="Times New Roman" w:cs="Times New Roman"/>
          <w:i/>
          <w:sz w:val="24"/>
          <w:szCs w:val="24"/>
        </w:rPr>
        <w:t>Mugova</w:t>
      </w:r>
      <w:proofErr w:type="spellEnd"/>
      <w:r>
        <w:rPr>
          <w:rFonts w:ascii="Times New Roman" w:hAnsi="Times New Roman" w:cs="Times New Roman"/>
          <w:sz w:val="24"/>
          <w:szCs w:val="24"/>
        </w:rPr>
        <w:t>, appearing for the applicants drew the court’s attention to the detailed report by th</w:t>
      </w:r>
      <w:r w:rsidR="00B34906">
        <w:rPr>
          <w:rFonts w:ascii="Times New Roman" w:hAnsi="Times New Roman" w:cs="Times New Roman"/>
          <w:sz w:val="24"/>
          <w:szCs w:val="24"/>
        </w:rPr>
        <w:t xml:space="preserve">e Master which sets out the </w:t>
      </w:r>
      <w:r w:rsidR="00B100B3">
        <w:rPr>
          <w:rFonts w:ascii="Times New Roman" w:hAnsi="Times New Roman" w:cs="Times New Roman"/>
          <w:sz w:val="24"/>
          <w:szCs w:val="24"/>
        </w:rPr>
        <w:t>gravamen</w:t>
      </w:r>
      <w:r>
        <w:rPr>
          <w:rFonts w:ascii="Times New Roman" w:hAnsi="Times New Roman" w:cs="Times New Roman"/>
          <w:sz w:val="24"/>
          <w:szCs w:val="24"/>
        </w:rPr>
        <w:t xml:space="preserve"> of the complaints against the 1</w:t>
      </w:r>
      <w:r w:rsidRPr="004D0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These are the following:</w:t>
      </w:r>
    </w:p>
    <w:p w:rsidR="0063565C" w:rsidRPr="004D0BF1" w:rsidRDefault="004D0BF1" w:rsidP="00E92647">
      <w:pPr>
        <w:pStyle w:val="ListParagraph"/>
        <w:numPr>
          <w:ilvl w:val="0"/>
          <w:numId w:val="2"/>
        </w:numPr>
        <w:spacing w:line="360" w:lineRule="auto"/>
        <w:jc w:val="both"/>
      </w:pPr>
      <w:r>
        <w:rPr>
          <w:rFonts w:ascii="Times New Roman" w:hAnsi="Times New Roman" w:cs="Times New Roman"/>
          <w:sz w:val="24"/>
          <w:szCs w:val="24"/>
        </w:rPr>
        <w:t>1</w:t>
      </w:r>
      <w:r w:rsidRPr="004D0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took 6 months to advertise for debtors and creditors from the time of her appointment in August 2017.  The advertisement </w:t>
      </w:r>
      <w:proofErr w:type="gramStart"/>
      <w:r>
        <w:rPr>
          <w:rFonts w:ascii="Times New Roman" w:hAnsi="Times New Roman" w:cs="Times New Roman"/>
          <w:sz w:val="24"/>
          <w:szCs w:val="24"/>
        </w:rPr>
        <w:t xml:space="preserve">was </w:t>
      </w:r>
      <w:r w:rsidR="00B3221F">
        <w:rPr>
          <w:rFonts w:ascii="Times New Roman" w:hAnsi="Times New Roman" w:cs="Times New Roman"/>
          <w:sz w:val="24"/>
          <w:szCs w:val="24"/>
        </w:rPr>
        <w:t xml:space="preserve"> only</w:t>
      </w:r>
      <w:proofErr w:type="gramEnd"/>
      <w:r w:rsidR="00B3221F">
        <w:rPr>
          <w:rFonts w:ascii="Times New Roman" w:hAnsi="Times New Roman" w:cs="Times New Roman"/>
          <w:sz w:val="24"/>
          <w:szCs w:val="24"/>
        </w:rPr>
        <w:t xml:space="preserve"> </w:t>
      </w:r>
      <w:r>
        <w:rPr>
          <w:rFonts w:ascii="Times New Roman" w:hAnsi="Times New Roman" w:cs="Times New Roman"/>
          <w:sz w:val="24"/>
          <w:szCs w:val="24"/>
        </w:rPr>
        <w:t xml:space="preserve"> lodged in February 2018.</w:t>
      </w:r>
    </w:p>
    <w:p w:rsidR="004D0BF1" w:rsidRPr="004D0BF1" w:rsidRDefault="004D0BF1" w:rsidP="00E92647">
      <w:pPr>
        <w:pStyle w:val="ListParagraph"/>
        <w:numPr>
          <w:ilvl w:val="0"/>
          <w:numId w:val="2"/>
        </w:numPr>
        <w:spacing w:line="360" w:lineRule="auto"/>
        <w:jc w:val="both"/>
      </w:pPr>
      <w:r>
        <w:rPr>
          <w:rFonts w:ascii="Times New Roman" w:hAnsi="Times New Roman" w:cs="Times New Roman"/>
          <w:sz w:val="24"/>
          <w:szCs w:val="24"/>
        </w:rPr>
        <w:t>1</w:t>
      </w:r>
      <w:r w:rsidRPr="004D0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failed to file an inventory for 10 months even after having been called to do so by the Master.</w:t>
      </w:r>
    </w:p>
    <w:p w:rsidR="004D0BF1" w:rsidRPr="009D492D" w:rsidRDefault="004D0BF1" w:rsidP="00E92647">
      <w:pPr>
        <w:pStyle w:val="ListParagraph"/>
        <w:numPr>
          <w:ilvl w:val="0"/>
          <w:numId w:val="2"/>
        </w:numPr>
        <w:spacing w:line="360" w:lineRule="auto"/>
        <w:jc w:val="both"/>
      </w:pPr>
      <w:r>
        <w:rPr>
          <w:rFonts w:ascii="Times New Roman" w:hAnsi="Times New Roman" w:cs="Times New Roman"/>
          <w:sz w:val="24"/>
          <w:szCs w:val="24"/>
        </w:rPr>
        <w:t>1</w:t>
      </w:r>
      <w:r w:rsidRPr="004D0B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not made any further progress on the estate</w:t>
      </w:r>
      <w:r w:rsidR="009D492D">
        <w:rPr>
          <w:rFonts w:ascii="Times New Roman" w:hAnsi="Times New Roman" w:cs="Times New Roman"/>
          <w:sz w:val="24"/>
          <w:szCs w:val="24"/>
        </w:rPr>
        <w:t xml:space="preserve"> since advertising for claims against debtors and creditors.</w:t>
      </w:r>
    </w:p>
    <w:p w:rsidR="009D492D" w:rsidRPr="009D492D" w:rsidRDefault="009D492D" w:rsidP="00E92647">
      <w:pPr>
        <w:pStyle w:val="ListParagraph"/>
        <w:numPr>
          <w:ilvl w:val="0"/>
          <w:numId w:val="2"/>
        </w:numPr>
        <w:spacing w:line="360" w:lineRule="auto"/>
        <w:jc w:val="both"/>
      </w:pPr>
      <w:r>
        <w:rPr>
          <w:rFonts w:ascii="Times New Roman" w:hAnsi="Times New Roman" w:cs="Times New Roman"/>
          <w:sz w:val="24"/>
          <w:szCs w:val="24"/>
        </w:rPr>
        <w:t>1</w:t>
      </w:r>
      <w:r w:rsidRPr="009D49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failed to account for and or collect money paid for rentals for immovable property belonging to the estate.</w:t>
      </w:r>
    </w:p>
    <w:p w:rsidR="009D492D" w:rsidRPr="009D492D" w:rsidRDefault="009D492D" w:rsidP="00E92647">
      <w:pPr>
        <w:pStyle w:val="ListParagraph"/>
        <w:numPr>
          <w:ilvl w:val="0"/>
          <w:numId w:val="2"/>
        </w:numPr>
        <w:spacing w:line="360" w:lineRule="auto"/>
        <w:jc w:val="both"/>
      </w:pPr>
      <w:r>
        <w:rPr>
          <w:rFonts w:ascii="Times New Roman" w:hAnsi="Times New Roman" w:cs="Times New Roman"/>
          <w:sz w:val="24"/>
          <w:szCs w:val="24"/>
        </w:rPr>
        <w:t>1</w:t>
      </w:r>
      <w:r w:rsidRPr="009D49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vaguely responded to the applicants’ correspondence expressing their dissatisfaction in the manner in which 1</w:t>
      </w:r>
      <w:r w:rsidRPr="009D49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administering the estate.</w:t>
      </w:r>
    </w:p>
    <w:p w:rsidR="009D492D" w:rsidRPr="009D492D" w:rsidRDefault="009D492D" w:rsidP="00E92647">
      <w:pPr>
        <w:pStyle w:val="ListParagraph"/>
        <w:numPr>
          <w:ilvl w:val="0"/>
          <w:numId w:val="2"/>
        </w:numPr>
        <w:spacing w:line="360" w:lineRule="auto"/>
        <w:jc w:val="both"/>
      </w:pPr>
      <w:r>
        <w:rPr>
          <w:rFonts w:ascii="Times New Roman" w:hAnsi="Times New Roman" w:cs="Times New Roman"/>
          <w:sz w:val="24"/>
          <w:szCs w:val="24"/>
        </w:rPr>
        <w:t>1</w:t>
      </w:r>
      <w:r w:rsidRPr="009D49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 longer retains trust of the applicants due to her conduct in delaying to wind up the estate within the stipulated 6 months and such delay is prejudicial to the estate and renders the 1</w:t>
      </w:r>
      <w:r w:rsidRPr="009D49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unsuitable to remain executrix dative.</w:t>
      </w:r>
    </w:p>
    <w:p w:rsidR="00CE04C2" w:rsidRDefault="009D492D" w:rsidP="00E92647">
      <w:pPr>
        <w:spacing w:line="360" w:lineRule="auto"/>
        <w:ind w:firstLine="720"/>
        <w:jc w:val="both"/>
        <w:rPr>
          <w:rFonts w:ascii="Times New Roman" w:hAnsi="Times New Roman" w:cs="Times New Roman"/>
          <w:sz w:val="24"/>
          <w:szCs w:val="24"/>
        </w:rPr>
      </w:pPr>
      <w:r w:rsidRPr="009D492D">
        <w:rPr>
          <w:rFonts w:ascii="Times New Roman" w:hAnsi="Times New Roman" w:cs="Times New Roman"/>
          <w:sz w:val="24"/>
          <w:szCs w:val="24"/>
        </w:rPr>
        <w:t>The thread that runs through the record is that the applicants no longer have trust in the manner which the estate is being handled.  In opposing the application, the 1</w:t>
      </w:r>
      <w:r w:rsidRPr="009D492D">
        <w:rPr>
          <w:rFonts w:ascii="Times New Roman" w:hAnsi="Times New Roman" w:cs="Times New Roman"/>
          <w:sz w:val="24"/>
          <w:szCs w:val="24"/>
          <w:vertAlign w:val="superscript"/>
        </w:rPr>
        <w:t>st</w:t>
      </w:r>
      <w:r w:rsidRPr="009D492D">
        <w:rPr>
          <w:rFonts w:ascii="Times New Roman" w:hAnsi="Times New Roman" w:cs="Times New Roman"/>
          <w:sz w:val="24"/>
          <w:szCs w:val="24"/>
        </w:rPr>
        <w:t xml:space="preserve"> respondent argued that her achievements include identifying debtors, filing an inventory of household goods</w:t>
      </w:r>
      <w:r>
        <w:rPr>
          <w:rFonts w:ascii="Times New Roman" w:hAnsi="Times New Roman" w:cs="Times New Roman"/>
          <w:sz w:val="24"/>
          <w:szCs w:val="24"/>
        </w:rPr>
        <w:t xml:space="preserve"> and effects and undertaking investigations into the location of the properties belonging to the estate.  1</w:t>
      </w:r>
      <w:r w:rsidRPr="009D492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contended that her efforts to wind up the estate had now been </w:t>
      </w:r>
    </w:p>
    <w:p w:rsidR="00CE04C2" w:rsidRDefault="00CE04C2" w:rsidP="00CE04C2">
      <w:pPr>
        <w:spacing w:line="360" w:lineRule="auto"/>
        <w:jc w:val="both"/>
        <w:rPr>
          <w:rFonts w:ascii="Times New Roman" w:hAnsi="Times New Roman" w:cs="Times New Roman"/>
          <w:sz w:val="24"/>
          <w:szCs w:val="24"/>
        </w:rPr>
      </w:pPr>
    </w:p>
    <w:p w:rsidR="009D492D" w:rsidRDefault="009D492D" w:rsidP="00CE04C2">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impeded</w:t>
      </w:r>
      <w:proofErr w:type="gramEnd"/>
      <w:r>
        <w:rPr>
          <w:rFonts w:ascii="Times New Roman" w:hAnsi="Times New Roman" w:cs="Times New Roman"/>
          <w:sz w:val="24"/>
          <w:szCs w:val="24"/>
        </w:rPr>
        <w:t xml:space="preserve"> by the Assistant Master who has raise</w:t>
      </w:r>
      <w:r w:rsidR="00CE04C2">
        <w:rPr>
          <w:rFonts w:ascii="Times New Roman" w:hAnsi="Times New Roman" w:cs="Times New Roman"/>
          <w:sz w:val="24"/>
          <w:szCs w:val="24"/>
        </w:rPr>
        <w:t>d</w:t>
      </w:r>
      <w:r>
        <w:rPr>
          <w:rFonts w:ascii="Times New Roman" w:hAnsi="Times New Roman" w:cs="Times New Roman"/>
          <w:sz w:val="24"/>
          <w:szCs w:val="24"/>
        </w:rPr>
        <w:t xml:space="preserve"> complaints against her and filed an adverse report.</w:t>
      </w:r>
    </w:p>
    <w:p w:rsidR="009D492D" w:rsidRPr="00CE04C2" w:rsidRDefault="009D492D" w:rsidP="00E92647">
      <w:pPr>
        <w:spacing w:line="360" w:lineRule="auto"/>
        <w:jc w:val="both"/>
        <w:rPr>
          <w:rFonts w:ascii="Times New Roman" w:hAnsi="Times New Roman" w:cs="Times New Roman"/>
          <w:b/>
          <w:sz w:val="24"/>
          <w:szCs w:val="24"/>
        </w:rPr>
      </w:pPr>
      <w:r w:rsidRPr="00CE04C2">
        <w:rPr>
          <w:rFonts w:ascii="Times New Roman" w:hAnsi="Times New Roman" w:cs="Times New Roman"/>
          <w:b/>
          <w:sz w:val="24"/>
          <w:szCs w:val="24"/>
        </w:rPr>
        <w:t>WHETHER APPLICANTS HAVE ESTABLISHED A CASE FOR THE REMOVAL OF THE EXECUTOR</w:t>
      </w:r>
    </w:p>
    <w:p w:rsidR="009D492D" w:rsidRDefault="00022450"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will not lightly </w:t>
      </w:r>
      <w:r w:rsidR="00CE04C2">
        <w:rPr>
          <w:rFonts w:ascii="Times New Roman" w:hAnsi="Times New Roman" w:cs="Times New Roman"/>
          <w:sz w:val="24"/>
          <w:szCs w:val="24"/>
        </w:rPr>
        <w:t>i</w:t>
      </w:r>
      <w:r w:rsidR="006D0826">
        <w:rPr>
          <w:rFonts w:ascii="Times New Roman" w:hAnsi="Times New Roman" w:cs="Times New Roman"/>
          <w:sz w:val="24"/>
          <w:szCs w:val="24"/>
        </w:rPr>
        <w:t>nterfere with the duties of an executor nor order the removal of an executor, except in situations where it is clearly established that the executor is grossly negligent in the execution of his duties.  To my mind, the removal of an executor should be ordered where there is not only a dereliction of duty, but whe</w:t>
      </w:r>
      <w:r w:rsidR="00CE04C2">
        <w:rPr>
          <w:rFonts w:ascii="Times New Roman" w:hAnsi="Times New Roman" w:cs="Times New Roman"/>
          <w:sz w:val="24"/>
          <w:szCs w:val="24"/>
        </w:rPr>
        <w:t>re the conduct of the executor i</w:t>
      </w:r>
      <w:r w:rsidR="006D0826">
        <w:rPr>
          <w:rFonts w:ascii="Times New Roman" w:hAnsi="Times New Roman" w:cs="Times New Roman"/>
          <w:sz w:val="24"/>
          <w:szCs w:val="24"/>
        </w:rPr>
        <w:t>s detrimental to the effects of the estate.  In other words, the conduct complained of must be of such serious degree that if the executor is allowed to continue with the administration of the estate, th</w:t>
      </w:r>
      <w:r w:rsidR="00B20706">
        <w:rPr>
          <w:rFonts w:ascii="Times New Roman" w:hAnsi="Times New Roman" w:cs="Times New Roman"/>
          <w:sz w:val="24"/>
          <w:szCs w:val="24"/>
        </w:rPr>
        <w:t>e estate would not be protected and further, there would be prejudice to the interests of the beneficiaries.</w:t>
      </w:r>
    </w:p>
    <w:p w:rsidR="006D0826" w:rsidRDefault="006D0826"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proofErr w:type="spellStart"/>
      <w:r w:rsidRPr="00CE04C2">
        <w:rPr>
          <w:rFonts w:ascii="Times New Roman" w:hAnsi="Times New Roman" w:cs="Times New Roman"/>
          <w:i/>
          <w:sz w:val="24"/>
          <w:szCs w:val="24"/>
        </w:rPr>
        <w:t>Bonsma</w:t>
      </w:r>
      <w:proofErr w:type="spellEnd"/>
      <w:r w:rsidRPr="00CE04C2">
        <w:rPr>
          <w:rFonts w:ascii="Times New Roman" w:hAnsi="Times New Roman" w:cs="Times New Roman"/>
          <w:i/>
          <w:sz w:val="24"/>
          <w:szCs w:val="24"/>
        </w:rPr>
        <w:t xml:space="preserve"> and </w:t>
      </w:r>
      <w:proofErr w:type="spellStart"/>
      <w:r w:rsidRPr="00CE04C2">
        <w:rPr>
          <w:rFonts w:ascii="Times New Roman" w:hAnsi="Times New Roman" w:cs="Times New Roman"/>
          <w:i/>
          <w:sz w:val="24"/>
          <w:szCs w:val="24"/>
        </w:rPr>
        <w:t>Meaker</w:t>
      </w:r>
      <w:proofErr w:type="spellEnd"/>
      <w:r w:rsidRPr="00CE04C2">
        <w:rPr>
          <w:rFonts w:ascii="Times New Roman" w:hAnsi="Times New Roman" w:cs="Times New Roman"/>
          <w:i/>
          <w:sz w:val="24"/>
          <w:szCs w:val="24"/>
        </w:rPr>
        <w:t>, N O and O</w:t>
      </w:r>
      <w:r w:rsidR="00CE04C2" w:rsidRPr="00CE04C2">
        <w:rPr>
          <w:rFonts w:ascii="Times New Roman" w:hAnsi="Times New Roman" w:cs="Times New Roman"/>
          <w:i/>
          <w:sz w:val="24"/>
          <w:szCs w:val="24"/>
        </w:rPr>
        <w:t>thers</w:t>
      </w:r>
      <w:r w:rsidR="00BD2F96">
        <w:rPr>
          <w:rFonts w:ascii="Times New Roman" w:hAnsi="Times New Roman" w:cs="Times New Roman"/>
          <w:sz w:val="24"/>
          <w:szCs w:val="24"/>
        </w:rPr>
        <w:t xml:space="preserve"> RLR 1973</w:t>
      </w:r>
      <w:r w:rsidR="00CE04C2">
        <w:rPr>
          <w:rFonts w:ascii="Times New Roman" w:hAnsi="Times New Roman" w:cs="Times New Roman"/>
          <w:sz w:val="24"/>
          <w:szCs w:val="24"/>
        </w:rPr>
        <w:t xml:space="preserve"> 16 and </w:t>
      </w:r>
      <w:r w:rsidR="00CE04C2" w:rsidRPr="00CE04C2">
        <w:rPr>
          <w:rFonts w:ascii="Times New Roman" w:hAnsi="Times New Roman" w:cs="Times New Roman"/>
          <w:i/>
          <w:sz w:val="24"/>
          <w:szCs w:val="24"/>
        </w:rPr>
        <w:t>Sackv</w:t>
      </w:r>
      <w:r w:rsidRPr="00CE04C2">
        <w:rPr>
          <w:rFonts w:ascii="Times New Roman" w:hAnsi="Times New Roman" w:cs="Times New Roman"/>
          <w:i/>
          <w:sz w:val="24"/>
          <w:szCs w:val="24"/>
        </w:rPr>
        <w:t>ille West v</w:t>
      </w:r>
      <w:r>
        <w:rPr>
          <w:rFonts w:ascii="Times New Roman" w:hAnsi="Times New Roman" w:cs="Times New Roman"/>
          <w:sz w:val="24"/>
          <w:szCs w:val="24"/>
        </w:rPr>
        <w:t xml:space="preserve"> </w:t>
      </w:r>
      <w:r w:rsidR="00840FD3">
        <w:rPr>
          <w:rFonts w:ascii="Times New Roman" w:hAnsi="Times New Roman" w:cs="Times New Roman"/>
          <w:i/>
          <w:sz w:val="24"/>
          <w:szCs w:val="24"/>
        </w:rPr>
        <w:t>No</w:t>
      </w:r>
      <w:r w:rsidRPr="00CE04C2">
        <w:rPr>
          <w:rFonts w:ascii="Times New Roman" w:hAnsi="Times New Roman" w:cs="Times New Roman"/>
          <w:i/>
          <w:sz w:val="24"/>
          <w:szCs w:val="24"/>
        </w:rPr>
        <w:t>rse</w:t>
      </w:r>
      <w:r w:rsidR="004819F5" w:rsidRPr="00CE04C2">
        <w:rPr>
          <w:rFonts w:ascii="Times New Roman" w:hAnsi="Times New Roman" w:cs="Times New Roman"/>
          <w:i/>
          <w:sz w:val="24"/>
          <w:szCs w:val="24"/>
        </w:rPr>
        <w:t xml:space="preserve"> </w:t>
      </w:r>
      <w:r w:rsidRPr="00CE04C2">
        <w:rPr>
          <w:rFonts w:ascii="Times New Roman" w:hAnsi="Times New Roman" w:cs="Times New Roman"/>
          <w:i/>
          <w:sz w:val="24"/>
          <w:szCs w:val="24"/>
        </w:rPr>
        <w:t>and Another</w:t>
      </w:r>
      <w:r w:rsidR="00840FD3">
        <w:rPr>
          <w:rFonts w:ascii="Times New Roman" w:hAnsi="Times New Roman" w:cs="Times New Roman"/>
          <w:sz w:val="24"/>
          <w:szCs w:val="24"/>
        </w:rPr>
        <w:t xml:space="preserve"> 1925 AD 51</w:t>
      </w:r>
      <w:r>
        <w:rPr>
          <w:rFonts w:ascii="Times New Roman" w:hAnsi="Times New Roman" w:cs="Times New Roman"/>
          <w:sz w:val="24"/>
          <w:szCs w:val="24"/>
        </w:rPr>
        <w:t>6</w:t>
      </w:r>
      <w:r w:rsidR="00840FD3">
        <w:rPr>
          <w:rFonts w:ascii="Times New Roman" w:hAnsi="Times New Roman" w:cs="Times New Roman"/>
          <w:sz w:val="24"/>
          <w:szCs w:val="24"/>
        </w:rPr>
        <w:t xml:space="preserve"> at p527.</w:t>
      </w:r>
    </w:p>
    <w:p w:rsidR="006D0826" w:rsidRDefault="00CE04C2" w:rsidP="00E9264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CE04C2">
        <w:rPr>
          <w:rFonts w:ascii="Times New Roman" w:hAnsi="Times New Roman" w:cs="Times New Roman"/>
          <w:i/>
          <w:sz w:val="24"/>
          <w:szCs w:val="24"/>
        </w:rPr>
        <w:t>Katirawu</w:t>
      </w:r>
      <w:proofErr w:type="spellEnd"/>
      <w:r w:rsidRPr="00CE04C2">
        <w:rPr>
          <w:rFonts w:ascii="Times New Roman" w:hAnsi="Times New Roman" w:cs="Times New Roman"/>
          <w:i/>
          <w:sz w:val="24"/>
          <w:szCs w:val="24"/>
        </w:rPr>
        <w:t xml:space="preserve"> v </w:t>
      </w:r>
      <w:proofErr w:type="spellStart"/>
      <w:r w:rsidRPr="00CE04C2">
        <w:rPr>
          <w:rFonts w:ascii="Times New Roman" w:hAnsi="Times New Roman" w:cs="Times New Roman"/>
          <w:i/>
          <w:sz w:val="24"/>
          <w:szCs w:val="24"/>
        </w:rPr>
        <w:t>Kat</w:t>
      </w:r>
      <w:r w:rsidR="006D0826" w:rsidRPr="00CE04C2">
        <w:rPr>
          <w:rFonts w:ascii="Times New Roman" w:hAnsi="Times New Roman" w:cs="Times New Roman"/>
          <w:i/>
          <w:sz w:val="24"/>
          <w:szCs w:val="24"/>
        </w:rPr>
        <w:t>irawu</w:t>
      </w:r>
      <w:proofErr w:type="spellEnd"/>
      <w:r w:rsidR="006D0826" w:rsidRPr="00CE04C2">
        <w:rPr>
          <w:rFonts w:ascii="Times New Roman" w:hAnsi="Times New Roman" w:cs="Times New Roman"/>
          <w:i/>
          <w:sz w:val="24"/>
          <w:szCs w:val="24"/>
        </w:rPr>
        <w:t xml:space="preserve"> and Others</w:t>
      </w:r>
      <w:r w:rsidR="006D0826">
        <w:rPr>
          <w:rFonts w:ascii="Times New Roman" w:hAnsi="Times New Roman" w:cs="Times New Roman"/>
          <w:sz w:val="24"/>
          <w:szCs w:val="24"/>
        </w:rPr>
        <w:t>, HH 58/17, the court took the view that the position of a trustee in insolvency is analogo</w:t>
      </w:r>
      <w:r w:rsidR="00022450">
        <w:rPr>
          <w:rFonts w:ascii="Times New Roman" w:hAnsi="Times New Roman" w:cs="Times New Roman"/>
          <w:sz w:val="24"/>
          <w:szCs w:val="24"/>
        </w:rPr>
        <w:t>u</w:t>
      </w:r>
      <w:r w:rsidR="006D0826">
        <w:rPr>
          <w:rFonts w:ascii="Times New Roman" w:hAnsi="Times New Roman" w:cs="Times New Roman"/>
          <w:sz w:val="24"/>
          <w:szCs w:val="24"/>
        </w:rPr>
        <w:t>s to that of a trustee, administrator</w:t>
      </w:r>
      <w:r w:rsidR="004819F5">
        <w:rPr>
          <w:rFonts w:ascii="Times New Roman" w:hAnsi="Times New Roman" w:cs="Times New Roman"/>
          <w:sz w:val="24"/>
          <w:szCs w:val="24"/>
        </w:rPr>
        <w:t xml:space="preserve"> or executor in a deceased estate.  The court held as follows:</w:t>
      </w:r>
    </w:p>
    <w:p w:rsidR="008A52D9" w:rsidRDefault="004819F5" w:rsidP="00E92647">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4819F5">
        <w:rPr>
          <w:rFonts w:ascii="Times New Roman" w:hAnsi="Times New Roman" w:cs="Times New Roman"/>
          <w:i/>
          <w:sz w:val="24"/>
          <w:szCs w:val="24"/>
        </w:rPr>
        <w:t>He occupies a position of trust.  Under the insolvency laws it is his function to liquidate the insolvent estate and account to creditors and the insolvent for his administ</w:t>
      </w:r>
      <w:r w:rsidR="00A35DBE">
        <w:rPr>
          <w:rFonts w:ascii="Times New Roman" w:hAnsi="Times New Roman" w:cs="Times New Roman"/>
          <w:i/>
          <w:sz w:val="24"/>
          <w:szCs w:val="24"/>
        </w:rPr>
        <w:t xml:space="preserve">ration.  In this respect, his fiduciary </w:t>
      </w:r>
      <w:r w:rsidRPr="004819F5">
        <w:rPr>
          <w:rFonts w:ascii="Times New Roman" w:hAnsi="Times New Roman" w:cs="Times New Roman"/>
          <w:i/>
          <w:sz w:val="24"/>
          <w:szCs w:val="24"/>
        </w:rPr>
        <w:t>position differs little from that of an executor or administrator of the estate property.  In my view, the court has at common law the same power to remove a trustee in an insolvent estate</w:t>
      </w:r>
      <w:r>
        <w:rPr>
          <w:rFonts w:ascii="Times New Roman" w:hAnsi="Times New Roman" w:cs="Times New Roman"/>
          <w:sz w:val="24"/>
          <w:szCs w:val="24"/>
        </w:rPr>
        <w:t xml:space="preserve"> </w:t>
      </w:r>
      <w:r w:rsidRPr="004819F5">
        <w:rPr>
          <w:rFonts w:ascii="Times New Roman" w:hAnsi="Times New Roman" w:cs="Times New Roman"/>
          <w:i/>
          <w:sz w:val="24"/>
          <w:szCs w:val="24"/>
        </w:rPr>
        <w:t>as it has respect of a trustee, or guardian or administrator in a deceased estate.”</w:t>
      </w:r>
    </w:p>
    <w:p w:rsidR="004819F5" w:rsidRPr="004819F5" w:rsidRDefault="008A52D9" w:rsidP="00454A6B">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In </w:t>
      </w:r>
      <w:r w:rsidRPr="008A52D9">
        <w:rPr>
          <w:rFonts w:ascii="Times New Roman" w:hAnsi="Times New Roman" w:cs="Times New Roman"/>
          <w:i/>
          <w:sz w:val="24"/>
          <w:szCs w:val="24"/>
        </w:rPr>
        <w:t xml:space="preserve">Fey NO and Whitefield NO v </w:t>
      </w:r>
      <w:proofErr w:type="spellStart"/>
      <w:r w:rsidRPr="008A52D9">
        <w:rPr>
          <w:rFonts w:ascii="Times New Roman" w:hAnsi="Times New Roman" w:cs="Times New Roman"/>
          <w:i/>
          <w:sz w:val="24"/>
          <w:szCs w:val="24"/>
        </w:rPr>
        <w:t>Serfontein</w:t>
      </w:r>
      <w:proofErr w:type="spellEnd"/>
      <w:r w:rsidRPr="008A52D9">
        <w:rPr>
          <w:rFonts w:ascii="Times New Roman" w:hAnsi="Times New Roman" w:cs="Times New Roman"/>
          <w:i/>
          <w:sz w:val="24"/>
          <w:szCs w:val="24"/>
        </w:rPr>
        <w:t xml:space="preserve"> and </w:t>
      </w:r>
      <w:proofErr w:type="spellStart"/>
      <w:r w:rsidRPr="008A52D9">
        <w:rPr>
          <w:rFonts w:ascii="Times New Roman" w:hAnsi="Times New Roman" w:cs="Times New Roman"/>
          <w:i/>
          <w:sz w:val="24"/>
          <w:szCs w:val="24"/>
        </w:rPr>
        <w:t>Anor</w:t>
      </w:r>
      <w:proofErr w:type="spellEnd"/>
      <w:r>
        <w:rPr>
          <w:rFonts w:ascii="Times New Roman" w:hAnsi="Times New Roman" w:cs="Times New Roman"/>
          <w:sz w:val="24"/>
          <w:szCs w:val="24"/>
        </w:rPr>
        <w:t xml:space="preserve"> 1993 (2) SA 605 the court held that an executor holds a position of trust. Where such trust has been breached by failure to administer the estate, she may be removed from</w:t>
      </w:r>
      <w:r w:rsidR="004C41EE">
        <w:rPr>
          <w:rFonts w:ascii="Times New Roman" w:hAnsi="Times New Roman" w:cs="Times New Roman"/>
          <w:sz w:val="24"/>
          <w:szCs w:val="24"/>
        </w:rPr>
        <w:t xml:space="preserve"> such position.</w:t>
      </w:r>
      <w:r w:rsidR="004819F5" w:rsidRPr="004819F5">
        <w:rPr>
          <w:rFonts w:ascii="Times New Roman" w:hAnsi="Times New Roman" w:cs="Times New Roman"/>
          <w:i/>
          <w:sz w:val="24"/>
          <w:szCs w:val="24"/>
        </w:rPr>
        <w:t xml:space="preserve"> </w:t>
      </w:r>
    </w:p>
    <w:p w:rsidR="004819F5" w:rsidRPr="00022450" w:rsidRDefault="004819F5" w:rsidP="00E92647">
      <w:pPr>
        <w:spacing w:line="360" w:lineRule="auto"/>
        <w:jc w:val="both"/>
        <w:rPr>
          <w:rFonts w:ascii="Times New Roman" w:hAnsi="Times New Roman" w:cs="Times New Roman"/>
          <w:b/>
          <w:sz w:val="24"/>
          <w:szCs w:val="24"/>
        </w:rPr>
      </w:pPr>
      <w:r w:rsidRPr="00022450">
        <w:rPr>
          <w:rFonts w:ascii="Times New Roman" w:hAnsi="Times New Roman" w:cs="Times New Roman"/>
          <w:b/>
          <w:sz w:val="24"/>
          <w:szCs w:val="24"/>
        </w:rPr>
        <w:t>GROUNDS FOR RE</w:t>
      </w:r>
      <w:r w:rsidR="00864752">
        <w:rPr>
          <w:rFonts w:ascii="Times New Roman" w:hAnsi="Times New Roman" w:cs="Times New Roman"/>
          <w:b/>
          <w:sz w:val="24"/>
          <w:szCs w:val="24"/>
        </w:rPr>
        <w:t>M</w:t>
      </w:r>
      <w:r w:rsidRPr="00022450">
        <w:rPr>
          <w:rFonts w:ascii="Times New Roman" w:hAnsi="Times New Roman" w:cs="Times New Roman"/>
          <w:b/>
          <w:sz w:val="24"/>
          <w:szCs w:val="24"/>
        </w:rPr>
        <w:t>OVAL OF AN EXECUTOR UNDER COMMON LAW</w:t>
      </w:r>
    </w:p>
    <w:p w:rsidR="00E27A2F" w:rsidRDefault="004819F5" w:rsidP="00454A6B">
      <w:pPr>
        <w:jc w:val="both"/>
        <w:rPr>
          <w:rFonts w:ascii="Times New Roman" w:hAnsi="Times New Roman" w:cs="Times New Roman"/>
          <w:sz w:val="24"/>
          <w:szCs w:val="24"/>
        </w:rPr>
      </w:pPr>
      <w:r>
        <w:tab/>
      </w:r>
      <w:r w:rsidRPr="000C5FD9">
        <w:rPr>
          <w:rFonts w:ascii="Times New Roman" w:hAnsi="Times New Roman" w:cs="Times New Roman"/>
          <w:sz w:val="24"/>
          <w:szCs w:val="24"/>
        </w:rPr>
        <w:t>At common law the courts have inherent power to remove a trustee from office.  Execu</w:t>
      </w:r>
      <w:r w:rsidR="00864752" w:rsidRPr="000C5FD9">
        <w:rPr>
          <w:rFonts w:ascii="Times New Roman" w:hAnsi="Times New Roman" w:cs="Times New Roman"/>
          <w:sz w:val="24"/>
          <w:szCs w:val="24"/>
        </w:rPr>
        <w:t>to</w:t>
      </w:r>
      <w:r w:rsidR="004A36B6" w:rsidRPr="000C5FD9">
        <w:rPr>
          <w:rFonts w:ascii="Times New Roman" w:hAnsi="Times New Roman" w:cs="Times New Roman"/>
          <w:sz w:val="24"/>
          <w:szCs w:val="24"/>
        </w:rPr>
        <w:t>rs</w:t>
      </w:r>
      <w:r w:rsidR="00864752" w:rsidRPr="000C5FD9">
        <w:rPr>
          <w:rFonts w:ascii="Times New Roman" w:hAnsi="Times New Roman" w:cs="Times New Roman"/>
          <w:sz w:val="24"/>
          <w:szCs w:val="24"/>
        </w:rPr>
        <w:t xml:space="preserve"> like the trustees are not lightly </w:t>
      </w:r>
      <w:r w:rsidRPr="000C5FD9">
        <w:rPr>
          <w:rFonts w:ascii="Times New Roman" w:hAnsi="Times New Roman" w:cs="Times New Roman"/>
          <w:sz w:val="24"/>
          <w:szCs w:val="24"/>
        </w:rPr>
        <w:t xml:space="preserve">removed from office.  The courts do have the power and discretion to remove the executor from </w:t>
      </w:r>
      <w:r w:rsidR="00C77561" w:rsidRPr="000C5FD9">
        <w:rPr>
          <w:rFonts w:ascii="Times New Roman" w:hAnsi="Times New Roman" w:cs="Times New Roman"/>
          <w:sz w:val="24"/>
          <w:szCs w:val="24"/>
        </w:rPr>
        <w:t>office wher</w:t>
      </w:r>
      <w:r w:rsidR="000C5FD9">
        <w:rPr>
          <w:rFonts w:ascii="Times New Roman" w:hAnsi="Times New Roman" w:cs="Times New Roman"/>
          <w:sz w:val="24"/>
          <w:szCs w:val="24"/>
        </w:rPr>
        <w:t>e his conduct</w:t>
      </w:r>
      <w:r w:rsidRPr="000C5FD9">
        <w:rPr>
          <w:rFonts w:ascii="Times New Roman" w:hAnsi="Times New Roman" w:cs="Times New Roman"/>
          <w:sz w:val="24"/>
          <w:szCs w:val="24"/>
        </w:rPr>
        <w:t xml:space="preserve"> adversely</w:t>
      </w:r>
      <w:r w:rsidR="00C77561" w:rsidRPr="000C5FD9">
        <w:rPr>
          <w:rFonts w:ascii="Times New Roman" w:hAnsi="Times New Roman" w:cs="Times New Roman"/>
          <w:sz w:val="24"/>
          <w:szCs w:val="24"/>
        </w:rPr>
        <w:t xml:space="preserve"> affects</w:t>
      </w:r>
      <w:r w:rsidRPr="000C5FD9">
        <w:rPr>
          <w:rFonts w:ascii="Times New Roman" w:hAnsi="Times New Roman" w:cs="Times New Roman"/>
          <w:sz w:val="24"/>
          <w:szCs w:val="24"/>
        </w:rPr>
        <w:t xml:space="preserve"> the interests of the estate.  In the present case the court shall be guided by the detailed </w:t>
      </w:r>
    </w:p>
    <w:p w:rsidR="00E27A2F" w:rsidRDefault="00E27A2F" w:rsidP="00454A6B">
      <w:pPr>
        <w:jc w:val="both"/>
        <w:rPr>
          <w:rFonts w:ascii="Times New Roman" w:hAnsi="Times New Roman" w:cs="Times New Roman"/>
          <w:sz w:val="24"/>
          <w:szCs w:val="24"/>
        </w:rPr>
      </w:pPr>
    </w:p>
    <w:p w:rsidR="006F7CF4" w:rsidRPr="00454A6B" w:rsidRDefault="004819F5" w:rsidP="00454A6B">
      <w:pPr>
        <w:jc w:val="both"/>
        <w:rPr>
          <w:rFonts w:ascii="Times New Roman" w:hAnsi="Times New Roman" w:cs="Times New Roman"/>
          <w:sz w:val="24"/>
          <w:szCs w:val="24"/>
        </w:rPr>
      </w:pPr>
      <w:proofErr w:type="gramStart"/>
      <w:r w:rsidRPr="000C5FD9">
        <w:rPr>
          <w:rFonts w:ascii="Times New Roman" w:hAnsi="Times New Roman" w:cs="Times New Roman"/>
          <w:sz w:val="24"/>
          <w:szCs w:val="24"/>
        </w:rPr>
        <w:t>observations</w:t>
      </w:r>
      <w:proofErr w:type="gramEnd"/>
      <w:r w:rsidRPr="000C5FD9">
        <w:rPr>
          <w:rFonts w:ascii="Times New Roman" w:hAnsi="Times New Roman" w:cs="Times New Roman"/>
          <w:sz w:val="24"/>
          <w:szCs w:val="24"/>
        </w:rPr>
        <w:t xml:space="preserve"> made </w:t>
      </w:r>
      <w:r w:rsidR="004A36B6" w:rsidRPr="000C5FD9">
        <w:rPr>
          <w:rFonts w:ascii="Times New Roman" w:hAnsi="Times New Roman" w:cs="Times New Roman"/>
          <w:sz w:val="24"/>
          <w:szCs w:val="24"/>
        </w:rPr>
        <w:t xml:space="preserve">by </w:t>
      </w:r>
      <w:r w:rsidRPr="000C5FD9">
        <w:rPr>
          <w:rFonts w:ascii="Times New Roman" w:hAnsi="Times New Roman" w:cs="Times New Roman"/>
          <w:sz w:val="24"/>
          <w:szCs w:val="24"/>
        </w:rPr>
        <w:t>the Assistant</w:t>
      </w:r>
      <w:r>
        <w:t xml:space="preserve"> </w:t>
      </w:r>
      <w:r w:rsidRPr="00454A6B">
        <w:rPr>
          <w:rFonts w:ascii="Times New Roman" w:hAnsi="Times New Roman" w:cs="Times New Roman"/>
          <w:sz w:val="24"/>
          <w:szCs w:val="24"/>
        </w:rPr>
        <w:t>Master in her report.  The fiduciary relationship that exists between the executrix and the beneficiaries will be affected where the executrix acts in a manner that is not transparent.  The delays in the winding</w:t>
      </w:r>
      <w:r w:rsidR="00454A6B" w:rsidRPr="00454A6B">
        <w:rPr>
          <w:rFonts w:ascii="Times New Roman" w:hAnsi="Times New Roman" w:cs="Times New Roman"/>
          <w:sz w:val="24"/>
          <w:szCs w:val="24"/>
        </w:rPr>
        <w:t xml:space="preserve"> up of the estate have not been </w:t>
      </w:r>
      <w:r w:rsidR="005810B5" w:rsidRPr="00454A6B">
        <w:rPr>
          <w:rFonts w:ascii="Times New Roman" w:hAnsi="Times New Roman" w:cs="Times New Roman"/>
          <w:sz w:val="24"/>
          <w:szCs w:val="24"/>
        </w:rPr>
        <w:t>adequately</w:t>
      </w:r>
      <w:r w:rsidR="004A36B6" w:rsidRPr="00454A6B">
        <w:rPr>
          <w:rFonts w:ascii="Times New Roman" w:hAnsi="Times New Roman" w:cs="Times New Roman"/>
          <w:sz w:val="24"/>
          <w:szCs w:val="24"/>
        </w:rPr>
        <w:t xml:space="preserve"> </w:t>
      </w:r>
      <w:r w:rsidRPr="00454A6B">
        <w:rPr>
          <w:rFonts w:ascii="Times New Roman" w:hAnsi="Times New Roman" w:cs="Times New Roman"/>
          <w:sz w:val="24"/>
          <w:szCs w:val="24"/>
        </w:rPr>
        <w:t xml:space="preserve">explained by the executrix.  In many ways, the executrix’s explanation is incomprehensible.  In </w:t>
      </w:r>
      <w:r w:rsidR="00855311" w:rsidRPr="00454A6B">
        <w:rPr>
          <w:rFonts w:ascii="Times New Roman" w:hAnsi="Times New Roman" w:cs="Times New Roman"/>
          <w:sz w:val="24"/>
          <w:szCs w:val="24"/>
        </w:rPr>
        <w:t>attempting to explain the delay of at least two years in the winding up of the estate, the executrix indicates that she registered the estate on the 28</w:t>
      </w:r>
      <w:r w:rsidR="00855311" w:rsidRPr="00454A6B">
        <w:rPr>
          <w:rFonts w:ascii="Times New Roman" w:hAnsi="Times New Roman" w:cs="Times New Roman"/>
          <w:sz w:val="24"/>
          <w:szCs w:val="24"/>
          <w:vertAlign w:val="superscript"/>
        </w:rPr>
        <w:t>th</w:t>
      </w:r>
      <w:r w:rsidR="00855311" w:rsidRPr="00454A6B">
        <w:rPr>
          <w:rFonts w:ascii="Times New Roman" w:hAnsi="Times New Roman" w:cs="Times New Roman"/>
          <w:sz w:val="24"/>
          <w:szCs w:val="24"/>
        </w:rPr>
        <w:t xml:space="preserve"> August 2017.  She then tried to “gather” the estate assets.  Several months later, the inventory was filed on 10</w:t>
      </w:r>
      <w:r w:rsidR="00855311" w:rsidRPr="00454A6B">
        <w:rPr>
          <w:rFonts w:ascii="Times New Roman" w:hAnsi="Times New Roman" w:cs="Times New Roman"/>
          <w:sz w:val="24"/>
          <w:szCs w:val="24"/>
          <w:vertAlign w:val="superscript"/>
        </w:rPr>
        <w:t>th</w:t>
      </w:r>
      <w:r w:rsidR="00855311" w:rsidRPr="00454A6B">
        <w:rPr>
          <w:rFonts w:ascii="Times New Roman" w:hAnsi="Times New Roman" w:cs="Times New Roman"/>
          <w:sz w:val="24"/>
          <w:szCs w:val="24"/>
        </w:rPr>
        <w:t xml:space="preserve"> August 2018.  The advertisement for creditors and debtors was only published on 16</w:t>
      </w:r>
      <w:r w:rsidR="00855311" w:rsidRPr="00454A6B">
        <w:rPr>
          <w:rFonts w:ascii="Times New Roman" w:hAnsi="Times New Roman" w:cs="Times New Roman"/>
          <w:sz w:val="24"/>
          <w:szCs w:val="24"/>
          <w:vertAlign w:val="superscript"/>
        </w:rPr>
        <w:t>th</w:t>
      </w:r>
      <w:r w:rsidR="00855311" w:rsidRPr="00454A6B">
        <w:rPr>
          <w:rFonts w:ascii="Times New Roman" w:hAnsi="Times New Roman" w:cs="Times New Roman"/>
          <w:sz w:val="24"/>
          <w:szCs w:val="24"/>
        </w:rPr>
        <w:t xml:space="preserve"> February 2018, after several inquiries by the applicant’s legal practitioners on why there was no movement in the winding up of the estate.  An additional ground for the removal of the executrix is that she has had a clear fall-out with the beneficiaries, a situation not consiste</w:t>
      </w:r>
      <w:r w:rsidR="00454A6B" w:rsidRPr="00454A6B">
        <w:rPr>
          <w:rFonts w:ascii="Times New Roman" w:hAnsi="Times New Roman" w:cs="Times New Roman"/>
          <w:sz w:val="24"/>
          <w:szCs w:val="24"/>
        </w:rPr>
        <w:t>nt with a person administering an</w:t>
      </w:r>
      <w:r w:rsidR="00855311" w:rsidRPr="00454A6B">
        <w:rPr>
          <w:rFonts w:ascii="Times New Roman" w:hAnsi="Times New Roman" w:cs="Times New Roman"/>
          <w:sz w:val="24"/>
          <w:szCs w:val="24"/>
        </w:rPr>
        <w:t xml:space="preserve"> estate and acting in trust on behalf of the beneficiaries.  The executor has not produced any statement of income reflecting the amount of rentals collected from the immovable property of the es</w:t>
      </w:r>
      <w:r w:rsidR="00BB3B39" w:rsidRPr="00454A6B">
        <w:rPr>
          <w:rFonts w:ascii="Times New Roman" w:hAnsi="Times New Roman" w:cs="Times New Roman"/>
          <w:sz w:val="24"/>
          <w:szCs w:val="24"/>
        </w:rPr>
        <w:t>tate.    This lack of transparency is not acceptable and wholly inconsistent with the functions of an executor.  The first and final distribution account of account filed by the executrix has not been explained to the satisfaction of the Assistant Master.  The executrix is expected to provide the court with a full account in her stewardship of the estate affairs in a clear and unambiguous manner.  Whilst it is alleged that the rentals</w:t>
      </w:r>
      <w:r w:rsidR="006F7CF4" w:rsidRPr="00454A6B">
        <w:rPr>
          <w:rFonts w:ascii="Times New Roman" w:hAnsi="Times New Roman" w:cs="Times New Roman"/>
          <w:sz w:val="24"/>
          <w:szCs w:val="24"/>
        </w:rPr>
        <w:t xml:space="preserve"> due to the estate have not been properly accounted for, there are further allegations of missing property and cash belonging to the estate.  This court cannot ignore the observations made by the Assistant Master in her supervisory role on the activities of the 1</w:t>
      </w:r>
      <w:r w:rsidR="006F7CF4" w:rsidRPr="00454A6B">
        <w:rPr>
          <w:rFonts w:ascii="Times New Roman" w:hAnsi="Times New Roman" w:cs="Times New Roman"/>
          <w:sz w:val="24"/>
          <w:szCs w:val="24"/>
          <w:vertAlign w:val="superscript"/>
        </w:rPr>
        <w:t>st</w:t>
      </w:r>
      <w:r w:rsidR="006F7CF4" w:rsidRPr="00454A6B">
        <w:rPr>
          <w:rFonts w:ascii="Times New Roman" w:hAnsi="Times New Roman" w:cs="Times New Roman"/>
          <w:sz w:val="24"/>
          <w:szCs w:val="24"/>
        </w:rPr>
        <w:t xml:space="preserve"> respondent.  In my view, therefore, a combination of factors must be considered in determining whether the executrix should be removed.  These factors may be conveniently summarised as follows:</w:t>
      </w:r>
    </w:p>
    <w:p w:rsidR="006F7CF4" w:rsidRPr="006F7CF4" w:rsidRDefault="006F7CF4" w:rsidP="00E92647">
      <w:pPr>
        <w:pStyle w:val="ListParagraph"/>
        <w:numPr>
          <w:ilvl w:val="0"/>
          <w:numId w:val="3"/>
        </w:numPr>
        <w:spacing w:line="360" w:lineRule="auto"/>
        <w:jc w:val="both"/>
      </w:pPr>
      <w:r>
        <w:rPr>
          <w:rFonts w:ascii="Times New Roman" w:hAnsi="Times New Roman" w:cs="Times New Roman"/>
          <w:sz w:val="24"/>
          <w:szCs w:val="24"/>
        </w:rPr>
        <w:t>The explanation for the delay in winding up the estate.</w:t>
      </w:r>
    </w:p>
    <w:p w:rsidR="006F7CF4" w:rsidRPr="006F7CF4" w:rsidRDefault="006F7CF4" w:rsidP="00E92647">
      <w:pPr>
        <w:pStyle w:val="ListParagraph"/>
        <w:numPr>
          <w:ilvl w:val="0"/>
          <w:numId w:val="3"/>
        </w:numPr>
        <w:spacing w:line="360" w:lineRule="auto"/>
        <w:jc w:val="both"/>
      </w:pPr>
      <w:r>
        <w:rPr>
          <w:rFonts w:ascii="Times New Roman" w:hAnsi="Times New Roman" w:cs="Times New Roman"/>
          <w:sz w:val="24"/>
          <w:szCs w:val="24"/>
        </w:rPr>
        <w:t>The size and complexity of the estate.</w:t>
      </w:r>
    </w:p>
    <w:p w:rsidR="006F7CF4" w:rsidRPr="006F7CF4" w:rsidRDefault="006F7CF4" w:rsidP="00E92647">
      <w:pPr>
        <w:pStyle w:val="ListParagraph"/>
        <w:numPr>
          <w:ilvl w:val="0"/>
          <w:numId w:val="3"/>
        </w:numPr>
        <w:spacing w:line="360" w:lineRule="auto"/>
        <w:jc w:val="both"/>
      </w:pPr>
      <w:r>
        <w:rPr>
          <w:rFonts w:ascii="Times New Roman" w:hAnsi="Times New Roman" w:cs="Times New Roman"/>
          <w:sz w:val="24"/>
          <w:szCs w:val="24"/>
        </w:rPr>
        <w:t>The steps take</w:t>
      </w:r>
      <w:r w:rsidR="004A36B6">
        <w:rPr>
          <w:rFonts w:ascii="Times New Roman" w:hAnsi="Times New Roman" w:cs="Times New Roman"/>
          <w:sz w:val="24"/>
          <w:szCs w:val="24"/>
        </w:rPr>
        <w:t>n to date in winding the estate</w:t>
      </w:r>
      <w:r>
        <w:rPr>
          <w:rFonts w:ascii="Times New Roman" w:hAnsi="Times New Roman" w:cs="Times New Roman"/>
          <w:sz w:val="24"/>
          <w:szCs w:val="24"/>
        </w:rPr>
        <w:t>.</w:t>
      </w:r>
    </w:p>
    <w:p w:rsidR="006F7CF4" w:rsidRPr="006F7CF4" w:rsidRDefault="006F7CF4" w:rsidP="00E92647">
      <w:pPr>
        <w:pStyle w:val="ListParagraph"/>
        <w:numPr>
          <w:ilvl w:val="0"/>
          <w:numId w:val="3"/>
        </w:numPr>
        <w:spacing w:line="360" w:lineRule="auto"/>
        <w:jc w:val="both"/>
      </w:pPr>
      <w:r>
        <w:rPr>
          <w:rFonts w:ascii="Times New Roman" w:hAnsi="Times New Roman" w:cs="Times New Roman"/>
          <w:sz w:val="24"/>
          <w:szCs w:val="24"/>
        </w:rPr>
        <w:t>The re</w:t>
      </w:r>
      <w:r w:rsidR="00C42074">
        <w:rPr>
          <w:rFonts w:ascii="Times New Roman" w:hAnsi="Times New Roman" w:cs="Times New Roman"/>
          <w:sz w:val="24"/>
          <w:szCs w:val="24"/>
        </w:rPr>
        <w:t>lationship between the executor</w:t>
      </w:r>
      <w:r>
        <w:rPr>
          <w:rFonts w:ascii="Times New Roman" w:hAnsi="Times New Roman" w:cs="Times New Roman"/>
          <w:sz w:val="24"/>
          <w:szCs w:val="24"/>
        </w:rPr>
        <w:t xml:space="preserve"> and the beneficiaries</w:t>
      </w:r>
    </w:p>
    <w:p w:rsidR="006F7CF4" w:rsidRPr="006F7CF4" w:rsidRDefault="006F7CF4" w:rsidP="00E92647">
      <w:pPr>
        <w:pStyle w:val="ListParagraph"/>
        <w:numPr>
          <w:ilvl w:val="0"/>
          <w:numId w:val="3"/>
        </w:numPr>
        <w:spacing w:line="360" w:lineRule="auto"/>
        <w:jc w:val="both"/>
      </w:pPr>
      <w:r>
        <w:rPr>
          <w:rFonts w:ascii="Times New Roman" w:hAnsi="Times New Roman" w:cs="Times New Roman"/>
          <w:sz w:val="24"/>
          <w:szCs w:val="24"/>
        </w:rPr>
        <w:t>Whether the executor has taken adequate steps to protect the estate.</w:t>
      </w:r>
    </w:p>
    <w:p w:rsidR="006F7CF4" w:rsidRPr="006F7CF4" w:rsidRDefault="006F7CF4" w:rsidP="00E92647">
      <w:pPr>
        <w:pStyle w:val="ListParagraph"/>
        <w:numPr>
          <w:ilvl w:val="0"/>
          <w:numId w:val="3"/>
        </w:numPr>
        <w:spacing w:line="360" w:lineRule="auto"/>
        <w:jc w:val="both"/>
      </w:pPr>
      <w:r>
        <w:rPr>
          <w:rFonts w:ascii="Times New Roman" w:hAnsi="Times New Roman" w:cs="Times New Roman"/>
          <w:sz w:val="24"/>
          <w:szCs w:val="24"/>
        </w:rPr>
        <w:t>The report by the Master and his/recommendations.</w:t>
      </w:r>
    </w:p>
    <w:p w:rsidR="00887AFB" w:rsidRPr="00887AFB" w:rsidRDefault="006F7CF4" w:rsidP="00E92647">
      <w:pPr>
        <w:pStyle w:val="ListParagraph"/>
        <w:numPr>
          <w:ilvl w:val="0"/>
          <w:numId w:val="3"/>
        </w:numPr>
        <w:spacing w:line="360" w:lineRule="auto"/>
        <w:jc w:val="both"/>
      </w:pPr>
      <w:r>
        <w:rPr>
          <w:rFonts w:ascii="Times New Roman" w:hAnsi="Times New Roman" w:cs="Times New Roman"/>
          <w:sz w:val="24"/>
          <w:szCs w:val="24"/>
        </w:rPr>
        <w:t>Generally whether the executor has acted diligently in the protection of the assets of estates.</w:t>
      </w:r>
    </w:p>
    <w:p w:rsidR="004A36B6" w:rsidRDefault="004A36B6" w:rsidP="00E92647">
      <w:pPr>
        <w:spacing w:line="360" w:lineRule="auto"/>
        <w:ind w:left="720"/>
        <w:jc w:val="both"/>
        <w:rPr>
          <w:rFonts w:ascii="Times New Roman" w:hAnsi="Times New Roman" w:cs="Times New Roman"/>
          <w:sz w:val="24"/>
          <w:szCs w:val="24"/>
        </w:rPr>
      </w:pPr>
    </w:p>
    <w:p w:rsidR="004A36B6" w:rsidRDefault="004A36B6" w:rsidP="00E92647">
      <w:pPr>
        <w:spacing w:line="360" w:lineRule="auto"/>
        <w:ind w:left="720"/>
        <w:jc w:val="both"/>
        <w:rPr>
          <w:rFonts w:ascii="Times New Roman" w:hAnsi="Times New Roman" w:cs="Times New Roman"/>
          <w:sz w:val="24"/>
          <w:szCs w:val="24"/>
        </w:rPr>
      </w:pPr>
    </w:p>
    <w:p w:rsidR="004A36B6" w:rsidRDefault="004A36B6" w:rsidP="00E92647">
      <w:pPr>
        <w:spacing w:line="360" w:lineRule="auto"/>
        <w:ind w:left="720"/>
        <w:jc w:val="both"/>
        <w:rPr>
          <w:rFonts w:ascii="Times New Roman" w:hAnsi="Times New Roman" w:cs="Times New Roman"/>
          <w:sz w:val="24"/>
          <w:szCs w:val="24"/>
        </w:rPr>
      </w:pPr>
    </w:p>
    <w:p w:rsidR="00E27A2F" w:rsidRDefault="00E27A2F" w:rsidP="00E92647">
      <w:pPr>
        <w:spacing w:line="360" w:lineRule="auto"/>
        <w:ind w:left="720"/>
        <w:jc w:val="both"/>
        <w:rPr>
          <w:rFonts w:ascii="Times New Roman" w:hAnsi="Times New Roman" w:cs="Times New Roman"/>
          <w:b/>
          <w:sz w:val="24"/>
          <w:szCs w:val="24"/>
        </w:rPr>
      </w:pPr>
    </w:p>
    <w:p w:rsidR="00887AFB" w:rsidRPr="004A36B6" w:rsidRDefault="00887AFB" w:rsidP="00E92647">
      <w:pPr>
        <w:spacing w:line="360" w:lineRule="auto"/>
        <w:ind w:left="720"/>
        <w:jc w:val="both"/>
        <w:rPr>
          <w:rFonts w:ascii="Times New Roman" w:hAnsi="Times New Roman" w:cs="Times New Roman"/>
          <w:b/>
          <w:sz w:val="24"/>
          <w:szCs w:val="24"/>
        </w:rPr>
      </w:pPr>
      <w:r w:rsidRPr="004A36B6">
        <w:rPr>
          <w:rFonts w:ascii="Times New Roman" w:hAnsi="Times New Roman" w:cs="Times New Roman"/>
          <w:b/>
          <w:sz w:val="24"/>
          <w:szCs w:val="24"/>
        </w:rPr>
        <w:t>DISPOSITION</w:t>
      </w:r>
      <w:bookmarkStart w:id="0" w:name="_GoBack"/>
      <w:bookmarkEnd w:id="0"/>
    </w:p>
    <w:p w:rsidR="00CF2E8C" w:rsidRDefault="00887AFB" w:rsidP="00E926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from </w:t>
      </w:r>
      <w:r w:rsidR="006709AE">
        <w:rPr>
          <w:rFonts w:ascii="Times New Roman" w:hAnsi="Times New Roman" w:cs="Times New Roman"/>
          <w:sz w:val="24"/>
          <w:szCs w:val="24"/>
        </w:rPr>
        <w:t xml:space="preserve">the </w:t>
      </w:r>
      <w:proofErr w:type="spellStart"/>
      <w:r w:rsidR="006709AE">
        <w:rPr>
          <w:rFonts w:ascii="Times New Roman" w:hAnsi="Times New Roman" w:cs="Times New Roman"/>
          <w:sz w:val="24"/>
          <w:szCs w:val="24"/>
        </w:rPr>
        <w:t>aforegoing</w:t>
      </w:r>
      <w:proofErr w:type="spellEnd"/>
      <w:r w:rsidR="006709AE">
        <w:rPr>
          <w:rFonts w:ascii="Times New Roman" w:hAnsi="Times New Roman" w:cs="Times New Roman"/>
          <w:sz w:val="24"/>
          <w:szCs w:val="24"/>
        </w:rPr>
        <w:t xml:space="preserve"> that it has become undesirable for the 1</w:t>
      </w:r>
      <w:r w:rsidR="006709AE" w:rsidRPr="006709AE">
        <w:rPr>
          <w:rFonts w:ascii="Times New Roman" w:hAnsi="Times New Roman" w:cs="Times New Roman"/>
          <w:sz w:val="24"/>
          <w:szCs w:val="24"/>
          <w:vertAlign w:val="superscript"/>
        </w:rPr>
        <w:t>st</w:t>
      </w:r>
      <w:r w:rsidR="006709AE">
        <w:rPr>
          <w:rFonts w:ascii="Times New Roman" w:hAnsi="Times New Roman" w:cs="Times New Roman"/>
          <w:sz w:val="24"/>
          <w:szCs w:val="24"/>
        </w:rPr>
        <w:t xml:space="preserve"> respondent to continue as Executrix Dative in the estate of the Late Grace </w:t>
      </w:r>
      <w:proofErr w:type="spellStart"/>
      <w:r w:rsidR="006709AE">
        <w:rPr>
          <w:rFonts w:ascii="Times New Roman" w:hAnsi="Times New Roman" w:cs="Times New Roman"/>
          <w:sz w:val="24"/>
          <w:szCs w:val="24"/>
        </w:rPr>
        <w:t>Bellodi</w:t>
      </w:r>
      <w:proofErr w:type="spellEnd"/>
      <w:r w:rsidR="006709AE">
        <w:rPr>
          <w:rFonts w:ascii="Times New Roman" w:hAnsi="Times New Roman" w:cs="Times New Roman"/>
          <w:sz w:val="24"/>
          <w:szCs w:val="24"/>
        </w:rPr>
        <w:t xml:space="preserve"> owing to her unsatisfactory conduct in administering the affairs of the estate</w:t>
      </w:r>
      <w:r w:rsidR="004A36B6">
        <w:rPr>
          <w:rFonts w:ascii="Times New Roman" w:hAnsi="Times New Roman" w:cs="Times New Roman"/>
          <w:sz w:val="24"/>
          <w:szCs w:val="24"/>
        </w:rPr>
        <w:t>.</w:t>
      </w:r>
      <w:r w:rsidR="006709AE">
        <w:rPr>
          <w:rFonts w:ascii="Times New Roman" w:hAnsi="Times New Roman" w:cs="Times New Roman"/>
          <w:sz w:val="24"/>
          <w:szCs w:val="24"/>
        </w:rPr>
        <w:t xml:space="preserve">  First responde</w:t>
      </w:r>
      <w:r w:rsidR="00282022">
        <w:rPr>
          <w:rFonts w:ascii="Times New Roman" w:hAnsi="Times New Roman" w:cs="Times New Roman"/>
          <w:sz w:val="24"/>
          <w:szCs w:val="24"/>
        </w:rPr>
        <w:t>nt has not specifically</w:t>
      </w:r>
      <w:r w:rsidR="006709AE">
        <w:rPr>
          <w:rFonts w:ascii="Times New Roman" w:hAnsi="Times New Roman" w:cs="Times New Roman"/>
          <w:sz w:val="24"/>
          <w:szCs w:val="24"/>
        </w:rPr>
        <w:t xml:space="preserve"> denied the alleged acts of commission and omission which make her unsuitable to remain as executrix.  The first respondent has clearly failed to conduct the affairs of the estate satisfactorily.</w:t>
      </w:r>
      <w:r w:rsidR="006F7CF4" w:rsidRPr="00887AFB">
        <w:rPr>
          <w:rFonts w:ascii="Times New Roman" w:hAnsi="Times New Roman" w:cs="Times New Roman"/>
          <w:sz w:val="24"/>
          <w:szCs w:val="24"/>
        </w:rPr>
        <w:t xml:space="preserve"> </w:t>
      </w:r>
      <w:r w:rsidR="006709AE">
        <w:rPr>
          <w:rFonts w:ascii="Times New Roman" w:hAnsi="Times New Roman" w:cs="Times New Roman"/>
          <w:sz w:val="24"/>
          <w:szCs w:val="24"/>
        </w:rPr>
        <w:t xml:space="preserve">  Long delays have not been explained.  The failure by first respondent to timeously wind up the estate is prejudicial to the estate.  Failure by first respondent to properly identify the deceased’s assets as at the time of her death </w:t>
      </w:r>
      <w:r w:rsidR="00CF2E8C">
        <w:rPr>
          <w:rFonts w:ascii="Times New Roman" w:hAnsi="Times New Roman" w:cs="Times New Roman"/>
          <w:sz w:val="24"/>
          <w:szCs w:val="24"/>
        </w:rPr>
        <w:t>for the purposes of valuing the estate is extremely harmful to the estate.  The prejudice to the estate caused by the negligence of the executrix warrants the removal of the first respondent as Executrix Dative.  In terms of the common law, the applicants are entitled to approach this court for an order for the removal of the executrix.  It is trite that an estate should be wound up within a reasonable time and failure to do so on the part of the first respondent, amongst other acts of commission and omission, cumulatively leads to a conclusion that it is no longer desirable for first respondent to continue as Executrix Dative.</w:t>
      </w:r>
    </w:p>
    <w:p w:rsidR="00CF2E8C" w:rsidRDefault="00CF2E8C" w:rsidP="00E926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in my view</w:t>
      </w:r>
      <w:r w:rsidR="00DF4BC7">
        <w:rPr>
          <w:rFonts w:ascii="Times New Roman" w:hAnsi="Times New Roman" w:cs="Times New Roman"/>
          <w:sz w:val="24"/>
          <w:szCs w:val="24"/>
        </w:rPr>
        <w:t>,</w:t>
      </w:r>
      <w:r>
        <w:rPr>
          <w:rFonts w:ascii="Times New Roman" w:hAnsi="Times New Roman" w:cs="Times New Roman"/>
          <w:sz w:val="24"/>
          <w:szCs w:val="24"/>
        </w:rPr>
        <w:t xml:space="preserve"> the applicants have made a case for the removal of the Executrix Dative.  I would accordingly make the following order:</w:t>
      </w:r>
    </w:p>
    <w:p w:rsidR="00CF2E8C" w:rsidRDefault="00CF2E8C" w:rsidP="00E9264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first respondent be and is hereby removed as an Executrix in the Estate </w:t>
      </w:r>
      <w:r w:rsidR="004A36B6">
        <w:rPr>
          <w:rFonts w:ascii="Times New Roman" w:hAnsi="Times New Roman" w:cs="Times New Roman"/>
          <w:sz w:val="24"/>
          <w:szCs w:val="24"/>
        </w:rPr>
        <w:t xml:space="preserve">of the Late Grace </w:t>
      </w:r>
      <w:proofErr w:type="spellStart"/>
      <w:r w:rsidR="004A36B6">
        <w:rPr>
          <w:rFonts w:ascii="Times New Roman" w:hAnsi="Times New Roman" w:cs="Times New Roman"/>
          <w:sz w:val="24"/>
          <w:szCs w:val="24"/>
        </w:rPr>
        <w:t>Bellodi</w:t>
      </w:r>
      <w:proofErr w:type="spellEnd"/>
      <w:r w:rsidR="004A36B6">
        <w:rPr>
          <w:rFonts w:ascii="Times New Roman" w:hAnsi="Times New Roman" w:cs="Times New Roman"/>
          <w:sz w:val="24"/>
          <w:szCs w:val="24"/>
        </w:rPr>
        <w:t xml:space="preserve"> (DRB </w:t>
      </w:r>
      <w:r>
        <w:rPr>
          <w:rFonts w:ascii="Times New Roman" w:hAnsi="Times New Roman" w:cs="Times New Roman"/>
          <w:sz w:val="24"/>
          <w:szCs w:val="24"/>
        </w:rPr>
        <w:t>283/17).</w:t>
      </w:r>
    </w:p>
    <w:p w:rsidR="00B32FA2" w:rsidRDefault="00CF2E8C" w:rsidP="00E9264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first respondent be and is </w:t>
      </w:r>
      <w:r w:rsidR="00B32FA2">
        <w:rPr>
          <w:rFonts w:ascii="Times New Roman" w:hAnsi="Times New Roman" w:cs="Times New Roman"/>
          <w:sz w:val="24"/>
          <w:szCs w:val="24"/>
        </w:rPr>
        <w:t>hereby ordered to return to the second respondent, the Letters of Administration issued to her.</w:t>
      </w:r>
    </w:p>
    <w:p w:rsidR="004819F5" w:rsidRPr="009D492D" w:rsidRDefault="00B32FA2" w:rsidP="00E92647">
      <w:pPr>
        <w:spacing w:line="360" w:lineRule="auto"/>
        <w:ind w:left="1440" w:hanging="720"/>
        <w:jc w:val="both"/>
      </w:pPr>
      <w:r>
        <w:rPr>
          <w:rFonts w:ascii="Times New Roman" w:hAnsi="Times New Roman" w:cs="Times New Roman"/>
          <w:sz w:val="24"/>
          <w:szCs w:val="24"/>
        </w:rPr>
        <w:t>3.</w:t>
      </w:r>
      <w:r>
        <w:rPr>
          <w:rFonts w:ascii="Times New Roman" w:hAnsi="Times New Roman" w:cs="Times New Roman"/>
          <w:sz w:val="24"/>
          <w:szCs w:val="24"/>
        </w:rPr>
        <w:tab/>
        <w:t>The first respondent be and is hereby ordered to pay the costs of this application.</w:t>
      </w:r>
      <w:r w:rsidR="006709AE">
        <w:rPr>
          <w:rFonts w:ascii="Times New Roman" w:hAnsi="Times New Roman" w:cs="Times New Roman"/>
          <w:sz w:val="24"/>
          <w:szCs w:val="24"/>
        </w:rPr>
        <w:t xml:space="preserve"> </w:t>
      </w:r>
      <w:r w:rsidR="00BB3B39" w:rsidRPr="00887AFB">
        <w:rPr>
          <w:rFonts w:ascii="Times New Roman" w:hAnsi="Times New Roman" w:cs="Times New Roman"/>
          <w:sz w:val="24"/>
          <w:szCs w:val="24"/>
        </w:rPr>
        <w:t xml:space="preserve"> </w:t>
      </w:r>
    </w:p>
    <w:p w:rsidR="009D492D" w:rsidRDefault="009D492D" w:rsidP="00E92647">
      <w:pPr>
        <w:pStyle w:val="ListParagraph"/>
        <w:spacing w:line="360" w:lineRule="auto"/>
        <w:ind w:left="1440"/>
        <w:jc w:val="both"/>
        <w:rPr>
          <w:rFonts w:ascii="Times New Roman" w:hAnsi="Times New Roman" w:cs="Times New Roman"/>
          <w:sz w:val="24"/>
          <w:szCs w:val="24"/>
        </w:rPr>
      </w:pPr>
    </w:p>
    <w:p w:rsidR="00E92647" w:rsidRDefault="00E92647" w:rsidP="00E92647">
      <w:pPr>
        <w:pStyle w:val="NoSpacing"/>
        <w:jc w:val="both"/>
        <w:rPr>
          <w:rFonts w:ascii="Times New Roman" w:hAnsi="Times New Roman" w:cs="Times New Roman"/>
          <w:i/>
          <w:szCs w:val="24"/>
        </w:rPr>
      </w:pPr>
    </w:p>
    <w:p w:rsidR="009D492D" w:rsidRPr="006D121F" w:rsidRDefault="006D121F" w:rsidP="00E92647">
      <w:pPr>
        <w:pStyle w:val="NoSpacing"/>
        <w:jc w:val="both"/>
        <w:rPr>
          <w:rFonts w:ascii="Times New Roman" w:hAnsi="Times New Roman" w:cs="Times New Roman"/>
          <w:szCs w:val="24"/>
        </w:rPr>
      </w:pPr>
      <w:r w:rsidRPr="006D121F">
        <w:rPr>
          <w:rFonts w:ascii="Times New Roman" w:hAnsi="Times New Roman" w:cs="Times New Roman"/>
          <w:i/>
          <w:szCs w:val="24"/>
        </w:rPr>
        <w:t xml:space="preserve">Messrs Calderwood, Bryce </w:t>
      </w:r>
      <w:proofErr w:type="spellStart"/>
      <w:r w:rsidRPr="006D121F">
        <w:rPr>
          <w:rFonts w:ascii="Times New Roman" w:hAnsi="Times New Roman" w:cs="Times New Roman"/>
          <w:i/>
          <w:szCs w:val="24"/>
        </w:rPr>
        <w:t>Hendrie</w:t>
      </w:r>
      <w:proofErr w:type="spellEnd"/>
      <w:r w:rsidRPr="006D121F">
        <w:rPr>
          <w:rFonts w:ascii="Times New Roman" w:hAnsi="Times New Roman" w:cs="Times New Roman"/>
          <w:i/>
          <w:szCs w:val="24"/>
        </w:rPr>
        <w:t xml:space="preserve"> and Partners</w:t>
      </w:r>
      <w:r w:rsidRPr="006D121F">
        <w:rPr>
          <w:rFonts w:ascii="Times New Roman" w:hAnsi="Times New Roman" w:cs="Times New Roman"/>
          <w:szCs w:val="24"/>
        </w:rPr>
        <w:t>, applicants’ legal practitioners</w:t>
      </w:r>
    </w:p>
    <w:p w:rsidR="006D121F" w:rsidRPr="006D121F" w:rsidRDefault="006D121F" w:rsidP="00E92647">
      <w:pPr>
        <w:pStyle w:val="NoSpacing"/>
        <w:jc w:val="both"/>
        <w:rPr>
          <w:rFonts w:ascii="Times New Roman" w:hAnsi="Times New Roman" w:cs="Times New Roman"/>
          <w:szCs w:val="24"/>
        </w:rPr>
      </w:pPr>
      <w:proofErr w:type="spellStart"/>
      <w:r w:rsidRPr="006D121F">
        <w:rPr>
          <w:rFonts w:ascii="Times New Roman" w:hAnsi="Times New Roman" w:cs="Times New Roman"/>
          <w:i/>
          <w:szCs w:val="24"/>
        </w:rPr>
        <w:t>Sengweni</w:t>
      </w:r>
      <w:proofErr w:type="spellEnd"/>
      <w:r w:rsidRPr="006D121F">
        <w:rPr>
          <w:rFonts w:ascii="Times New Roman" w:hAnsi="Times New Roman" w:cs="Times New Roman"/>
          <w:i/>
          <w:szCs w:val="24"/>
        </w:rPr>
        <w:t xml:space="preserve"> Legal Practice</w:t>
      </w:r>
      <w:r w:rsidRPr="006D121F">
        <w:rPr>
          <w:rFonts w:ascii="Times New Roman" w:hAnsi="Times New Roman" w:cs="Times New Roman"/>
          <w:szCs w:val="24"/>
        </w:rPr>
        <w:t>, 1</w:t>
      </w:r>
      <w:r w:rsidRPr="006D121F">
        <w:rPr>
          <w:rFonts w:ascii="Times New Roman" w:hAnsi="Times New Roman" w:cs="Times New Roman"/>
          <w:szCs w:val="24"/>
          <w:vertAlign w:val="superscript"/>
        </w:rPr>
        <w:t>st</w:t>
      </w:r>
      <w:r w:rsidRPr="006D121F">
        <w:rPr>
          <w:rFonts w:ascii="Times New Roman" w:hAnsi="Times New Roman" w:cs="Times New Roman"/>
          <w:szCs w:val="24"/>
        </w:rPr>
        <w:t xml:space="preserve"> respondent’s legal practitioners</w:t>
      </w:r>
    </w:p>
    <w:sectPr w:rsidR="006D121F" w:rsidRPr="006D121F"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559" w:rsidRDefault="00CC1559" w:rsidP="00E92647">
      <w:pPr>
        <w:spacing w:after="0" w:line="240" w:lineRule="auto"/>
      </w:pPr>
      <w:r>
        <w:separator/>
      </w:r>
    </w:p>
  </w:endnote>
  <w:endnote w:type="continuationSeparator" w:id="1">
    <w:p w:rsidR="00CC1559" w:rsidRDefault="00CC1559" w:rsidP="00E92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559" w:rsidRDefault="00CC1559" w:rsidP="00E92647">
      <w:pPr>
        <w:spacing w:after="0" w:line="240" w:lineRule="auto"/>
      </w:pPr>
      <w:r>
        <w:separator/>
      </w:r>
    </w:p>
  </w:footnote>
  <w:footnote w:type="continuationSeparator" w:id="1">
    <w:p w:rsidR="00CC1559" w:rsidRDefault="00CC1559" w:rsidP="00E926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20584"/>
      <w:docPartObj>
        <w:docPartGallery w:val="Page Numbers (Top of Page)"/>
        <w:docPartUnique/>
      </w:docPartObj>
    </w:sdtPr>
    <w:sdtEndPr>
      <w:rPr>
        <w:rFonts w:ascii="Times New Roman" w:hAnsi="Times New Roman" w:cs="Times New Roman"/>
        <w:sz w:val="24"/>
        <w:szCs w:val="24"/>
      </w:rPr>
    </w:sdtEndPr>
    <w:sdtContent>
      <w:p w:rsidR="00E92647" w:rsidRPr="00E92647" w:rsidRDefault="00FC042D">
        <w:pPr>
          <w:pStyle w:val="Header"/>
          <w:jc w:val="right"/>
          <w:rPr>
            <w:rFonts w:ascii="Times New Roman" w:hAnsi="Times New Roman" w:cs="Times New Roman"/>
            <w:sz w:val="24"/>
            <w:szCs w:val="24"/>
          </w:rPr>
        </w:pPr>
        <w:r w:rsidRPr="00E92647">
          <w:rPr>
            <w:rFonts w:ascii="Times New Roman" w:hAnsi="Times New Roman" w:cs="Times New Roman"/>
            <w:sz w:val="24"/>
            <w:szCs w:val="24"/>
          </w:rPr>
          <w:fldChar w:fldCharType="begin"/>
        </w:r>
        <w:r w:rsidR="00E92647" w:rsidRPr="00E92647">
          <w:rPr>
            <w:rFonts w:ascii="Times New Roman" w:hAnsi="Times New Roman" w:cs="Times New Roman"/>
            <w:sz w:val="24"/>
            <w:szCs w:val="24"/>
          </w:rPr>
          <w:instrText xml:space="preserve"> PAGE   \* MERGEFORMAT </w:instrText>
        </w:r>
        <w:r w:rsidRPr="00E92647">
          <w:rPr>
            <w:rFonts w:ascii="Times New Roman" w:hAnsi="Times New Roman" w:cs="Times New Roman"/>
            <w:sz w:val="24"/>
            <w:szCs w:val="24"/>
          </w:rPr>
          <w:fldChar w:fldCharType="separate"/>
        </w:r>
        <w:r w:rsidR="00B6553C">
          <w:rPr>
            <w:rFonts w:ascii="Times New Roman" w:hAnsi="Times New Roman" w:cs="Times New Roman"/>
            <w:noProof/>
            <w:sz w:val="24"/>
            <w:szCs w:val="24"/>
          </w:rPr>
          <w:t>6</w:t>
        </w:r>
        <w:r w:rsidRPr="00E92647">
          <w:rPr>
            <w:rFonts w:ascii="Times New Roman" w:hAnsi="Times New Roman" w:cs="Times New Roman"/>
            <w:sz w:val="24"/>
            <w:szCs w:val="24"/>
          </w:rPr>
          <w:fldChar w:fldCharType="end"/>
        </w:r>
      </w:p>
    </w:sdtContent>
  </w:sdt>
  <w:p w:rsidR="00E92647" w:rsidRPr="00E92647" w:rsidRDefault="00E92647">
    <w:pPr>
      <w:pStyle w:val="Header"/>
      <w:rPr>
        <w:rFonts w:ascii="Times New Roman" w:hAnsi="Times New Roman" w:cs="Times New Roman"/>
        <w:sz w:val="24"/>
        <w:szCs w:val="24"/>
      </w:rPr>
    </w:pPr>
    <w:r w:rsidRPr="00E92647">
      <w:rPr>
        <w:rFonts w:ascii="Times New Roman" w:hAnsi="Times New Roman" w:cs="Times New Roman"/>
        <w:sz w:val="24"/>
        <w:szCs w:val="24"/>
      </w:rPr>
      <w:tab/>
    </w:r>
    <w:r w:rsidRPr="00E92647">
      <w:rPr>
        <w:rFonts w:ascii="Times New Roman" w:hAnsi="Times New Roman" w:cs="Times New Roman"/>
        <w:sz w:val="24"/>
        <w:szCs w:val="24"/>
      </w:rPr>
      <w:tab/>
      <w:t>HB 51.20</w:t>
    </w:r>
  </w:p>
  <w:p w:rsidR="00E92647" w:rsidRPr="00E92647" w:rsidRDefault="00E92647">
    <w:pPr>
      <w:pStyle w:val="Header"/>
      <w:rPr>
        <w:rFonts w:ascii="Times New Roman" w:hAnsi="Times New Roman" w:cs="Times New Roman"/>
        <w:sz w:val="24"/>
        <w:szCs w:val="24"/>
      </w:rPr>
    </w:pPr>
    <w:r w:rsidRPr="00E92647">
      <w:rPr>
        <w:rFonts w:ascii="Times New Roman" w:hAnsi="Times New Roman" w:cs="Times New Roman"/>
        <w:sz w:val="24"/>
        <w:szCs w:val="24"/>
      </w:rPr>
      <w:tab/>
    </w:r>
    <w:r w:rsidRPr="00E92647">
      <w:rPr>
        <w:rFonts w:ascii="Times New Roman" w:hAnsi="Times New Roman" w:cs="Times New Roman"/>
        <w:sz w:val="24"/>
        <w:szCs w:val="24"/>
      </w:rPr>
      <w:tab/>
      <w:t>HC 2131/18</w:t>
    </w:r>
  </w:p>
  <w:p w:rsidR="00E92647" w:rsidRPr="00E92647" w:rsidRDefault="00E92647">
    <w:pPr>
      <w:pStyle w:val="Header"/>
      <w:rPr>
        <w:rFonts w:ascii="Times New Roman" w:hAnsi="Times New Roman" w:cs="Times New Roman"/>
        <w:sz w:val="24"/>
        <w:szCs w:val="24"/>
      </w:rPr>
    </w:pPr>
    <w:r w:rsidRPr="00E92647">
      <w:rPr>
        <w:rFonts w:ascii="Times New Roman" w:hAnsi="Times New Roman" w:cs="Times New Roman"/>
        <w:sz w:val="24"/>
        <w:szCs w:val="24"/>
      </w:rPr>
      <w:tab/>
    </w:r>
    <w:r w:rsidRPr="00E92647">
      <w:rPr>
        <w:rFonts w:ascii="Times New Roman" w:hAnsi="Times New Roman" w:cs="Times New Roman"/>
        <w:sz w:val="24"/>
        <w:szCs w:val="24"/>
      </w:rPr>
      <w:tab/>
      <w:t>DRB 283/17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3F21"/>
    <w:multiLevelType w:val="hybridMultilevel"/>
    <w:tmpl w:val="EA682BD4"/>
    <w:lvl w:ilvl="0" w:tplc="7DA6E8F6">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4AB1E94"/>
    <w:multiLevelType w:val="hybridMultilevel"/>
    <w:tmpl w:val="45121584"/>
    <w:lvl w:ilvl="0" w:tplc="9E6E6342">
      <w:start w:val="1"/>
      <w:numFmt w:val="lowerLetter"/>
      <w:lvlText w:val="(%1)"/>
      <w:lvlJc w:val="left"/>
      <w:pPr>
        <w:ind w:left="1440" w:hanging="360"/>
      </w:pPr>
      <w:rPr>
        <w:rFonts w:ascii="Times New Roman" w:hAnsi="Times New Roman" w:cs="Times New Roman" w:hint="default"/>
        <w:sz w:val="24"/>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77652BE3"/>
    <w:multiLevelType w:val="hybridMultilevel"/>
    <w:tmpl w:val="CD082B8A"/>
    <w:lvl w:ilvl="0" w:tplc="5B7E8402">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65965"/>
    <w:rsid w:val="00022450"/>
    <w:rsid w:val="00025DCF"/>
    <w:rsid w:val="000C5FD9"/>
    <w:rsid w:val="000E31B1"/>
    <w:rsid w:val="000F3B94"/>
    <w:rsid w:val="00157CAE"/>
    <w:rsid w:val="00171918"/>
    <w:rsid w:val="00195A51"/>
    <w:rsid w:val="001D08C3"/>
    <w:rsid w:val="001E70CA"/>
    <w:rsid w:val="001E7B5E"/>
    <w:rsid w:val="00245715"/>
    <w:rsid w:val="00273A11"/>
    <w:rsid w:val="002764F0"/>
    <w:rsid w:val="00282022"/>
    <w:rsid w:val="00295CD4"/>
    <w:rsid w:val="002B369D"/>
    <w:rsid w:val="003354C7"/>
    <w:rsid w:val="00371690"/>
    <w:rsid w:val="00374A2D"/>
    <w:rsid w:val="00381C57"/>
    <w:rsid w:val="003829EE"/>
    <w:rsid w:val="003841EB"/>
    <w:rsid w:val="003C714D"/>
    <w:rsid w:val="00401A1B"/>
    <w:rsid w:val="004151E4"/>
    <w:rsid w:val="00454A6B"/>
    <w:rsid w:val="004819F5"/>
    <w:rsid w:val="004A36B6"/>
    <w:rsid w:val="004A6036"/>
    <w:rsid w:val="004C41EE"/>
    <w:rsid w:val="004D0BF1"/>
    <w:rsid w:val="00535931"/>
    <w:rsid w:val="005447FB"/>
    <w:rsid w:val="005657B2"/>
    <w:rsid w:val="005810B5"/>
    <w:rsid w:val="00590063"/>
    <w:rsid w:val="0060682E"/>
    <w:rsid w:val="0063565C"/>
    <w:rsid w:val="00642462"/>
    <w:rsid w:val="00665965"/>
    <w:rsid w:val="006709AE"/>
    <w:rsid w:val="006839DA"/>
    <w:rsid w:val="006B6424"/>
    <w:rsid w:val="006D0826"/>
    <w:rsid w:val="006D121F"/>
    <w:rsid w:val="006F7CF4"/>
    <w:rsid w:val="007565A1"/>
    <w:rsid w:val="00767DCA"/>
    <w:rsid w:val="00784C1C"/>
    <w:rsid w:val="007C5505"/>
    <w:rsid w:val="00840FD3"/>
    <w:rsid w:val="00855311"/>
    <w:rsid w:val="00864752"/>
    <w:rsid w:val="00887AFB"/>
    <w:rsid w:val="00894610"/>
    <w:rsid w:val="008A52D9"/>
    <w:rsid w:val="008C21C2"/>
    <w:rsid w:val="008E388E"/>
    <w:rsid w:val="009014B6"/>
    <w:rsid w:val="00926392"/>
    <w:rsid w:val="009428A7"/>
    <w:rsid w:val="00975A00"/>
    <w:rsid w:val="009D492D"/>
    <w:rsid w:val="00A240DF"/>
    <w:rsid w:val="00A35DBE"/>
    <w:rsid w:val="00A62830"/>
    <w:rsid w:val="00A97786"/>
    <w:rsid w:val="00AC540E"/>
    <w:rsid w:val="00AE6F0E"/>
    <w:rsid w:val="00B015F2"/>
    <w:rsid w:val="00B100B3"/>
    <w:rsid w:val="00B20706"/>
    <w:rsid w:val="00B3221F"/>
    <w:rsid w:val="00B32FA2"/>
    <w:rsid w:val="00B34906"/>
    <w:rsid w:val="00B6553C"/>
    <w:rsid w:val="00B80F02"/>
    <w:rsid w:val="00BB3B39"/>
    <w:rsid w:val="00BD0988"/>
    <w:rsid w:val="00BD2F96"/>
    <w:rsid w:val="00C42074"/>
    <w:rsid w:val="00C77561"/>
    <w:rsid w:val="00CC1559"/>
    <w:rsid w:val="00CE04C2"/>
    <w:rsid w:val="00CF2E8C"/>
    <w:rsid w:val="00D07B1C"/>
    <w:rsid w:val="00D20C47"/>
    <w:rsid w:val="00D55DAE"/>
    <w:rsid w:val="00D95DA3"/>
    <w:rsid w:val="00DB5D77"/>
    <w:rsid w:val="00DF4BC7"/>
    <w:rsid w:val="00E1639B"/>
    <w:rsid w:val="00E27A2F"/>
    <w:rsid w:val="00E61FC0"/>
    <w:rsid w:val="00E83C93"/>
    <w:rsid w:val="00E92647"/>
    <w:rsid w:val="00EA6195"/>
    <w:rsid w:val="00ED1239"/>
    <w:rsid w:val="00F63012"/>
    <w:rsid w:val="00FC042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965"/>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4D0BF1"/>
    <w:pPr>
      <w:ind w:left="720"/>
      <w:contextualSpacing/>
    </w:pPr>
  </w:style>
  <w:style w:type="paragraph" w:styleId="Header">
    <w:name w:val="header"/>
    <w:basedOn w:val="Normal"/>
    <w:link w:val="HeaderChar"/>
    <w:uiPriority w:val="99"/>
    <w:unhideWhenUsed/>
    <w:rsid w:val="00E92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647"/>
  </w:style>
  <w:style w:type="paragraph" w:styleId="Footer">
    <w:name w:val="footer"/>
    <w:basedOn w:val="Normal"/>
    <w:link w:val="FooterChar"/>
    <w:uiPriority w:val="99"/>
    <w:semiHidden/>
    <w:unhideWhenUsed/>
    <w:rsid w:val="00E926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2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62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47</cp:revision>
  <dcterms:created xsi:type="dcterms:W3CDTF">2020-03-17T09:13:00Z</dcterms:created>
  <dcterms:modified xsi:type="dcterms:W3CDTF">2020-03-19T08:41:00Z</dcterms:modified>
</cp:coreProperties>
</file>