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0B" w:rsidRPr="00876C0B" w:rsidRDefault="00E0580B" w:rsidP="00E058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DISTRIBU</w:t>
      </w:r>
      <w:r w:rsidRPr="00876C0B">
        <w:rPr>
          <w:rFonts w:ascii="Times New Roman" w:hAnsi="Times New Roman" w:cs="Times New Roman"/>
          <w:b/>
          <w:sz w:val="24"/>
          <w:szCs w:val="24"/>
          <w:u w:val="single"/>
        </w:rPr>
        <w:t>TABLE</w:t>
      </w:r>
      <w:r w:rsidRPr="00876C0B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176E6E">
        <w:rPr>
          <w:rFonts w:ascii="Times New Roman" w:hAnsi="Times New Roman" w:cs="Times New Roman"/>
          <w:b/>
          <w:sz w:val="24"/>
          <w:szCs w:val="24"/>
        </w:rPr>
        <w:t>20</w:t>
      </w:r>
      <w:r w:rsidRPr="00876C0B">
        <w:rPr>
          <w:rFonts w:ascii="Times New Roman" w:hAnsi="Times New Roman" w:cs="Times New Roman"/>
          <w:b/>
          <w:sz w:val="24"/>
          <w:szCs w:val="24"/>
        </w:rPr>
        <w:t>)</w:t>
      </w:r>
    </w:p>
    <w:p w:rsidR="00D34F40" w:rsidRPr="00C643DF" w:rsidRDefault="00D34F40" w:rsidP="00E0580B">
      <w:pPr>
        <w:rPr>
          <w:rFonts w:ascii="Times New Roman" w:hAnsi="Times New Roman" w:cs="Times New Roman"/>
          <w:sz w:val="24"/>
          <w:szCs w:val="24"/>
        </w:rPr>
      </w:pPr>
    </w:p>
    <w:p w:rsidR="00D34F40" w:rsidRPr="00C643DF" w:rsidRDefault="00D34F40" w:rsidP="0072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01E" w:rsidRPr="00C643DF" w:rsidRDefault="00D34F40" w:rsidP="00726D01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 xml:space="preserve">JOHN     CHIKURA     </w:t>
      </w:r>
      <w:r w:rsidR="00D2101E" w:rsidRPr="00C643DF">
        <w:rPr>
          <w:rFonts w:ascii="Times New Roman" w:hAnsi="Times New Roman" w:cs="Times New Roman"/>
          <w:b/>
          <w:sz w:val="24"/>
          <w:szCs w:val="24"/>
        </w:rPr>
        <w:t>N.O.</w:t>
      </w:r>
      <w:r w:rsidR="007F4C1C" w:rsidRPr="00C643DF">
        <w:rPr>
          <w:rFonts w:ascii="Times New Roman" w:hAnsi="Times New Roman" w:cs="Times New Roman"/>
          <w:b/>
          <w:sz w:val="24"/>
          <w:szCs w:val="24"/>
        </w:rPr>
        <w:t xml:space="preserve">     (2)</w:t>
      </w:r>
      <w:r w:rsidR="00076FF9" w:rsidRPr="00C64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1C" w:rsidRPr="00C643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101E" w:rsidRPr="00C643DF">
        <w:rPr>
          <w:rFonts w:ascii="Times New Roman" w:hAnsi="Times New Roman" w:cs="Times New Roman"/>
          <w:b/>
          <w:sz w:val="24"/>
          <w:szCs w:val="24"/>
        </w:rPr>
        <w:t>DEPOSIT</w:t>
      </w:r>
      <w:r w:rsidR="00DA2B39" w:rsidRPr="00C643DF">
        <w:rPr>
          <w:rFonts w:ascii="Times New Roman" w:hAnsi="Times New Roman" w:cs="Times New Roman"/>
          <w:b/>
          <w:sz w:val="24"/>
          <w:szCs w:val="24"/>
        </w:rPr>
        <w:t xml:space="preserve">     PROTECTION     </w:t>
      </w:r>
      <w:r w:rsidR="00D2101E" w:rsidRPr="00C643DF">
        <w:rPr>
          <w:rFonts w:ascii="Times New Roman" w:hAnsi="Times New Roman" w:cs="Times New Roman"/>
          <w:b/>
          <w:sz w:val="24"/>
          <w:szCs w:val="24"/>
        </w:rPr>
        <w:t>CORPORATION</w:t>
      </w:r>
    </w:p>
    <w:p w:rsidR="00D2101E" w:rsidRPr="00C643DF" w:rsidRDefault="00516E0B" w:rsidP="00726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>vs</w:t>
      </w:r>
    </w:p>
    <w:p w:rsidR="00D2101E" w:rsidRPr="00C643DF" w:rsidRDefault="00851480" w:rsidP="00726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 xml:space="preserve">ALSHAMS     GLOBAL     BVI     </w:t>
      </w:r>
      <w:r w:rsidR="00D2101E" w:rsidRPr="00C643DF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D2101E" w:rsidRPr="00C643DF" w:rsidRDefault="00D2101E" w:rsidP="00190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D01" w:rsidRPr="00C643DF" w:rsidRDefault="00726D01" w:rsidP="0019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01E" w:rsidRPr="00C643DF" w:rsidRDefault="00D2101E" w:rsidP="0072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D2101E" w:rsidRPr="00C643DF" w:rsidRDefault="00D2101E" w:rsidP="0072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>MAKARAU JA, HLATSHWAYO JA &amp; MAKONI JA</w:t>
      </w:r>
    </w:p>
    <w:p w:rsidR="00D2101E" w:rsidRPr="00C643DF" w:rsidRDefault="00D2101E" w:rsidP="0072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>HARARE</w:t>
      </w:r>
      <w:r w:rsidR="00726D01" w:rsidRPr="00C643DF">
        <w:rPr>
          <w:rFonts w:ascii="Times New Roman" w:hAnsi="Times New Roman" w:cs="Times New Roman"/>
          <w:b/>
          <w:sz w:val="24"/>
          <w:szCs w:val="24"/>
        </w:rPr>
        <w:t>,</w:t>
      </w:r>
      <w:r w:rsidRPr="00C64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668" w:rsidRPr="00C643DF">
        <w:rPr>
          <w:rFonts w:ascii="Times New Roman" w:hAnsi="Times New Roman" w:cs="Times New Roman"/>
          <w:b/>
          <w:sz w:val="24"/>
          <w:szCs w:val="24"/>
        </w:rPr>
        <w:t>SEPTEMBER</w:t>
      </w:r>
      <w:r w:rsidRPr="00C64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D01" w:rsidRPr="00C643DF">
        <w:rPr>
          <w:rFonts w:ascii="Times New Roman" w:hAnsi="Times New Roman" w:cs="Times New Roman"/>
          <w:b/>
          <w:sz w:val="24"/>
          <w:szCs w:val="24"/>
        </w:rPr>
        <w:t xml:space="preserve">26, </w:t>
      </w:r>
      <w:r w:rsidRPr="00C643DF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726D01" w:rsidRPr="00C643DF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1436DC" w:rsidRPr="00C643DF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D35668" w:rsidRPr="00C643DF">
        <w:rPr>
          <w:rFonts w:ascii="Times New Roman" w:hAnsi="Times New Roman" w:cs="Times New Roman"/>
          <w:b/>
          <w:sz w:val="24"/>
          <w:szCs w:val="24"/>
        </w:rPr>
        <w:t>FEBRUARY</w:t>
      </w:r>
      <w:r w:rsidR="00990DB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D2101E" w:rsidRPr="00C643DF" w:rsidRDefault="00D2101E" w:rsidP="0019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D01" w:rsidRPr="00C643DF" w:rsidRDefault="00726D01" w:rsidP="0019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01E" w:rsidRPr="00C643DF" w:rsidRDefault="001909E6" w:rsidP="005764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i/>
          <w:sz w:val="24"/>
          <w:szCs w:val="24"/>
        </w:rPr>
        <w:t>E.T.</w:t>
      </w:r>
      <w:r w:rsidR="00D2101E" w:rsidRPr="00C643DF">
        <w:rPr>
          <w:rFonts w:ascii="Times New Roman" w:hAnsi="Times New Roman" w:cs="Times New Roman"/>
          <w:i/>
          <w:sz w:val="24"/>
          <w:szCs w:val="24"/>
        </w:rPr>
        <w:t xml:space="preserve"> Matinenga</w:t>
      </w:r>
      <w:r w:rsidR="00D2101E" w:rsidRPr="00C643DF">
        <w:rPr>
          <w:rFonts w:ascii="Times New Roman" w:hAnsi="Times New Roman" w:cs="Times New Roman"/>
          <w:sz w:val="24"/>
          <w:szCs w:val="24"/>
        </w:rPr>
        <w:t xml:space="preserve"> with </w:t>
      </w:r>
      <w:r w:rsidR="00D2101E" w:rsidRPr="00C643DF">
        <w:rPr>
          <w:rFonts w:ascii="Times New Roman" w:hAnsi="Times New Roman" w:cs="Times New Roman"/>
          <w:i/>
          <w:sz w:val="24"/>
          <w:szCs w:val="24"/>
        </w:rPr>
        <w:t>D</w:t>
      </w:r>
      <w:r w:rsidRPr="00C643DF">
        <w:rPr>
          <w:rFonts w:ascii="Times New Roman" w:hAnsi="Times New Roman" w:cs="Times New Roman"/>
          <w:i/>
          <w:sz w:val="24"/>
          <w:szCs w:val="24"/>
        </w:rPr>
        <w:t>.</w:t>
      </w:r>
      <w:r w:rsidR="00D2101E" w:rsidRPr="00C643DF">
        <w:rPr>
          <w:rFonts w:ascii="Times New Roman" w:hAnsi="Times New Roman" w:cs="Times New Roman"/>
          <w:i/>
          <w:sz w:val="24"/>
          <w:szCs w:val="24"/>
        </w:rPr>
        <w:t xml:space="preserve"> Ochieng</w:t>
      </w:r>
      <w:r w:rsidR="00D2101E" w:rsidRPr="00C643DF">
        <w:rPr>
          <w:rFonts w:ascii="Times New Roman" w:hAnsi="Times New Roman" w:cs="Times New Roman"/>
          <w:sz w:val="24"/>
          <w:szCs w:val="24"/>
        </w:rPr>
        <w:t xml:space="preserve"> for the appellants</w:t>
      </w:r>
    </w:p>
    <w:p w:rsidR="00D2101E" w:rsidRPr="00C643DF" w:rsidRDefault="00D2101E" w:rsidP="005764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i/>
          <w:sz w:val="24"/>
          <w:szCs w:val="24"/>
        </w:rPr>
        <w:t>L</w:t>
      </w:r>
      <w:r w:rsidR="001909E6" w:rsidRPr="00C643DF">
        <w:rPr>
          <w:rFonts w:ascii="Times New Roman" w:hAnsi="Times New Roman" w:cs="Times New Roman"/>
          <w:i/>
          <w:sz w:val="24"/>
          <w:szCs w:val="24"/>
        </w:rPr>
        <w:t>.</w:t>
      </w:r>
      <w:r w:rsidRPr="00C643DF">
        <w:rPr>
          <w:rFonts w:ascii="Times New Roman" w:hAnsi="Times New Roman" w:cs="Times New Roman"/>
          <w:i/>
          <w:sz w:val="24"/>
          <w:szCs w:val="24"/>
        </w:rPr>
        <w:t xml:space="preserve"> Uriri</w:t>
      </w:r>
      <w:r w:rsidR="003A69F9" w:rsidRPr="00C643DF">
        <w:rPr>
          <w:rFonts w:ascii="Times New Roman" w:hAnsi="Times New Roman" w:cs="Times New Roman"/>
          <w:sz w:val="24"/>
          <w:szCs w:val="24"/>
        </w:rPr>
        <w:t xml:space="preserve"> for the respondent</w:t>
      </w:r>
    </w:p>
    <w:p w:rsidR="00D2101E" w:rsidRPr="00C643DF" w:rsidRDefault="00D2101E" w:rsidP="0019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137" w:rsidRPr="00C643DF" w:rsidRDefault="007D7137" w:rsidP="0019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9C5" w:rsidRPr="00C643DF" w:rsidRDefault="0079243B" w:rsidP="005B1194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>MAKARAU</w:t>
      </w:r>
      <w:r w:rsidR="00D2101E" w:rsidRPr="00C643DF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="005B1194" w:rsidRPr="00C643DF">
        <w:rPr>
          <w:rFonts w:ascii="Times New Roman" w:hAnsi="Times New Roman" w:cs="Times New Roman"/>
          <w:sz w:val="24"/>
          <w:szCs w:val="24"/>
        </w:rPr>
        <w:tab/>
      </w:r>
      <w:r w:rsidR="005B1194" w:rsidRPr="00C643DF">
        <w:rPr>
          <w:rFonts w:ascii="Times New Roman" w:hAnsi="Times New Roman" w:cs="Times New Roman"/>
          <w:sz w:val="24"/>
          <w:szCs w:val="24"/>
        </w:rPr>
        <w:tab/>
      </w:r>
      <w:r w:rsidR="0018314C" w:rsidRPr="00C643DF">
        <w:rPr>
          <w:rFonts w:ascii="Times New Roman" w:hAnsi="Times New Roman" w:cs="Times New Roman"/>
          <w:sz w:val="24"/>
          <w:szCs w:val="24"/>
        </w:rPr>
        <w:t>This is an appeal against the w</w:t>
      </w:r>
      <w:r w:rsidR="000E134C" w:rsidRPr="00C643DF">
        <w:rPr>
          <w:rFonts w:ascii="Times New Roman" w:hAnsi="Times New Roman" w:cs="Times New Roman"/>
          <w:sz w:val="24"/>
          <w:szCs w:val="24"/>
        </w:rPr>
        <w:t>hole judgment of the High court</w:t>
      </w:r>
      <w:r w:rsidR="0018314C" w:rsidRPr="00C643DF">
        <w:rPr>
          <w:rFonts w:ascii="Times New Roman" w:hAnsi="Times New Roman" w:cs="Times New Roman"/>
          <w:sz w:val="24"/>
          <w:szCs w:val="24"/>
        </w:rPr>
        <w:t xml:space="preserve"> handed down on 15 June 2016, </w:t>
      </w:r>
      <w:r w:rsidR="00482545" w:rsidRPr="00C643DF">
        <w:rPr>
          <w:rFonts w:ascii="Times New Roman" w:hAnsi="Times New Roman" w:cs="Times New Roman"/>
          <w:sz w:val="24"/>
          <w:szCs w:val="24"/>
        </w:rPr>
        <w:t xml:space="preserve">granting a </w:t>
      </w:r>
      <w:r w:rsidR="00C8581C" w:rsidRPr="00C643DF">
        <w:rPr>
          <w:rFonts w:ascii="Times New Roman" w:hAnsi="Times New Roman" w:cs="Times New Roman"/>
          <w:sz w:val="24"/>
          <w:szCs w:val="24"/>
        </w:rPr>
        <w:t>declaratory order in fav</w:t>
      </w:r>
      <w:r w:rsidR="002D7F64" w:rsidRPr="00C643DF">
        <w:rPr>
          <w:rFonts w:ascii="Times New Roman" w:hAnsi="Times New Roman" w:cs="Times New Roman"/>
          <w:sz w:val="24"/>
          <w:szCs w:val="24"/>
        </w:rPr>
        <w:t xml:space="preserve">our of the respondent. The judgment </w:t>
      </w:r>
      <w:r w:rsidR="007E00D3" w:rsidRPr="00C643DF">
        <w:rPr>
          <w:rFonts w:ascii="Times New Roman" w:hAnsi="Times New Roman" w:cs="Times New Roman"/>
          <w:sz w:val="24"/>
          <w:szCs w:val="24"/>
        </w:rPr>
        <w:t>declared</w:t>
      </w:r>
      <w:r w:rsidR="007170DD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C8581C" w:rsidRPr="00C643DF">
        <w:rPr>
          <w:rFonts w:ascii="Times New Roman" w:hAnsi="Times New Roman" w:cs="Times New Roman"/>
          <w:sz w:val="24"/>
          <w:szCs w:val="24"/>
        </w:rPr>
        <w:t xml:space="preserve">binding and enforceable certain agreements concluded between the respondent and Interfin Bank </w:t>
      </w:r>
      <w:r w:rsidR="0053644F" w:rsidRPr="00C643DF">
        <w:rPr>
          <w:rFonts w:ascii="Times New Roman" w:hAnsi="Times New Roman" w:cs="Times New Roman"/>
          <w:sz w:val="24"/>
          <w:szCs w:val="24"/>
        </w:rPr>
        <w:t xml:space="preserve">Limited </w:t>
      </w:r>
      <w:r w:rsidR="00C8581C" w:rsidRPr="00C643DF">
        <w:rPr>
          <w:rFonts w:ascii="Times New Roman" w:hAnsi="Times New Roman" w:cs="Times New Roman"/>
          <w:sz w:val="24"/>
          <w:szCs w:val="24"/>
        </w:rPr>
        <w:t xml:space="preserve">and further compelled </w:t>
      </w:r>
      <w:r w:rsidR="000E134C" w:rsidRPr="00C643DF">
        <w:rPr>
          <w:rFonts w:ascii="Times New Roman" w:hAnsi="Times New Roman" w:cs="Times New Roman"/>
          <w:sz w:val="24"/>
          <w:szCs w:val="24"/>
        </w:rPr>
        <w:t>the first and second appellants</w:t>
      </w:r>
      <w:r w:rsidR="00C8581C" w:rsidRPr="00C643DF">
        <w:rPr>
          <w:rFonts w:ascii="Times New Roman" w:hAnsi="Times New Roman" w:cs="Times New Roman"/>
          <w:sz w:val="24"/>
          <w:szCs w:val="24"/>
        </w:rPr>
        <w:t xml:space="preserve"> to honour the terms of the agreements.</w:t>
      </w:r>
    </w:p>
    <w:p w:rsidR="005B1194" w:rsidRPr="00C643DF" w:rsidRDefault="005B1194" w:rsidP="005B1194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E49C5" w:rsidRPr="00C643DF" w:rsidRDefault="003A69F9" w:rsidP="001909E6">
      <w:pPr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b/>
          <w:sz w:val="24"/>
          <w:szCs w:val="24"/>
        </w:rPr>
        <w:t>BACKGROUND FACTS</w:t>
      </w:r>
    </w:p>
    <w:p w:rsidR="007813A1" w:rsidRPr="00C643DF" w:rsidRDefault="004E49C5" w:rsidP="00D4731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</w:t>
      </w:r>
      <w:r w:rsidR="002D7EE8" w:rsidRPr="00C643DF">
        <w:rPr>
          <w:rFonts w:ascii="Times New Roman" w:hAnsi="Times New Roman" w:cs="Times New Roman"/>
          <w:sz w:val="24"/>
          <w:szCs w:val="24"/>
        </w:rPr>
        <w:t>e respondent purchased certain bankers a</w:t>
      </w:r>
      <w:r w:rsidRPr="00C643DF">
        <w:rPr>
          <w:rFonts w:ascii="Times New Roman" w:hAnsi="Times New Roman" w:cs="Times New Roman"/>
          <w:sz w:val="24"/>
          <w:szCs w:val="24"/>
        </w:rPr>
        <w:t>cceptances from Interfin Bank</w:t>
      </w:r>
      <w:r w:rsidR="00B70122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953C8F" w:rsidRPr="00C643DF">
        <w:rPr>
          <w:rFonts w:ascii="Times New Roman" w:hAnsi="Times New Roman" w:cs="Times New Roman"/>
          <w:sz w:val="24"/>
          <w:szCs w:val="24"/>
        </w:rPr>
        <w:t xml:space="preserve">Limited </w:t>
      </w:r>
      <w:r w:rsidR="00562FC6" w:rsidRPr="00C643DF">
        <w:rPr>
          <w:rFonts w:ascii="Times New Roman" w:hAnsi="Times New Roman" w:cs="Times New Roman"/>
          <w:sz w:val="24"/>
          <w:szCs w:val="24"/>
        </w:rPr>
        <w:t>(</w:t>
      </w:r>
      <w:r w:rsidR="00D116EE" w:rsidRPr="00C643DF">
        <w:rPr>
          <w:rFonts w:ascii="Times New Roman" w:hAnsi="Times New Roman" w:cs="Times New Roman"/>
          <w:sz w:val="24"/>
          <w:szCs w:val="24"/>
        </w:rPr>
        <w:t>“the</w:t>
      </w:r>
      <w:r w:rsidR="00562FC6" w:rsidRPr="00C643DF">
        <w:rPr>
          <w:rFonts w:ascii="Times New Roman" w:hAnsi="Times New Roman" w:cs="Times New Roman"/>
          <w:sz w:val="24"/>
          <w:szCs w:val="24"/>
        </w:rPr>
        <w:t xml:space="preserve"> Bank”), </w:t>
      </w:r>
      <w:r w:rsidR="00B70122" w:rsidRPr="00C643DF">
        <w:rPr>
          <w:rFonts w:ascii="Times New Roman" w:hAnsi="Times New Roman" w:cs="Times New Roman"/>
          <w:sz w:val="24"/>
          <w:szCs w:val="24"/>
        </w:rPr>
        <w:t xml:space="preserve">on a buy back basis. </w:t>
      </w:r>
      <w:r w:rsidR="004B2D49" w:rsidRPr="00C643DF">
        <w:rPr>
          <w:rFonts w:ascii="Times New Roman" w:hAnsi="Times New Roman" w:cs="Times New Roman"/>
          <w:sz w:val="24"/>
          <w:szCs w:val="24"/>
        </w:rPr>
        <w:t xml:space="preserve">This was between 2011 </w:t>
      </w:r>
      <w:r w:rsidR="00E44FC6" w:rsidRPr="00C643DF">
        <w:rPr>
          <w:rFonts w:ascii="Times New Roman" w:hAnsi="Times New Roman" w:cs="Times New Roman"/>
          <w:sz w:val="24"/>
          <w:szCs w:val="24"/>
        </w:rPr>
        <w:t>and 2012.</w:t>
      </w:r>
      <w:r w:rsidR="00B70122" w:rsidRPr="00C643DF">
        <w:rPr>
          <w:rFonts w:ascii="Times New Roman" w:hAnsi="Times New Roman" w:cs="Times New Roman"/>
          <w:sz w:val="24"/>
          <w:szCs w:val="24"/>
        </w:rPr>
        <w:t xml:space="preserve"> As security for the paym</w:t>
      </w:r>
      <w:r w:rsidR="00E44FC6" w:rsidRPr="00C643DF">
        <w:rPr>
          <w:rFonts w:ascii="Times New Roman" w:hAnsi="Times New Roman" w:cs="Times New Roman"/>
          <w:sz w:val="24"/>
          <w:szCs w:val="24"/>
        </w:rPr>
        <w:t xml:space="preserve">ent of the </w:t>
      </w:r>
      <w:r w:rsidR="00B70122" w:rsidRPr="00C643DF">
        <w:rPr>
          <w:rFonts w:ascii="Times New Roman" w:hAnsi="Times New Roman" w:cs="Times New Roman"/>
          <w:sz w:val="24"/>
          <w:szCs w:val="24"/>
        </w:rPr>
        <w:t>purchase pric</w:t>
      </w:r>
      <w:r w:rsidR="007C64BF" w:rsidRPr="00C643DF">
        <w:rPr>
          <w:rFonts w:ascii="Times New Roman" w:hAnsi="Times New Roman" w:cs="Times New Roman"/>
          <w:sz w:val="24"/>
          <w:szCs w:val="24"/>
        </w:rPr>
        <w:t>e upon the maturity of the b</w:t>
      </w:r>
      <w:r w:rsidR="00E44FC6" w:rsidRPr="00C643DF">
        <w:rPr>
          <w:rFonts w:ascii="Times New Roman" w:hAnsi="Times New Roman" w:cs="Times New Roman"/>
          <w:sz w:val="24"/>
          <w:szCs w:val="24"/>
        </w:rPr>
        <w:t>ankers</w:t>
      </w:r>
      <w:r w:rsidR="007C64BF" w:rsidRPr="00C643DF">
        <w:rPr>
          <w:rFonts w:ascii="Times New Roman" w:hAnsi="Times New Roman" w:cs="Times New Roman"/>
          <w:sz w:val="24"/>
          <w:szCs w:val="24"/>
        </w:rPr>
        <w:t>’</w:t>
      </w:r>
      <w:r w:rsidR="00E44FC6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7C64BF" w:rsidRPr="00C643DF">
        <w:rPr>
          <w:rFonts w:ascii="Times New Roman" w:hAnsi="Times New Roman" w:cs="Times New Roman"/>
          <w:sz w:val="24"/>
          <w:szCs w:val="24"/>
        </w:rPr>
        <w:t>a</w:t>
      </w:r>
      <w:r w:rsidR="00E44FC6" w:rsidRPr="00C643DF">
        <w:rPr>
          <w:rFonts w:ascii="Times New Roman" w:hAnsi="Times New Roman" w:cs="Times New Roman"/>
          <w:sz w:val="24"/>
          <w:szCs w:val="24"/>
        </w:rPr>
        <w:t xml:space="preserve">cceptances, </w:t>
      </w:r>
      <w:r w:rsidR="00B70122" w:rsidRPr="00C643DF">
        <w:rPr>
          <w:rFonts w:ascii="Times New Roman" w:hAnsi="Times New Roman" w:cs="Times New Roman"/>
          <w:sz w:val="24"/>
          <w:szCs w:val="24"/>
        </w:rPr>
        <w:t>the Bank ceded</w:t>
      </w:r>
      <w:r w:rsidR="00E44FC6" w:rsidRPr="00C643DF">
        <w:rPr>
          <w:rFonts w:ascii="Times New Roman" w:hAnsi="Times New Roman" w:cs="Times New Roman"/>
          <w:sz w:val="24"/>
          <w:szCs w:val="24"/>
        </w:rPr>
        <w:t xml:space="preserve"> to the respondent </w:t>
      </w:r>
      <w:r w:rsidR="00B70122" w:rsidRPr="00C643DF">
        <w:rPr>
          <w:rFonts w:ascii="Times New Roman" w:hAnsi="Times New Roman" w:cs="Times New Roman"/>
          <w:sz w:val="24"/>
          <w:szCs w:val="24"/>
        </w:rPr>
        <w:t>various agreements that it had with the drawers and issuers of the bank</w:t>
      </w:r>
      <w:r w:rsidR="00562FC6" w:rsidRPr="00C643DF">
        <w:rPr>
          <w:rFonts w:ascii="Times New Roman" w:hAnsi="Times New Roman" w:cs="Times New Roman"/>
          <w:sz w:val="24"/>
          <w:szCs w:val="24"/>
        </w:rPr>
        <w:t>ers</w:t>
      </w:r>
      <w:r w:rsidR="007E00D3" w:rsidRPr="00C643DF">
        <w:rPr>
          <w:rFonts w:ascii="Times New Roman" w:hAnsi="Times New Roman" w:cs="Times New Roman"/>
          <w:sz w:val="24"/>
          <w:szCs w:val="24"/>
        </w:rPr>
        <w:t>’</w:t>
      </w:r>
      <w:r w:rsidR="00B70122" w:rsidRPr="00C643DF">
        <w:rPr>
          <w:rFonts w:ascii="Times New Roman" w:hAnsi="Times New Roman" w:cs="Times New Roman"/>
          <w:sz w:val="24"/>
          <w:szCs w:val="24"/>
        </w:rPr>
        <w:t xml:space="preserve"> acceptance</w:t>
      </w:r>
      <w:r w:rsidR="00E44FC6" w:rsidRPr="00C643DF">
        <w:rPr>
          <w:rFonts w:ascii="Times New Roman" w:hAnsi="Times New Roman" w:cs="Times New Roman"/>
          <w:sz w:val="24"/>
          <w:szCs w:val="24"/>
        </w:rPr>
        <w:t xml:space="preserve">s. </w:t>
      </w:r>
      <w:r w:rsidR="00183349" w:rsidRPr="00C643DF">
        <w:rPr>
          <w:rFonts w:ascii="Times New Roman" w:hAnsi="Times New Roman" w:cs="Times New Roman"/>
          <w:sz w:val="24"/>
          <w:szCs w:val="24"/>
        </w:rPr>
        <w:t xml:space="preserve">In addition, the parties concluded two agreements in April 2012, styled Security </w:t>
      </w:r>
      <w:r w:rsidR="00183349" w:rsidRPr="00C643DF">
        <w:rPr>
          <w:rFonts w:ascii="Times New Roman" w:hAnsi="Times New Roman" w:cs="Times New Roman"/>
          <w:sz w:val="24"/>
          <w:szCs w:val="24"/>
        </w:rPr>
        <w:lastRenderedPageBreak/>
        <w:t>Assignment Agreement and Security Trust Deed respectively</w:t>
      </w:r>
      <w:r w:rsidR="003E609A" w:rsidRPr="00C643DF">
        <w:rPr>
          <w:rFonts w:ascii="Times New Roman" w:hAnsi="Times New Roman" w:cs="Times New Roman"/>
          <w:sz w:val="24"/>
          <w:szCs w:val="24"/>
        </w:rPr>
        <w:t xml:space="preserve"> detailing the terms of the </w:t>
      </w:r>
      <w:r w:rsidR="006F4EA6" w:rsidRPr="00C643DF">
        <w:rPr>
          <w:rFonts w:ascii="Times New Roman" w:hAnsi="Times New Roman" w:cs="Times New Roman"/>
          <w:sz w:val="24"/>
          <w:szCs w:val="24"/>
        </w:rPr>
        <w:t>transaction</w:t>
      </w:r>
      <w:r w:rsidR="00183349" w:rsidRPr="00C643DF">
        <w:rPr>
          <w:rFonts w:ascii="Times New Roman" w:hAnsi="Times New Roman" w:cs="Times New Roman"/>
          <w:sz w:val="24"/>
          <w:szCs w:val="24"/>
        </w:rPr>
        <w:t>.</w:t>
      </w:r>
      <w:r w:rsidR="00A87449" w:rsidRPr="00C6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194" w:rsidRPr="00C643DF" w:rsidRDefault="005B1194" w:rsidP="005B119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01E" w:rsidRPr="00C643DF" w:rsidRDefault="00E44FC6" w:rsidP="00D4731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In simple terms, the respondent made available to th</w:t>
      </w:r>
      <w:r w:rsidR="00520AE8" w:rsidRPr="00C643DF">
        <w:rPr>
          <w:rFonts w:ascii="Times New Roman" w:hAnsi="Times New Roman" w:cs="Times New Roman"/>
          <w:sz w:val="24"/>
          <w:szCs w:val="24"/>
        </w:rPr>
        <w:t>e Bank a certain sum of money (whose amount is not disclosed in any of the written agreements),</w:t>
      </w:r>
      <w:r w:rsidRPr="00C643DF">
        <w:rPr>
          <w:rFonts w:ascii="Times New Roman" w:hAnsi="Times New Roman" w:cs="Times New Roman"/>
          <w:sz w:val="24"/>
          <w:szCs w:val="24"/>
        </w:rPr>
        <w:t xml:space="preserve"> in exchange</w:t>
      </w:r>
      <w:r w:rsidR="00520AE8" w:rsidRPr="00C643DF">
        <w:rPr>
          <w:rFonts w:ascii="Times New Roman" w:hAnsi="Times New Roman" w:cs="Times New Roman"/>
          <w:sz w:val="24"/>
          <w:szCs w:val="24"/>
        </w:rPr>
        <w:t xml:space="preserve"> for the Bank’s debt</w:t>
      </w:r>
      <w:r w:rsidR="00D116EE" w:rsidRPr="00C643DF">
        <w:rPr>
          <w:rFonts w:ascii="Times New Roman" w:hAnsi="Times New Roman" w:cs="Times New Roman"/>
          <w:sz w:val="24"/>
          <w:szCs w:val="24"/>
        </w:rPr>
        <w:t>s</w:t>
      </w:r>
      <w:r w:rsidR="00520AE8" w:rsidRPr="00C643DF">
        <w:rPr>
          <w:rFonts w:ascii="Times New Roman" w:hAnsi="Times New Roman" w:cs="Times New Roman"/>
          <w:sz w:val="24"/>
          <w:szCs w:val="24"/>
        </w:rPr>
        <w:t>. As</w:t>
      </w:r>
      <w:r w:rsidRPr="00C643DF">
        <w:rPr>
          <w:rFonts w:ascii="Times New Roman" w:hAnsi="Times New Roman" w:cs="Times New Roman"/>
          <w:sz w:val="24"/>
          <w:szCs w:val="24"/>
        </w:rPr>
        <w:t xml:space="preserve"> securi</w:t>
      </w:r>
      <w:r w:rsidR="000D76F9" w:rsidRPr="00C643DF">
        <w:rPr>
          <w:rFonts w:ascii="Times New Roman" w:hAnsi="Times New Roman" w:cs="Times New Roman"/>
          <w:sz w:val="24"/>
          <w:szCs w:val="24"/>
        </w:rPr>
        <w:t>ty that the respondent would recover</w:t>
      </w:r>
      <w:r w:rsidRPr="00C643DF">
        <w:rPr>
          <w:rFonts w:ascii="Times New Roman" w:hAnsi="Times New Roman" w:cs="Times New Roman"/>
          <w:sz w:val="24"/>
          <w:szCs w:val="24"/>
        </w:rPr>
        <w:t xml:space="preserve"> p</w:t>
      </w:r>
      <w:r w:rsidR="006C079A" w:rsidRPr="00C643DF">
        <w:rPr>
          <w:rFonts w:ascii="Times New Roman" w:hAnsi="Times New Roman" w:cs="Times New Roman"/>
          <w:sz w:val="24"/>
          <w:szCs w:val="24"/>
        </w:rPr>
        <w:t>art or the whole of its</w:t>
      </w:r>
      <w:r w:rsidR="000D76F9" w:rsidRPr="00C643DF">
        <w:rPr>
          <w:rFonts w:ascii="Times New Roman" w:hAnsi="Times New Roman" w:cs="Times New Roman"/>
          <w:sz w:val="24"/>
          <w:szCs w:val="24"/>
        </w:rPr>
        <w:t xml:space="preserve"> outlay</w:t>
      </w:r>
      <w:r w:rsidRPr="00C643DF">
        <w:rPr>
          <w:rFonts w:ascii="Times New Roman" w:hAnsi="Times New Roman" w:cs="Times New Roman"/>
          <w:sz w:val="24"/>
          <w:szCs w:val="24"/>
        </w:rPr>
        <w:t xml:space="preserve">, </w:t>
      </w:r>
      <w:r w:rsidR="002548B7" w:rsidRPr="00C643DF">
        <w:rPr>
          <w:rFonts w:ascii="Times New Roman" w:hAnsi="Times New Roman" w:cs="Times New Roman"/>
          <w:sz w:val="24"/>
          <w:szCs w:val="24"/>
        </w:rPr>
        <w:t xml:space="preserve">the Bank ceded to </w:t>
      </w:r>
      <w:r w:rsidR="00531F70" w:rsidRPr="00C643DF">
        <w:rPr>
          <w:rFonts w:ascii="Times New Roman" w:hAnsi="Times New Roman" w:cs="Times New Roman"/>
          <w:sz w:val="24"/>
          <w:szCs w:val="24"/>
        </w:rPr>
        <w:t>it</w:t>
      </w:r>
      <w:r w:rsidR="002548B7" w:rsidRPr="00C643DF">
        <w:rPr>
          <w:rFonts w:ascii="Times New Roman" w:hAnsi="Times New Roman" w:cs="Times New Roman"/>
          <w:sz w:val="24"/>
          <w:szCs w:val="24"/>
        </w:rPr>
        <w:t xml:space="preserve"> the </w:t>
      </w:r>
      <w:r w:rsidR="0084350D" w:rsidRPr="00C643DF">
        <w:rPr>
          <w:rFonts w:ascii="Times New Roman" w:hAnsi="Times New Roman" w:cs="Times New Roman"/>
          <w:sz w:val="24"/>
          <w:szCs w:val="24"/>
        </w:rPr>
        <w:t xml:space="preserve">agreements and </w:t>
      </w:r>
      <w:r w:rsidR="006C079A" w:rsidRPr="00C643DF">
        <w:rPr>
          <w:rFonts w:ascii="Times New Roman" w:hAnsi="Times New Roman" w:cs="Times New Roman"/>
          <w:sz w:val="24"/>
          <w:szCs w:val="24"/>
        </w:rPr>
        <w:t>rights that the Bank</w:t>
      </w:r>
      <w:r w:rsidR="002548B7" w:rsidRPr="00C643DF">
        <w:rPr>
          <w:rFonts w:ascii="Times New Roman" w:hAnsi="Times New Roman" w:cs="Times New Roman"/>
          <w:sz w:val="24"/>
          <w:szCs w:val="24"/>
        </w:rPr>
        <w:t xml:space="preserve"> had against the debtors</w:t>
      </w:r>
      <w:r w:rsidR="006A1403" w:rsidRPr="00C643DF">
        <w:rPr>
          <w:rFonts w:ascii="Times New Roman" w:hAnsi="Times New Roman" w:cs="Times New Roman"/>
          <w:sz w:val="24"/>
          <w:szCs w:val="24"/>
        </w:rPr>
        <w:t xml:space="preserve"> and the debts due therefrom</w:t>
      </w:r>
      <w:r w:rsidR="002548B7" w:rsidRPr="00C643DF">
        <w:rPr>
          <w:rFonts w:ascii="Times New Roman" w:hAnsi="Times New Roman" w:cs="Times New Roman"/>
          <w:sz w:val="24"/>
          <w:szCs w:val="24"/>
        </w:rPr>
        <w:t>.</w:t>
      </w:r>
      <w:r w:rsidR="0084350D" w:rsidRPr="00C643DF">
        <w:rPr>
          <w:rFonts w:ascii="Times New Roman" w:hAnsi="Times New Roman" w:cs="Times New Roman"/>
          <w:sz w:val="24"/>
          <w:szCs w:val="24"/>
        </w:rPr>
        <w:t xml:space="preserve"> Thus, it was </w:t>
      </w:r>
      <w:r w:rsidRPr="00C643DF">
        <w:rPr>
          <w:rFonts w:ascii="Times New Roman" w:hAnsi="Times New Roman" w:cs="Times New Roman"/>
          <w:sz w:val="24"/>
          <w:szCs w:val="24"/>
        </w:rPr>
        <w:t>specific</w:t>
      </w:r>
      <w:r w:rsidR="0084350D" w:rsidRPr="00C643DF">
        <w:rPr>
          <w:rFonts w:ascii="Times New Roman" w:hAnsi="Times New Roman" w:cs="Times New Roman"/>
          <w:sz w:val="24"/>
          <w:szCs w:val="24"/>
        </w:rPr>
        <w:t>ally agreed between</w:t>
      </w:r>
      <w:r w:rsidR="00FE5793" w:rsidRPr="00C643DF">
        <w:rPr>
          <w:rFonts w:ascii="Times New Roman" w:hAnsi="Times New Roman" w:cs="Times New Roman"/>
          <w:sz w:val="24"/>
          <w:szCs w:val="24"/>
        </w:rPr>
        <w:t xml:space="preserve"> the parties</w:t>
      </w:r>
      <w:r w:rsidR="007813A1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Pr="00C643DF">
        <w:rPr>
          <w:rFonts w:ascii="Times New Roman" w:hAnsi="Times New Roman" w:cs="Times New Roman"/>
          <w:sz w:val="24"/>
          <w:szCs w:val="24"/>
        </w:rPr>
        <w:t>that</w:t>
      </w:r>
      <w:r w:rsidR="00511230" w:rsidRPr="00C643DF">
        <w:rPr>
          <w:rFonts w:ascii="Times New Roman" w:hAnsi="Times New Roman" w:cs="Times New Roman"/>
          <w:sz w:val="24"/>
          <w:szCs w:val="24"/>
        </w:rPr>
        <w:t>:</w:t>
      </w:r>
    </w:p>
    <w:p w:rsidR="00511230" w:rsidRPr="00C643DF" w:rsidRDefault="00511230" w:rsidP="00D47313">
      <w:pPr>
        <w:pStyle w:val="ListParagraph"/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The security and contracts assigned to the respondent would be reassigned to the Bank upon repayment of all amounts due to the respondent;</w:t>
      </w:r>
    </w:p>
    <w:p w:rsidR="00511230" w:rsidRPr="00C643DF" w:rsidRDefault="00511230" w:rsidP="00D47313">
      <w:pPr>
        <w:pStyle w:val="ListParagraph"/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The Bank would provide the respondent with any information or documents concerning the security held in respect of the advance;</w:t>
      </w:r>
    </w:p>
    <w:p w:rsidR="00511230" w:rsidRPr="00C643DF" w:rsidRDefault="00511230" w:rsidP="00D47313">
      <w:pPr>
        <w:pStyle w:val="ListParagraph"/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The Bank would promptly commence legal proceedings ag</w:t>
      </w:r>
      <w:r w:rsidR="009B512D" w:rsidRPr="00C643DF">
        <w:rPr>
          <w:rFonts w:ascii="Times New Roman" w:hAnsi="Times New Roman" w:cs="Times New Roman"/>
          <w:sz w:val="24"/>
          <w:szCs w:val="24"/>
        </w:rPr>
        <w:t>ainst any issuer of the banker</w:t>
      </w:r>
      <w:r w:rsidRPr="00C643DF">
        <w:rPr>
          <w:rFonts w:ascii="Times New Roman" w:hAnsi="Times New Roman" w:cs="Times New Roman"/>
          <w:sz w:val="24"/>
          <w:szCs w:val="24"/>
        </w:rPr>
        <w:t>s</w:t>
      </w:r>
      <w:r w:rsidR="009B512D" w:rsidRPr="00C643DF">
        <w:rPr>
          <w:rFonts w:ascii="Times New Roman" w:hAnsi="Times New Roman" w:cs="Times New Roman"/>
          <w:sz w:val="24"/>
          <w:szCs w:val="24"/>
        </w:rPr>
        <w:t>’</w:t>
      </w:r>
      <w:r w:rsidRPr="00C643DF">
        <w:rPr>
          <w:rFonts w:ascii="Times New Roman" w:hAnsi="Times New Roman" w:cs="Times New Roman"/>
          <w:sz w:val="24"/>
          <w:szCs w:val="24"/>
        </w:rPr>
        <w:t xml:space="preserve"> acceptances or assigned contracts who defaulted thereof; and</w:t>
      </w:r>
    </w:p>
    <w:p w:rsidR="00D47313" w:rsidRPr="00C643DF" w:rsidRDefault="00511230" w:rsidP="009905CD">
      <w:pPr>
        <w:pStyle w:val="ListParagraph"/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The Bank would, at the request of the respondent, provide all reasonable administrative and operational support in connection with the enforcement of any judgment or award given against a party to an assigned contract.</w:t>
      </w:r>
    </w:p>
    <w:p w:rsidR="00351E16" w:rsidRPr="00C643DF" w:rsidRDefault="00351E16" w:rsidP="00351E16">
      <w:pPr>
        <w:pStyle w:val="ListParagraph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053103" w:rsidRPr="00C643DF" w:rsidRDefault="00490469" w:rsidP="00D4731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On 11 June 2012, the Bank was placed under curatorship</w:t>
      </w:r>
      <w:r w:rsidR="001F1170" w:rsidRPr="00C643DF">
        <w:rPr>
          <w:rFonts w:ascii="Times New Roman" w:hAnsi="Times New Roman" w:cs="Times New Roman"/>
          <w:sz w:val="24"/>
          <w:szCs w:val="24"/>
        </w:rPr>
        <w:t xml:space="preserve"> by the Reserve Bank</w:t>
      </w:r>
      <w:r w:rsidR="0040081E" w:rsidRPr="00C643DF">
        <w:rPr>
          <w:rFonts w:ascii="Times New Roman" w:hAnsi="Times New Roman" w:cs="Times New Roman"/>
          <w:sz w:val="24"/>
          <w:szCs w:val="24"/>
        </w:rPr>
        <w:t xml:space="preserve"> in terms of s</w:t>
      </w:r>
      <w:r w:rsidR="00CC7A20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40081E" w:rsidRPr="00C643DF">
        <w:rPr>
          <w:rFonts w:ascii="Times New Roman" w:hAnsi="Times New Roman" w:cs="Times New Roman"/>
          <w:sz w:val="24"/>
          <w:szCs w:val="24"/>
        </w:rPr>
        <w:t>53 of the Banking Act [</w:t>
      </w:r>
      <w:r w:rsidR="0040081E" w:rsidRPr="00C643DF">
        <w:rPr>
          <w:rFonts w:ascii="Times New Roman" w:hAnsi="Times New Roman" w:cs="Times New Roman"/>
          <w:i/>
          <w:sz w:val="24"/>
          <w:szCs w:val="24"/>
        </w:rPr>
        <w:t>Chapter</w:t>
      </w:r>
      <w:r w:rsidR="00D47313" w:rsidRPr="00C643DF">
        <w:rPr>
          <w:rFonts w:ascii="Times New Roman" w:hAnsi="Times New Roman" w:cs="Times New Roman"/>
          <w:i/>
          <w:sz w:val="24"/>
          <w:szCs w:val="24"/>
        </w:rPr>
        <w:t> </w:t>
      </w:r>
      <w:r w:rsidR="0040081E" w:rsidRPr="00C643DF">
        <w:rPr>
          <w:rFonts w:ascii="Times New Roman" w:hAnsi="Times New Roman" w:cs="Times New Roman"/>
          <w:i/>
          <w:sz w:val="24"/>
          <w:szCs w:val="24"/>
        </w:rPr>
        <w:t>24.20</w:t>
      </w:r>
      <w:r w:rsidR="0040081E" w:rsidRPr="00C643DF">
        <w:rPr>
          <w:rFonts w:ascii="Times New Roman" w:hAnsi="Times New Roman" w:cs="Times New Roman"/>
          <w:sz w:val="24"/>
          <w:szCs w:val="24"/>
        </w:rPr>
        <w:t>]</w:t>
      </w:r>
      <w:r w:rsidRPr="00C643DF">
        <w:rPr>
          <w:rFonts w:ascii="Times New Roman" w:hAnsi="Times New Roman" w:cs="Times New Roman"/>
          <w:sz w:val="24"/>
          <w:szCs w:val="24"/>
        </w:rPr>
        <w:t>.</w:t>
      </w:r>
      <w:r w:rsidR="001F1170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40081E" w:rsidRPr="00C643DF">
        <w:rPr>
          <w:rFonts w:ascii="Times New Roman" w:hAnsi="Times New Roman" w:cs="Times New Roman"/>
          <w:sz w:val="24"/>
          <w:szCs w:val="24"/>
        </w:rPr>
        <w:t xml:space="preserve">This is the law that authorises and empowers the Reserve Bank to curate a bank which is </w:t>
      </w:r>
      <w:r w:rsidR="00A87449" w:rsidRPr="00C643DF">
        <w:rPr>
          <w:rFonts w:ascii="Times New Roman" w:hAnsi="Times New Roman" w:cs="Times New Roman"/>
          <w:sz w:val="24"/>
          <w:szCs w:val="24"/>
        </w:rPr>
        <w:t>in an un</w:t>
      </w:r>
      <w:r w:rsidR="0040081E" w:rsidRPr="00C643DF">
        <w:rPr>
          <w:rFonts w:ascii="Times New Roman" w:hAnsi="Times New Roman" w:cs="Times New Roman"/>
          <w:sz w:val="24"/>
          <w:szCs w:val="24"/>
        </w:rPr>
        <w:t>sound financial position and is</w:t>
      </w:r>
      <w:r w:rsidR="00A87449" w:rsidRPr="00C643DF">
        <w:rPr>
          <w:rFonts w:ascii="Times New Roman" w:hAnsi="Times New Roman" w:cs="Times New Roman"/>
          <w:sz w:val="24"/>
          <w:szCs w:val="24"/>
        </w:rPr>
        <w:t xml:space="preserve"> not operating in accordance with sound administrative and accounting practices</w:t>
      </w:r>
      <w:r w:rsidR="00053103" w:rsidRPr="00C643DF">
        <w:rPr>
          <w:rFonts w:ascii="Times New Roman" w:hAnsi="Times New Roman" w:cs="Times New Roman"/>
          <w:sz w:val="24"/>
          <w:szCs w:val="24"/>
        </w:rPr>
        <w:t xml:space="preserve"> or </w:t>
      </w:r>
      <w:r w:rsidR="0040081E" w:rsidRPr="00C643DF">
        <w:rPr>
          <w:rFonts w:ascii="Times New Roman" w:hAnsi="Times New Roman" w:cs="Times New Roman"/>
          <w:sz w:val="24"/>
          <w:szCs w:val="24"/>
        </w:rPr>
        <w:t xml:space="preserve">has failed to comply with </w:t>
      </w:r>
      <w:r w:rsidR="00053103" w:rsidRPr="00C643DF">
        <w:rPr>
          <w:rFonts w:ascii="Times New Roman" w:hAnsi="Times New Roman" w:cs="Times New Roman"/>
          <w:sz w:val="24"/>
          <w:szCs w:val="24"/>
        </w:rPr>
        <w:t xml:space="preserve">the </w:t>
      </w:r>
      <w:r w:rsidR="0040081E" w:rsidRPr="00C643DF">
        <w:rPr>
          <w:rFonts w:ascii="Times New Roman" w:hAnsi="Times New Roman" w:cs="Times New Roman"/>
          <w:sz w:val="24"/>
          <w:szCs w:val="24"/>
        </w:rPr>
        <w:t>minimum prescribed financial requirements.</w:t>
      </w:r>
      <w:r w:rsidR="00DF06F9" w:rsidRPr="00C6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03" w:rsidRPr="00C643DF" w:rsidRDefault="00053103" w:rsidP="00D4731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55E80" w:rsidRPr="00C643DF" w:rsidRDefault="00FA0E04" w:rsidP="00D4731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D55E80" w:rsidRPr="00C643DF">
        <w:rPr>
          <w:rFonts w:ascii="Times New Roman" w:hAnsi="Times New Roman" w:cs="Times New Roman"/>
          <w:sz w:val="24"/>
          <w:szCs w:val="24"/>
        </w:rPr>
        <w:t xml:space="preserve"> curator was </w:t>
      </w:r>
      <w:r w:rsidR="00053103" w:rsidRPr="00C643DF">
        <w:rPr>
          <w:rFonts w:ascii="Times New Roman" w:hAnsi="Times New Roman" w:cs="Times New Roman"/>
          <w:sz w:val="24"/>
          <w:szCs w:val="24"/>
        </w:rPr>
        <w:t xml:space="preserve">duly </w:t>
      </w:r>
      <w:r w:rsidR="00DF06F9" w:rsidRPr="00C643DF">
        <w:rPr>
          <w:rFonts w:ascii="Times New Roman" w:hAnsi="Times New Roman" w:cs="Times New Roman"/>
          <w:sz w:val="24"/>
          <w:szCs w:val="24"/>
        </w:rPr>
        <w:t>appointed</w:t>
      </w:r>
      <w:r w:rsidR="00053103" w:rsidRPr="00C643DF">
        <w:rPr>
          <w:rFonts w:ascii="Times New Roman" w:hAnsi="Times New Roman" w:cs="Times New Roman"/>
          <w:sz w:val="24"/>
          <w:szCs w:val="24"/>
        </w:rPr>
        <w:t>. T</w:t>
      </w:r>
      <w:r w:rsidR="00DF06F9" w:rsidRPr="00C643DF">
        <w:rPr>
          <w:rFonts w:ascii="Times New Roman" w:hAnsi="Times New Roman" w:cs="Times New Roman"/>
          <w:sz w:val="24"/>
          <w:szCs w:val="24"/>
        </w:rPr>
        <w:t xml:space="preserve">he </w:t>
      </w:r>
      <w:r w:rsidR="000E09B6" w:rsidRPr="00C643DF">
        <w:rPr>
          <w:rFonts w:ascii="Times New Roman" w:hAnsi="Times New Roman" w:cs="Times New Roman"/>
          <w:sz w:val="24"/>
          <w:szCs w:val="24"/>
        </w:rPr>
        <w:t xml:space="preserve">agreements that the Bank had concluded with the respondent </w:t>
      </w:r>
      <w:r w:rsidR="009140AF" w:rsidRPr="00C643DF">
        <w:rPr>
          <w:rFonts w:ascii="Times New Roman" w:hAnsi="Times New Roman" w:cs="Times New Roman"/>
          <w:sz w:val="24"/>
          <w:szCs w:val="24"/>
        </w:rPr>
        <w:t xml:space="preserve">in April 2012 </w:t>
      </w:r>
      <w:r w:rsidR="000E09B6" w:rsidRPr="00C643DF">
        <w:rPr>
          <w:rFonts w:ascii="Times New Roman" w:hAnsi="Times New Roman" w:cs="Times New Roman"/>
          <w:sz w:val="24"/>
          <w:szCs w:val="24"/>
        </w:rPr>
        <w:t>w</w:t>
      </w:r>
      <w:r w:rsidR="00DF06F9" w:rsidRPr="00C643DF">
        <w:rPr>
          <w:rFonts w:ascii="Times New Roman" w:hAnsi="Times New Roman" w:cs="Times New Roman"/>
          <w:sz w:val="24"/>
          <w:szCs w:val="24"/>
        </w:rPr>
        <w:t>ere broug</w:t>
      </w:r>
      <w:r w:rsidR="00053103" w:rsidRPr="00C643DF">
        <w:rPr>
          <w:rFonts w:ascii="Times New Roman" w:hAnsi="Times New Roman" w:cs="Times New Roman"/>
          <w:sz w:val="24"/>
          <w:szCs w:val="24"/>
        </w:rPr>
        <w:t>ht to his attention. He</w:t>
      </w:r>
      <w:r w:rsidR="00DF06F9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0E09B6" w:rsidRPr="00C643DF">
        <w:rPr>
          <w:rFonts w:ascii="Times New Roman" w:hAnsi="Times New Roman" w:cs="Times New Roman"/>
          <w:sz w:val="24"/>
          <w:szCs w:val="24"/>
        </w:rPr>
        <w:t xml:space="preserve">agreed </w:t>
      </w:r>
      <w:r w:rsidR="00DF06F9" w:rsidRPr="00C643DF">
        <w:rPr>
          <w:rFonts w:ascii="Times New Roman" w:hAnsi="Times New Roman" w:cs="Times New Roman"/>
          <w:sz w:val="24"/>
          <w:szCs w:val="24"/>
        </w:rPr>
        <w:t xml:space="preserve">to be bound by the terms of the </w:t>
      </w:r>
      <w:r w:rsidR="000E09B6" w:rsidRPr="00C643DF">
        <w:rPr>
          <w:rFonts w:ascii="Times New Roman" w:hAnsi="Times New Roman" w:cs="Times New Roman"/>
          <w:sz w:val="24"/>
          <w:szCs w:val="24"/>
        </w:rPr>
        <w:t>agreements</w:t>
      </w:r>
      <w:r w:rsidR="002D3710" w:rsidRPr="00C643DF">
        <w:rPr>
          <w:rFonts w:ascii="Times New Roman" w:hAnsi="Times New Roman" w:cs="Times New Roman"/>
          <w:sz w:val="24"/>
          <w:szCs w:val="24"/>
        </w:rPr>
        <w:t>. U</w:t>
      </w:r>
      <w:r w:rsidR="000E09B6" w:rsidRPr="00C643DF">
        <w:rPr>
          <w:rFonts w:ascii="Times New Roman" w:hAnsi="Times New Roman" w:cs="Times New Roman"/>
          <w:sz w:val="24"/>
          <w:szCs w:val="24"/>
        </w:rPr>
        <w:t xml:space="preserve">p </w:t>
      </w:r>
      <w:r w:rsidR="00F76EDA" w:rsidRPr="00C643DF">
        <w:rPr>
          <w:rFonts w:ascii="Times New Roman" w:hAnsi="Times New Roman" w:cs="Times New Roman"/>
          <w:sz w:val="24"/>
          <w:szCs w:val="24"/>
        </w:rPr>
        <w:t xml:space="preserve">to </w:t>
      </w:r>
      <w:r w:rsidR="00DF06F9" w:rsidRPr="00C643DF">
        <w:rPr>
          <w:rFonts w:ascii="Times New Roman" w:hAnsi="Times New Roman" w:cs="Times New Roman"/>
          <w:sz w:val="24"/>
          <w:szCs w:val="24"/>
        </w:rPr>
        <w:t>the time</w:t>
      </w:r>
      <w:r w:rsidR="00223AAF" w:rsidRPr="00C643DF">
        <w:rPr>
          <w:rFonts w:ascii="Times New Roman" w:hAnsi="Times New Roman" w:cs="Times New Roman"/>
          <w:sz w:val="24"/>
          <w:szCs w:val="24"/>
        </w:rPr>
        <w:t xml:space="preserve"> when his curatorship ended</w:t>
      </w:r>
      <w:r w:rsidR="00DF06F9" w:rsidRPr="00C643DF">
        <w:rPr>
          <w:rFonts w:ascii="Times New Roman" w:hAnsi="Times New Roman" w:cs="Times New Roman"/>
          <w:sz w:val="24"/>
          <w:szCs w:val="24"/>
        </w:rPr>
        <w:t xml:space="preserve"> in </w:t>
      </w:r>
      <w:r w:rsidR="00F76EDA" w:rsidRPr="00C643DF">
        <w:rPr>
          <w:rFonts w:ascii="Times New Roman" w:hAnsi="Times New Roman" w:cs="Times New Roman"/>
          <w:sz w:val="24"/>
          <w:szCs w:val="24"/>
        </w:rPr>
        <w:t>December 2014</w:t>
      </w:r>
      <w:r w:rsidR="009140AF" w:rsidRPr="00C643DF">
        <w:rPr>
          <w:rFonts w:ascii="Times New Roman" w:hAnsi="Times New Roman" w:cs="Times New Roman"/>
          <w:sz w:val="24"/>
          <w:szCs w:val="24"/>
        </w:rPr>
        <w:t>, the curator c</w:t>
      </w:r>
      <w:r w:rsidR="001909E6" w:rsidRPr="00C643DF">
        <w:rPr>
          <w:rFonts w:ascii="Times New Roman" w:hAnsi="Times New Roman" w:cs="Times New Roman"/>
          <w:sz w:val="24"/>
          <w:szCs w:val="24"/>
        </w:rPr>
        <w:t>ollect</w:t>
      </w:r>
      <w:r w:rsidR="009140AF" w:rsidRPr="00C643DF">
        <w:rPr>
          <w:rFonts w:ascii="Times New Roman" w:hAnsi="Times New Roman" w:cs="Times New Roman"/>
          <w:sz w:val="24"/>
          <w:szCs w:val="24"/>
        </w:rPr>
        <w:t xml:space="preserve">ed on some of the debts </w:t>
      </w:r>
      <w:r w:rsidR="001909E6" w:rsidRPr="00C643DF">
        <w:rPr>
          <w:rFonts w:ascii="Times New Roman" w:hAnsi="Times New Roman" w:cs="Times New Roman"/>
          <w:sz w:val="24"/>
          <w:szCs w:val="24"/>
        </w:rPr>
        <w:t>on behalf of the Bank and remitted these to the respondent in accordance with the terms of the two agreements.</w:t>
      </w:r>
    </w:p>
    <w:p w:rsidR="00053103" w:rsidRPr="00C643DF" w:rsidRDefault="00053103" w:rsidP="00D47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E0" w:rsidRPr="00C643DF" w:rsidRDefault="002A60E0" w:rsidP="00BF3EAB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In February 2015, the Bank was placed under final liquidation. The </w:t>
      </w:r>
      <w:r w:rsidR="00CC7A20" w:rsidRPr="00C643DF">
        <w:rPr>
          <w:rFonts w:ascii="Times New Roman" w:hAnsi="Times New Roman" w:cs="Times New Roman"/>
          <w:sz w:val="24"/>
          <w:szCs w:val="24"/>
        </w:rPr>
        <w:t>second</w:t>
      </w:r>
      <w:r w:rsidRPr="00C643DF">
        <w:rPr>
          <w:rFonts w:ascii="Times New Roman" w:hAnsi="Times New Roman" w:cs="Times New Roman"/>
          <w:sz w:val="24"/>
          <w:szCs w:val="24"/>
        </w:rPr>
        <w:t xml:space="preserve"> appellant was appointed as the </w:t>
      </w:r>
      <w:r w:rsidR="004A01DD" w:rsidRPr="00C643DF">
        <w:rPr>
          <w:rFonts w:ascii="Times New Roman" w:hAnsi="Times New Roman" w:cs="Times New Roman"/>
          <w:sz w:val="24"/>
          <w:szCs w:val="24"/>
        </w:rPr>
        <w:t xml:space="preserve">liquidator. </w:t>
      </w:r>
      <w:r w:rsidR="00F00085" w:rsidRPr="00C643DF">
        <w:rPr>
          <w:rFonts w:ascii="Times New Roman" w:hAnsi="Times New Roman" w:cs="Times New Roman"/>
          <w:sz w:val="24"/>
          <w:szCs w:val="24"/>
        </w:rPr>
        <w:t xml:space="preserve"> Once again, the respondent </w:t>
      </w:r>
      <w:r w:rsidR="003256DA" w:rsidRPr="00C643DF">
        <w:rPr>
          <w:rFonts w:ascii="Times New Roman" w:hAnsi="Times New Roman" w:cs="Times New Roman"/>
          <w:sz w:val="24"/>
          <w:szCs w:val="24"/>
        </w:rPr>
        <w:t xml:space="preserve">brought </w:t>
      </w:r>
      <w:r w:rsidR="00126C8F" w:rsidRPr="00C643DF">
        <w:rPr>
          <w:rFonts w:ascii="Times New Roman" w:hAnsi="Times New Roman" w:cs="Times New Roman"/>
          <w:sz w:val="24"/>
          <w:szCs w:val="24"/>
        </w:rPr>
        <w:t xml:space="preserve">to </w:t>
      </w:r>
      <w:r w:rsidR="00835FD2" w:rsidRPr="00C643DF">
        <w:rPr>
          <w:rFonts w:ascii="Times New Roman" w:hAnsi="Times New Roman" w:cs="Times New Roman"/>
          <w:sz w:val="24"/>
          <w:szCs w:val="24"/>
        </w:rPr>
        <w:t>the attention of the liquidator</w:t>
      </w:r>
      <w:r w:rsidR="00DE0348" w:rsidRPr="00C643DF">
        <w:rPr>
          <w:rFonts w:ascii="Times New Roman" w:hAnsi="Times New Roman" w:cs="Times New Roman"/>
          <w:sz w:val="24"/>
          <w:szCs w:val="24"/>
        </w:rPr>
        <w:t xml:space="preserve"> the two agreements</w:t>
      </w:r>
      <w:r w:rsidR="00835FD2" w:rsidRPr="00C643DF">
        <w:rPr>
          <w:rFonts w:ascii="Times New Roman" w:hAnsi="Times New Roman" w:cs="Times New Roman"/>
          <w:sz w:val="24"/>
          <w:szCs w:val="24"/>
        </w:rPr>
        <w:t xml:space="preserve">, </w:t>
      </w:r>
      <w:r w:rsidR="00713CA5" w:rsidRPr="00C643DF">
        <w:rPr>
          <w:rFonts w:ascii="Times New Roman" w:hAnsi="Times New Roman" w:cs="Times New Roman"/>
          <w:sz w:val="24"/>
          <w:szCs w:val="24"/>
        </w:rPr>
        <w:t xml:space="preserve">at the same time seeking </w:t>
      </w:r>
      <w:r w:rsidR="00F00085" w:rsidRPr="00C643DF">
        <w:rPr>
          <w:rFonts w:ascii="Times New Roman" w:hAnsi="Times New Roman" w:cs="Times New Roman"/>
          <w:sz w:val="24"/>
          <w:szCs w:val="24"/>
        </w:rPr>
        <w:t xml:space="preserve">confirmation that </w:t>
      </w:r>
      <w:r w:rsidR="00713CA5" w:rsidRPr="00C643DF">
        <w:rPr>
          <w:rFonts w:ascii="Times New Roman" w:hAnsi="Times New Roman" w:cs="Times New Roman"/>
          <w:sz w:val="24"/>
          <w:szCs w:val="24"/>
        </w:rPr>
        <w:t xml:space="preserve">the second respondent </w:t>
      </w:r>
      <w:r w:rsidR="00F00085" w:rsidRPr="00C643DF">
        <w:rPr>
          <w:rFonts w:ascii="Times New Roman" w:hAnsi="Times New Roman" w:cs="Times New Roman"/>
          <w:sz w:val="24"/>
          <w:szCs w:val="24"/>
        </w:rPr>
        <w:t>would honour the agreements.</w:t>
      </w:r>
      <w:r w:rsidR="00C94C3F" w:rsidRPr="00C643DF">
        <w:rPr>
          <w:rFonts w:ascii="Times New Roman" w:hAnsi="Times New Roman" w:cs="Times New Roman"/>
          <w:sz w:val="24"/>
          <w:szCs w:val="24"/>
        </w:rPr>
        <w:t xml:space="preserve">  The</w:t>
      </w:r>
      <w:r w:rsidR="000F36CF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1909E6" w:rsidRPr="00C643DF">
        <w:rPr>
          <w:rFonts w:ascii="Times New Roman" w:hAnsi="Times New Roman" w:cs="Times New Roman"/>
          <w:sz w:val="24"/>
          <w:szCs w:val="24"/>
        </w:rPr>
        <w:t>first appellant</w:t>
      </w:r>
      <w:r w:rsidR="00802848" w:rsidRPr="00C643DF">
        <w:rPr>
          <w:rFonts w:ascii="Times New Roman" w:hAnsi="Times New Roman" w:cs="Times New Roman"/>
          <w:sz w:val="24"/>
          <w:szCs w:val="24"/>
        </w:rPr>
        <w:t>, in his capacity then as Chief Executive Officer of the second appellant</w:t>
      </w:r>
      <w:r w:rsidR="00835FD2" w:rsidRPr="00C643DF">
        <w:rPr>
          <w:rFonts w:ascii="Times New Roman" w:hAnsi="Times New Roman" w:cs="Times New Roman"/>
          <w:sz w:val="24"/>
          <w:szCs w:val="24"/>
        </w:rPr>
        <w:t>,</w:t>
      </w:r>
      <w:r w:rsidR="001909E6" w:rsidRPr="00C643DF">
        <w:rPr>
          <w:rFonts w:ascii="Times New Roman" w:hAnsi="Times New Roman" w:cs="Times New Roman"/>
          <w:sz w:val="24"/>
          <w:szCs w:val="24"/>
        </w:rPr>
        <w:t xml:space="preserve"> did not respond </w:t>
      </w:r>
      <w:r w:rsidR="00DE0348" w:rsidRPr="00C643DF">
        <w:rPr>
          <w:rFonts w:ascii="Times New Roman" w:hAnsi="Times New Roman" w:cs="Times New Roman"/>
          <w:sz w:val="24"/>
          <w:szCs w:val="24"/>
        </w:rPr>
        <w:t xml:space="preserve">to the inquiry. This </w:t>
      </w:r>
      <w:r w:rsidR="000F36CF" w:rsidRPr="00C643DF">
        <w:rPr>
          <w:rFonts w:ascii="Times New Roman" w:hAnsi="Times New Roman" w:cs="Times New Roman"/>
          <w:sz w:val="24"/>
          <w:szCs w:val="24"/>
        </w:rPr>
        <w:t>prompt</w:t>
      </w:r>
      <w:r w:rsidR="00DE0348" w:rsidRPr="00C643DF">
        <w:rPr>
          <w:rFonts w:ascii="Times New Roman" w:hAnsi="Times New Roman" w:cs="Times New Roman"/>
          <w:sz w:val="24"/>
          <w:szCs w:val="24"/>
        </w:rPr>
        <w:t>ed</w:t>
      </w:r>
      <w:r w:rsidR="000F36CF" w:rsidRPr="00C643DF">
        <w:rPr>
          <w:rFonts w:ascii="Times New Roman" w:hAnsi="Times New Roman" w:cs="Times New Roman"/>
          <w:sz w:val="24"/>
          <w:szCs w:val="24"/>
        </w:rPr>
        <w:t xml:space="preserve"> the respondent to file an application with the court </w:t>
      </w:r>
      <w:r w:rsidR="000F36CF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387BD0" w:rsidRPr="00C64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four months after </w:t>
      </w:r>
      <w:r w:rsidR="00C621B5" w:rsidRPr="00C643DF">
        <w:rPr>
          <w:rFonts w:ascii="Times New Roman" w:hAnsi="Times New Roman" w:cs="Times New Roman"/>
          <w:sz w:val="24"/>
          <w:szCs w:val="24"/>
        </w:rPr>
        <w:t xml:space="preserve">making </w:t>
      </w:r>
      <w:r w:rsidR="00387BD0" w:rsidRPr="00C643DF">
        <w:rPr>
          <w:rFonts w:ascii="Times New Roman" w:hAnsi="Times New Roman" w:cs="Times New Roman"/>
          <w:sz w:val="24"/>
          <w:szCs w:val="24"/>
        </w:rPr>
        <w:t>the inquiry</w:t>
      </w:r>
      <w:r w:rsidR="000F36CF" w:rsidRPr="00C643DF">
        <w:rPr>
          <w:rFonts w:ascii="Times New Roman" w:hAnsi="Times New Roman" w:cs="Times New Roman"/>
          <w:sz w:val="24"/>
          <w:szCs w:val="24"/>
        </w:rPr>
        <w:t>. In the applicatio</w:t>
      </w:r>
      <w:r w:rsidR="00387BD0" w:rsidRPr="00C643DF">
        <w:rPr>
          <w:rFonts w:ascii="Times New Roman" w:hAnsi="Times New Roman" w:cs="Times New Roman"/>
          <w:sz w:val="24"/>
          <w:szCs w:val="24"/>
        </w:rPr>
        <w:t>n, the respondent</w:t>
      </w:r>
      <w:r w:rsidR="00643B9B" w:rsidRPr="00C643DF">
        <w:rPr>
          <w:rFonts w:ascii="Times New Roman" w:hAnsi="Times New Roman" w:cs="Times New Roman"/>
          <w:sz w:val="24"/>
          <w:szCs w:val="24"/>
        </w:rPr>
        <w:t xml:space="preserve"> sought a declaratory order that the agreements were binding on </w:t>
      </w:r>
      <w:r w:rsidR="00B815D1" w:rsidRPr="00C643DF">
        <w:rPr>
          <w:rFonts w:ascii="Times New Roman" w:hAnsi="Times New Roman" w:cs="Times New Roman"/>
          <w:sz w:val="24"/>
          <w:szCs w:val="24"/>
        </w:rPr>
        <w:t>the</w:t>
      </w:r>
      <w:r w:rsidR="001909E6" w:rsidRPr="00C643DF">
        <w:rPr>
          <w:rFonts w:ascii="Times New Roman" w:hAnsi="Times New Roman" w:cs="Times New Roman"/>
          <w:sz w:val="24"/>
          <w:szCs w:val="24"/>
        </w:rPr>
        <w:t xml:space="preserve"> appellants. As consequential relief, </w:t>
      </w:r>
      <w:r w:rsidR="00304A96" w:rsidRPr="00C643DF">
        <w:rPr>
          <w:rFonts w:ascii="Times New Roman" w:hAnsi="Times New Roman" w:cs="Times New Roman"/>
          <w:sz w:val="24"/>
          <w:szCs w:val="24"/>
        </w:rPr>
        <w:t xml:space="preserve">it </w:t>
      </w:r>
      <w:r w:rsidR="001909E6" w:rsidRPr="00C643DF">
        <w:rPr>
          <w:rFonts w:ascii="Times New Roman" w:hAnsi="Times New Roman" w:cs="Times New Roman"/>
          <w:sz w:val="24"/>
          <w:szCs w:val="24"/>
        </w:rPr>
        <w:t xml:space="preserve">prayed that the appellants </w:t>
      </w:r>
      <w:r w:rsidR="00643B9B" w:rsidRPr="00C643DF">
        <w:rPr>
          <w:rFonts w:ascii="Times New Roman" w:hAnsi="Times New Roman" w:cs="Times New Roman"/>
          <w:sz w:val="24"/>
          <w:szCs w:val="24"/>
        </w:rPr>
        <w:t>be compelled to honour the terms of the agreements.</w:t>
      </w:r>
    </w:p>
    <w:p w:rsidR="00D47313" w:rsidRPr="00C643DF" w:rsidRDefault="00D47313" w:rsidP="00D47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57" w:rsidRPr="00C643DF" w:rsidRDefault="00643B9B" w:rsidP="00D4731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The application was opposed. The appell</w:t>
      </w:r>
      <w:r w:rsidR="00953C8F" w:rsidRPr="00C643DF">
        <w:rPr>
          <w:rFonts w:ascii="Times New Roman" w:hAnsi="Times New Roman" w:cs="Times New Roman"/>
          <w:sz w:val="24"/>
          <w:szCs w:val="24"/>
        </w:rPr>
        <w:t xml:space="preserve">ants, as respondents </w:t>
      </w:r>
      <w:r w:rsidR="00C81D3C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C81D3C" w:rsidRPr="00C643DF">
        <w:rPr>
          <w:rFonts w:ascii="Times New Roman" w:hAnsi="Times New Roman" w:cs="Times New Roman"/>
          <w:sz w:val="24"/>
          <w:szCs w:val="24"/>
        </w:rPr>
        <w:t>, filed a counter application</w:t>
      </w:r>
      <w:r w:rsidR="00761E57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Pr="00C643DF">
        <w:rPr>
          <w:rFonts w:ascii="Times New Roman" w:hAnsi="Times New Roman" w:cs="Times New Roman"/>
          <w:sz w:val="24"/>
          <w:szCs w:val="24"/>
        </w:rPr>
        <w:t>seeking an order setting aside the agreements and compelling the respondent to refund the remittances he had received from the curator.</w:t>
      </w:r>
      <w:r w:rsidR="00761E57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2F4FC7" w:rsidRPr="00C643DF">
        <w:rPr>
          <w:rFonts w:ascii="Times New Roman" w:hAnsi="Times New Roman" w:cs="Times New Roman"/>
          <w:sz w:val="24"/>
          <w:szCs w:val="24"/>
        </w:rPr>
        <w:t xml:space="preserve"> At the hearing of the application, </w:t>
      </w:r>
      <w:r w:rsidR="00410384" w:rsidRPr="00C643DF">
        <w:rPr>
          <w:rFonts w:ascii="Times New Roman" w:hAnsi="Times New Roman" w:cs="Times New Roman"/>
          <w:sz w:val="24"/>
          <w:szCs w:val="24"/>
        </w:rPr>
        <w:t>the appellants</w:t>
      </w:r>
      <w:r w:rsidR="00761E57" w:rsidRPr="00C643DF">
        <w:rPr>
          <w:rFonts w:ascii="Times New Roman" w:hAnsi="Times New Roman" w:cs="Times New Roman"/>
          <w:sz w:val="24"/>
          <w:szCs w:val="24"/>
        </w:rPr>
        <w:t xml:space="preserve"> took a number of points </w:t>
      </w:r>
      <w:r w:rsidR="00761E57" w:rsidRPr="00C643DF">
        <w:rPr>
          <w:rFonts w:ascii="Times New Roman" w:hAnsi="Times New Roman" w:cs="Times New Roman"/>
          <w:i/>
          <w:sz w:val="24"/>
          <w:szCs w:val="24"/>
        </w:rPr>
        <w:t>in limine</w:t>
      </w:r>
      <w:r w:rsidR="00761E57" w:rsidRPr="00C643DF">
        <w:rPr>
          <w:rFonts w:ascii="Times New Roman" w:hAnsi="Times New Roman" w:cs="Times New Roman"/>
          <w:sz w:val="24"/>
          <w:szCs w:val="24"/>
        </w:rPr>
        <w:t>. These included the following:</w:t>
      </w:r>
    </w:p>
    <w:p w:rsidR="00761E57" w:rsidRPr="00C643DF" w:rsidRDefault="00761E57" w:rsidP="00D473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That there were material disputes of facts which could not be resolved on the basis of the papers filed of record;</w:t>
      </w:r>
    </w:p>
    <w:p w:rsidR="00761E57" w:rsidRPr="00C643DF" w:rsidRDefault="00761E57" w:rsidP="00D473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That there was no prior exchange control approval for the agreements</w:t>
      </w:r>
    </w:p>
    <w:p w:rsidR="00761E57" w:rsidRPr="00C643DF" w:rsidRDefault="00761E57" w:rsidP="00D473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That the respondent, being a foreign company, was illegally trading in the jurisdiction without a locally registered office;</w:t>
      </w:r>
    </w:p>
    <w:p w:rsidR="00761E57" w:rsidRPr="00C643DF" w:rsidRDefault="00761E57" w:rsidP="00D473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lastRenderedPageBreak/>
        <w:t>That the transactions between the respondent and the Bank were impeachable under the insolvency laws and</w:t>
      </w:r>
    </w:p>
    <w:p w:rsidR="0090168C" w:rsidRPr="00C643DF" w:rsidRDefault="00761E57" w:rsidP="0011044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That the respondent </w:t>
      </w:r>
      <w:r w:rsidR="00340B45" w:rsidRPr="00C643DF">
        <w:rPr>
          <w:rFonts w:ascii="Times New Roman" w:hAnsi="Times New Roman" w:cs="Times New Roman"/>
          <w:sz w:val="24"/>
          <w:szCs w:val="24"/>
        </w:rPr>
        <w:t xml:space="preserve">had </w:t>
      </w:r>
      <w:r w:rsidRPr="00C643DF">
        <w:rPr>
          <w:rFonts w:ascii="Times New Roman" w:hAnsi="Times New Roman" w:cs="Times New Roman"/>
          <w:sz w:val="24"/>
          <w:szCs w:val="24"/>
        </w:rPr>
        <w:t xml:space="preserve">proceeded to file the court application without </w:t>
      </w:r>
      <w:r w:rsidR="001879ED" w:rsidRPr="00C643DF">
        <w:rPr>
          <w:rFonts w:ascii="Times New Roman" w:hAnsi="Times New Roman" w:cs="Times New Roman"/>
          <w:sz w:val="24"/>
          <w:szCs w:val="24"/>
        </w:rPr>
        <w:t xml:space="preserve">the </w:t>
      </w:r>
      <w:r w:rsidRPr="00C643DF">
        <w:rPr>
          <w:rFonts w:ascii="Times New Roman" w:hAnsi="Times New Roman" w:cs="Times New Roman"/>
          <w:sz w:val="24"/>
          <w:szCs w:val="24"/>
        </w:rPr>
        <w:t>prior leave of the court</w:t>
      </w:r>
      <w:r w:rsidR="00340B45" w:rsidRPr="00C643DF">
        <w:rPr>
          <w:rFonts w:ascii="Times New Roman" w:hAnsi="Times New Roman" w:cs="Times New Roman"/>
          <w:sz w:val="24"/>
          <w:szCs w:val="24"/>
        </w:rPr>
        <w:t>.</w:t>
      </w:r>
    </w:p>
    <w:p w:rsidR="006A2313" w:rsidRPr="00C643DF" w:rsidRDefault="006A2313" w:rsidP="006A231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3B" w:rsidRPr="00C643DF" w:rsidRDefault="00340B45" w:rsidP="0090168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A</w:t>
      </w:r>
      <w:r w:rsidR="003A7B18" w:rsidRPr="00C643DF">
        <w:rPr>
          <w:rFonts w:ascii="Times New Roman" w:hAnsi="Times New Roman" w:cs="Times New Roman"/>
          <w:sz w:val="24"/>
          <w:szCs w:val="24"/>
        </w:rPr>
        <w:t xml:space="preserve">fter dismissing all the preliminary points and the counter-claim, the court </w:t>
      </w:r>
      <w:r w:rsidR="00387BD0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, as stated above, </w:t>
      </w:r>
      <w:r w:rsidR="003A7B18" w:rsidRPr="00C643DF">
        <w:rPr>
          <w:rFonts w:ascii="Times New Roman" w:hAnsi="Times New Roman" w:cs="Times New Roman"/>
          <w:sz w:val="24"/>
          <w:szCs w:val="24"/>
        </w:rPr>
        <w:t>granted the declarator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y order </w:t>
      </w:r>
      <w:r w:rsidR="00EC47C2" w:rsidRPr="00C643DF">
        <w:rPr>
          <w:rFonts w:ascii="Times New Roman" w:hAnsi="Times New Roman" w:cs="Times New Roman"/>
          <w:sz w:val="24"/>
          <w:szCs w:val="24"/>
        </w:rPr>
        <w:t>and consequential relief.</w:t>
      </w:r>
      <w:r w:rsidR="003A7B18" w:rsidRPr="00C643DF">
        <w:rPr>
          <w:rFonts w:ascii="Times New Roman" w:hAnsi="Times New Roman" w:cs="Times New Roman"/>
          <w:sz w:val="24"/>
          <w:szCs w:val="24"/>
        </w:rPr>
        <w:t xml:space="preserve"> Aggrieved by that decision, the appellant noted this appeal raising eight grounds of appeal. </w:t>
      </w:r>
      <w:r w:rsidR="0009033B" w:rsidRPr="00C643DF">
        <w:rPr>
          <w:rFonts w:ascii="Times New Roman" w:hAnsi="Times New Roman" w:cs="Times New Roman"/>
          <w:sz w:val="24"/>
          <w:szCs w:val="24"/>
        </w:rPr>
        <w:t>It is not necessary that I recite the eight grounds in this judgment.</w:t>
      </w:r>
    </w:p>
    <w:p w:rsidR="00387BD0" w:rsidRPr="00C643DF" w:rsidRDefault="00387BD0" w:rsidP="0090168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033B" w:rsidRPr="00C643DF" w:rsidRDefault="00016D11" w:rsidP="0091715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At the hearing of the matter, </w:t>
      </w:r>
      <w:r w:rsidRPr="00C643DF">
        <w:rPr>
          <w:rFonts w:ascii="Times New Roman" w:hAnsi="Times New Roman" w:cs="Times New Roman"/>
          <w:i/>
          <w:sz w:val="24"/>
          <w:szCs w:val="24"/>
        </w:rPr>
        <w:t>Mr Matinenga</w:t>
      </w:r>
      <w:r w:rsidRPr="00C643DF">
        <w:rPr>
          <w:rFonts w:ascii="Times New Roman" w:hAnsi="Times New Roman" w:cs="Times New Roman"/>
          <w:sz w:val="24"/>
          <w:szCs w:val="24"/>
        </w:rPr>
        <w:t xml:space="preserve"> for the appellant argued 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and correctly so in my </w:t>
      </w:r>
      <w:r w:rsidR="00351E16" w:rsidRPr="00C643DF">
        <w:rPr>
          <w:rFonts w:ascii="Times New Roman" w:hAnsi="Times New Roman" w:cs="Times New Roman"/>
          <w:sz w:val="24"/>
          <w:szCs w:val="24"/>
        </w:rPr>
        <w:t xml:space="preserve">view, </w:t>
      </w:r>
      <w:r w:rsidRPr="00C643DF">
        <w:rPr>
          <w:rFonts w:ascii="Times New Roman" w:hAnsi="Times New Roman" w:cs="Times New Roman"/>
          <w:sz w:val="24"/>
          <w:szCs w:val="24"/>
        </w:rPr>
        <w:t xml:space="preserve">that </w:t>
      </w:r>
      <w:r w:rsidR="002770D3" w:rsidRPr="00C643DF">
        <w:rPr>
          <w:rFonts w:ascii="Times New Roman" w:hAnsi="Times New Roman" w:cs="Times New Roman"/>
          <w:sz w:val="24"/>
          <w:szCs w:val="24"/>
        </w:rPr>
        <w:t xml:space="preserve">one or more of </w:t>
      </w:r>
      <w:r w:rsidRPr="00C643DF">
        <w:rPr>
          <w:rFonts w:ascii="Times New Roman" w:hAnsi="Times New Roman" w:cs="Times New Roman"/>
          <w:sz w:val="24"/>
          <w:szCs w:val="24"/>
        </w:rPr>
        <w:t xml:space="preserve">the first three grounds of appeal would resolve the appeal. These 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included the issue raised in the </w:t>
      </w:r>
      <w:r w:rsidR="00F42E6A" w:rsidRPr="00C643DF">
        <w:rPr>
          <w:rFonts w:ascii="Times New Roman" w:hAnsi="Times New Roman" w:cs="Times New Roman"/>
          <w:sz w:val="24"/>
          <w:szCs w:val="24"/>
        </w:rPr>
        <w:t xml:space="preserve">last 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point </w:t>
      </w:r>
      <w:r w:rsidR="00387BD0" w:rsidRPr="00C643DF">
        <w:rPr>
          <w:rFonts w:ascii="Times New Roman" w:hAnsi="Times New Roman" w:cs="Times New Roman"/>
          <w:i/>
          <w:sz w:val="24"/>
          <w:szCs w:val="24"/>
        </w:rPr>
        <w:t>in limine</w:t>
      </w:r>
      <w:r w:rsidR="00387BD0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F42E6A" w:rsidRPr="00C643DF">
        <w:rPr>
          <w:rFonts w:ascii="Times New Roman" w:hAnsi="Times New Roman" w:cs="Times New Roman"/>
          <w:sz w:val="24"/>
          <w:szCs w:val="24"/>
        </w:rPr>
        <w:t xml:space="preserve">taken by the </w:t>
      </w:r>
      <w:r w:rsidR="00387BD0" w:rsidRPr="00C643DF">
        <w:rPr>
          <w:rFonts w:ascii="Times New Roman" w:hAnsi="Times New Roman" w:cs="Times New Roman"/>
          <w:sz w:val="24"/>
          <w:szCs w:val="24"/>
        </w:rPr>
        <w:t>appellant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s </w:t>
      </w:r>
      <w:r w:rsidR="000B52AE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 to the effect that the respondent had proceeded to file the proceedings </w:t>
      </w:r>
      <w:r w:rsidR="000B52AE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 without the prior leave of the court</w:t>
      </w:r>
      <w:r w:rsidR="00024D6A" w:rsidRPr="00C643DF">
        <w:rPr>
          <w:rFonts w:ascii="Times New Roman" w:hAnsi="Times New Roman" w:cs="Times New Roman"/>
          <w:sz w:val="24"/>
          <w:szCs w:val="24"/>
        </w:rPr>
        <w:t>.</w:t>
      </w:r>
      <w:r w:rsidR="00351E16" w:rsidRPr="00C6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68C" w:rsidRPr="00C643DF" w:rsidRDefault="0090168C" w:rsidP="00D47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2AE" w:rsidRPr="00C643DF" w:rsidRDefault="003A41C9" w:rsidP="0090168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</w:t>
      </w:r>
      <w:r w:rsidR="00766649" w:rsidRPr="00C643DF">
        <w:rPr>
          <w:rFonts w:ascii="Times New Roman" w:hAnsi="Times New Roman" w:cs="Times New Roman"/>
          <w:sz w:val="24"/>
          <w:szCs w:val="24"/>
        </w:rPr>
        <w:t>his appeal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 turns on whether the proceedings </w:t>
      </w:r>
      <w:r w:rsidR="000B52AE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 were properly before that court. Put differently, </w:t>
      </w:r>
      <w:r w:rsidR="00766649" w:rsidRPr="00C643DF">
        <w:rPr>
          <w:rFonts w:ascii="Times New Roman" w:hAnsi="Times New Roman" w:cs="Times New Roman"/>
          <w:sz w:val="24"/>
          <w:szCs w:val="24"/>
        </w:rPr>
        <w:t xml:space="preserve">it turns on whether 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leave </w:t>
      </w:r>
      <w:r w:rsidR="00766649" w:rsidRPr="00C643DF">
        <w:rPr>
          <w:rFonts w:ascii="Times New Roman" w:hAnsi="Times New Roman" w:cs="Times New Roman"/>
          <w:sz w:val="24"/>
          <w:szCs w:val="24"/>
        </w:rPr>
        <w:t xml:space="preserve">was </w:t>
      </w:r>
      <w:r w:rsidR="000B52AE" w:rsidRPr="00C643DF">
        <w:rPr>
          <w:rFonts w:ascii="Times New Roman" w:hAnsi="Times New Roman" w:cs="Times New Roman"/>
          <w:sz w:val="24"/>
          <w:szCs w:val="24"/>
        </w:rPr>
        <w:t>required before the application could be made.</w:t>
      </w:r>
    </w:p>
    <w:p w:rsidR="0090168C" w:rsidRPr="00C643DF" w:rsidRDefault="0090168C" w:rsidP="0090168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727C" w:rsidRPr="00C643DF" w:rsidRDefault="000B52AE" w:rsidP="0090168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As indicated above, the </w:t>
      </w:r>
      <w:r w:rsidR="00ED23D3" w:rsidRPr="00C643DF">
        <w:rPr>
          <w:rFonts w:ascii="Times New Roman" w:hAnsi="Times New Roman" w:cs="Times New Roman"/>
          <w:sz w:val="24"/>
          <w:szCs w:val="24"/>
        </w:rPr>
        <w:t xml:space="preserve">issue whether leave was required before the proceedings </w:t>
      </w:r>
      <w:r w:rsidR="00E75023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E75023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ED23D3" w:rsidRPr="00C643DF">
        <w:rPr>
          <w:rFonts w:ascii="Times New Roman" w:hAnsi="Times New Roman" w:cs="Times New Roman"/>
          <w:sz w:val="24"/>
          <w:szCs w:val="24"/>
        </w:rPr>
        <w:t xml:space="preserve">could be brought was specifically raised before the court </w:t>
      </w:r>
      <w:r w:rsidR="00ED23D3" w:rsidRPr="00C643DF">
        <w:rPr>
          <w:rFonts w:ascii="Times New Roman" w:hAnsi="Times New Roman" w:cs="Times New Roman"/>
          <w:i/>
          <w:sz w:val="24"/>
          <w:szCs w:val="24"/>
        </w:rPr>
        <w:t>a quo.</w:t>
      </w:r>
      <w:r w:rsidR="00ED23D3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6826A0" w:rsidRPr="00C643DF">
        <w:rPr>
          <w:rFonts w:ascii="Times New Roman" w:hAnsi="Times New Roman" w:cs="Times New Roman"/>
          <w:sz w:val="24"/>
          <w:szCs w:val="24"/>
        </w:rPr>
        <w:t xml:space="preserve">Agreeing with </w:t>
      </w:r>
      <w:r w:rsidR="00ED23D3" w:rsidRPr="00C643DF">
        <w:rPr>
          <w:rFonts w:ascii="Times New Roman" w:hAnsi="Times New Roman" w:cs="Times New Roman"/>
          <w:sz w:val="24"/>
          <w:szCs w:val="24"/>
        </w:rPr>
        <w:t>the argument by the</w:t>
      </w:r>
      <w:r w:rsidR="00092907" w:rsidRPr="00C643DF">
        <w:rPr>
          <w:rFonts w:ascii="Times New Roman" w:hAnsi="Times New Roman" w:cs="Times New Roman"/>
          <w:sz w:val="24"/>
          <w:szCs w:val="24"/>
        </w:rPr>
        <w:t xml:space="preserve"> respondent that the cause before it was not against the Bank but was against the liquidator as an administrative authority under the Administrative Justice Act [</w:t>
      </w:r>
      <w:r w:rsidR="00D35668">
        <w:rPr>
          <w:rFonts w:ascii="Times New Roman" w:hAnsi="Times New Roman" w:cs="Times New Roman"/>
          <w:i/>
          <w:sz w:val="24"/>
          <w:szCs w:val="24"/>
        </w:rPr>
        <w:t>Chapter </w:t>
      </w:r>
      <w:r w:rsidR="00092907" w:rsidRPr="00C643DF">
        <w:rPr>
          <w:rFonts w:ascii="Times New Roman" w:hAnsi="Times New Roman" w:cs="Times New Roman"/>
          <w:i/>
          <w:sz w:val="24"/>
          <w:szCs w:val="24"/>
        </w:rPr>
        <w:t>10.28</w:t>
      </w:r>
      <w:r w:rsidR="00092907" w:rsidRPr="00C643DF">
        <w:rPr>
          <w:rFonts w:ascii="Times New Roman" w:hAnsi="Times New Roman" w:cs="Times New Roman"/>
          <w:sz w:val="24"/>
          <w:szCs w:val="24"/>
        </w:rPr>
        <w:t>]</w:t>
      </w:r>
      <w:r w:rsidR="00ED23D3" w:rsidRPr="00C643DF">
        <w:rPr>
          <w:rFonts w:ascii="Times New Roman" w:hAnsi="Times New Roman" w:cs="Times New Roman"/>
          <w:sz w:val="24"/>
          <w:szCs w:val="24"/>
        </w:rPr>
        <w:t xml:space="preserve">, the court </w:t>
      </w:r>
      <w:r w:rsidR="00ED23D3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ED23D3" w:rsidRPr="00C643DF">
        <w:rPr>
          <w:rFonts w:ascii="Times New Roman" w:hAnsi="Times New Roman" w:cs="Times New Roman"/>
          <w:sz w:val="24"/>
          <w:szCs w:val="24"/>
        </w:rPr>
        <w:t xml:space="preserve"> held that its prior leave was not n</w:t>
      </w:r>
      <w:r w:rsidRPr="00C643DF">
        <w:rPr>
          <w:rFonts w:ascii="Times New Roman" w:hAnsi="Times New Roman" w:cs="Times New Roman"/>
          <w:sz w:val="24"/>
          <w:szCs w:val="24"/>
        </w:rPr>
        <w:t>ecessary in the circumstances. It</w:t>
      </w:r>
      <w:r w:rsidR="00E75023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092907" w:rsidRPr="00C643DF">
        <w:rPr>
          <w:rFonts w:ascii="Times New Roman" w:hAnsi="Times New Roman" w:cs="Times New Roman"/>
          <w:sz w:val="24"/>
          <w:szCs w:val="24"/>
        </w:rPr>
        <w:t xml:space="preserve">was of the further view that the cause before it sought to coerce the first </w:t>
      </w:r>
      <w:r w:rsidR="00092907" w:rsidRPr="00C643DF">
        <w:rPr>
          <w:rFonts w:ascii="Times New Roman" w:hAnsi="Times New Roman" w:cs="Times New Roman"/>
          <w:sz w:val="24"/>
          <w:szCs w:val="24"/>
        </w:rPr>
        <w:lastRenderedPageBreak/>
        <w:t>appellant in his official and personal capacity to respond to the questions that t</w:t>
      </w:r>
      <w:r w:rsidRPr="00C643DF">
        <w:rPr>
          <w:rFonts w:ascii="Times New Roman" w:hAnsi="Times New Roman" w:cs="Times New Roman"/>
          <w:sz w:val="24"/>
          <w:szCs w:val="24"/>
        </w:rPr>
        <w:t xml:space="preserve">he respondent had posed to him as to whether the second appellant would recognise and honour the two agreements. In its view, </w:t>
      </w:r>
      <w:r w:rsidR="00092907" w:rsidRPr="00C643DF">
        <w:rPr>
          <w:rFonts w:ascii="Times New Roman" w:hAnsi="Times New Roman" w:cs="Times New Roman"/>
          <w:sz w:val="24"/>
          <w:szCs w:val="24"/>
        </w:rPr>
        <w:t>where a liquidator act</w:t>
      </w:r>
      <w:r w:rsidRPr="00C643DF">
        <w:rPr>
          <w:rFonts w:ascii="Times New Roman" w:hAnsi="Times New Roman" w:cs="Times New Roman"/>
          <w:sz w:val="24"/>
          <w:szCs w:val="24"/>
        </w:rPr>
        <w:t>s</w:t>
      </w:r>
      <w:r w:rsidR="00092907" w:rsidRPr="00C643DF">
        <w:rPr>
          <w:rFonts w:ascii="Times New Roman" w:hAnsi="Times New Roman" w:cs="Times New Roman"/>
          <w:sz w:val="24"/>
          <w:szCs w:val="24"/>
        </w:rPr>
        <w:t xml:space="preserve"> unreasona</w:t>
      </w:r>
      <w:r w:rsidRPr="00C643DF">
        <w:rPr>
          <w:rFonts w:ascii="Times New Roman" w:hAnsi="Times New Roman" w:cs="Times New Roman"/>
          <w:sz w:val="24"/>
          <w:szCs w:val="24"/>
        </w:rPr>
        <w:t>bly or unfairly, he or she can</w:t>
      </w:r>
      <w:r w:rsidR="00092907" w:rsidRPr="00C643DF">
        <w:rPr>
          <w:rFonts w:ascii="Times New Roman" w:hAnsi="Times New Roman" w:cs="Times New Roman"/>
          <w:sz w:val="24"/>
          <w:szCs w:val="24"/>
        </w:rPr>
        <w:t xml:space="preserve"> be sued without the leave of the court.</w:t>
      </w:r>
    </w:p>
    <w:p w:rsidR="00A95D24" w:rsidRPr="00C643DF" w:rsidRDefault="00A95D24" w:rsidP="0090168C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625B6" w:rsidRPr="00C643DF" w:rsidRDefault="00E75023" w:rsidP="0047059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It is not necessary that I determine whether the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 xml:space="preserve"> was correct in holding that where the liquidator as an administrative authority </w:t>
      </w:r>
      <w:r w:rsidR="008B24BD" w:rsidRPr="00C643DF">
        <w:rPr>
          <w:rFonts w:ascii="Times New Roman" w:hAnsi="Times New Roman" w:cs="Times New Roman"/>
          <w:sz w:val="24"/>
          <w:szCs w:val="24"/>
        </w:rPr>
        <w:t xml:space="preserve">is sued </w:t>
      </w:r>
      <w:r w:rsidRPr="00C643DF">
        <w:rPr>
          <w:rFonts w:ascii="Times New Roman" w:hAnsi="Times New Roman" w:cs="Times New Roman"/>
          <w:sz w:val="24"/>
          <w:szCs w:val="24"/>
        </w:rPr>
        <w:t>to respond to questions posed to him or her in connection with the liquidation process, leave of the court is not required</w:t>
      </w:r>
      <w:r w:rsidR="00EF54F8" w:rsidRPr="00C643DF">
        <w:rPr>
          <w:rFonts w:ascii="Times New Roman" w:hAnsi="Times New Roman" w:cs="Times New Roman"/>
          <w:sz w:val="24"/>
          <w:szCs w:val="24"/>
        </w:rPr>
        <w:t xml:space="preserve"> before such </w:t>
      </w:r>
      <w:r w:rsidR="006D0C27" w:rsidRPr="00C643DF">
        <w:rPr>
          <w:rFonts w:ascii="Times New Roman" w:hAnsi="Times New Roman" w:cs="Times New Roman"/>
          <w:sz w:val="24"/>
          <w:szCs w:val="24"/>
        </w:rPr>
        <w:t xml:space="preserve">proceedings are </w:t>
      </w:r>
      <w:r w:rsidR="00EF54F8" w:rsidRPr="00C643DF">
        <w:rPr>
          <w:rFonts w:ascii="Times New Roman" w:hAnsi="Times New Roman" w:cs="Times New Roman"/>
          <w:sz w:val="24"/>
          <w:szCs w:val="24"/>
        </w:rPr>
        <w:t>commenced</w:t>
      </w:r>
      <w:r w:rsidRPr="00C643DF">
        <w:rPr>
          <w:rFonts w:ascii="Times New Roman" w:hAnsi="Times New Roman" w:cs="Times New Roman"/>
          <w:sz w:val="24"/>
          <w:szCs w:val="24"/>
        </w:rPr>
        <w:t xml:space="preserve">.  This is so because the </w:t>
      </w:r>
      <w:r w:rsidR="006B1FAA" w:rsidRPr="00C643DF">
        <w:rPr>
          <w:rFonts w:ascii="Times New Roman" w:hAnsi="Times New Roman" w:cs="Times New Roman"/>
          <w:sz w:val="24"/>
          <w:szCs w:val="24"/>
        </w:rPr>
        <w:t xml:space="preserve">proceedings </w:t>
      </w:r>
      <w:r w:rsidRPr="00C643DF">
        <w:rPr>
          <w:rFonts w:ascii="Times New Roman" w:hAnsi="Times New Roman" w:cs="Times New Roman"/>
          <w:sz w:val="24"/>
          <w:szCs w:val="24"/>
        </w:rPr>
        <w:t xml:space="preserve">before the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6B1FAA" w:rsidRPr="00C643DF">
        <w:rPr>
          <w:rFonts w:ascii="Times New Roman" w:hAnsi="Times New Roman" w:cs="Times New Roman"/>
          <w:sz w:val="24"/>
          <w:szCs w:val="24"/>
        </w:rPr>
        <w:t xml:space="preserve"> were</w:t>
      </w:r>
      <w:r w:rsidRPr="00C643DF">
        <w:rPr>
          <w:rFonts w:ascii="Times New Roman" w:hAnsi="Times New Roman" w:cs="Times New Roman"/>
          <w:sz w:val="24"/>
          <w:szCs w:val="24"/>
        </w:rPr>
        <w:t xml:space="preserve"> not to compel the liquidator to respond to the questions that had been posed to it by the respondent</w:t>
      </w:r>
      <w:r w:rsidR="00012F9D" w:rsidRPr="00C643DF">
        <w:rPr>
          <w:rFonts w:ascii="Times New Roman" w:hAnsi="Times New Roman" w:cs="Times New Roman"/>
          <w:sz w:val="24"/>
          <w:szCs w:val="24"/>
        </w:rPr>
        <w:t xml:space="preserve"> or to compel the liquidator to act reasonably and fairly</w:t>
      </w:r>
      <w:r w:rsidRPr="00C643DF">
        <w:rPr>
          <w:rFonts w:ascii="Times New Roman" w:hAnsi="Times New Roman" w:cs="Times New Roman"/>
          <w:sz w:val="24"/>
          <w:szCs w:val="24"/>
        </w:rPr>
        <w:t xml:space="preserve">. 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The cause before the court was against the Bank in liquidation, founded as it was on </w:t>
      </w:r>
      <w:r w:rsidR="00813C09" w:rsidRPr="00C643DF">
        <w:rPr>
          <w:rFonts w:ascii="Times New Roman" w:hAnsi="Times New Roman" w:cs="Times New Roman"/>
          <w:sz w:val="24"/>
          <w:szCs w:val="24"/>
        </w:rPr>
        <w:t xml:space="preserve">the </w:t>
      </w:r>
      <w:r w:rsidR="000B52AE" w:rsidRPr="00C643DF">
        <w:rPr>
          <w:rFonts w:ascii="Times New Roman" w:hAnsi="Times New Roman" w:cs="Times New Roman"/>
          <w:sz w:val="24"/>
          <w:szCs w:val="24"/>
        </w:rPr>
        <w:t xml:space="preserve">two contracts between the Bank and the respondent. </w:t>
      </w:r>
      <w:r w:rsidR="008F2478" w:rsidRPr="00C643DF">
        <w:rPr>
          <w:rFonts w:ascii="Times New Roman" w:hAnsi="Times New Roman" w:cs="Times New Roman"/>
          <w:sz w:val="24"/>
          <w:szCs w:val="24"/>
        </w:rPr>
        <w:t xml:space="preserve">The cause </w:t>
      </w:r>
      <w:r w:rsidR="000B52AE" w:rsidRPr="00C643DF">
        <w:rPr>
          <w:rFonts w:ascii="Times New Roman" w:hAnsi="Times New Roman" w:cs="Times New Roman"/>
          <w:sz w:val="24"/>
          <w:szCs w:val="24"/>
        </w:rPr>
        <w:t>was contractual and not administrative in nature.</w:t>
      </w:r>
      <w:r w:rsidR="002C1E80" w:rsidRPr="00C643DF">
        <w:rPr>
          <w:rFonts w:ascii="Times New Roman" w:hAnsi="Times New Roman" w:cs="Times New Roman"/>
          <w:sz w:val="24"/>
          <w:szCs w:val="24"/>
        </w:rPr>
        <w:t xml:space="preserve"> Th</w:t>
      </w:r>
      <w:r w:rsidR="00B05DBF" w:rsidRPr="00C643DF">
        <w:rPr>
          <w:rFonts w:ascii="Times New Roman" w:hAnsi="Times New Roman" w:cs="Times New Roman"/>
          <w:sz w:val="24"/>
          <w:szCs w:val="24"/>
        </w:rPr>
        <w:t xml:space="preserve">is </w:t>
      </w:r>
      <w:r w:rsidR="008F2478" w:rsidRPr="00C643DF">
        <w:rPr>
          <w:rFonts w:ascii="Times New Roman" w:hAnsi="Times New Roman" w:cs="Times New Roman"/>
          <w:sz w:val="24"/>
          <w:szCs w:val="24"/>
        </w:rPr>
        <w:t xml:space="preserve">is </w:t>
      </w:r>
      <w:r w:rsidR="00B05DBF" w:rsidRPr="00C643DF">
        <w:rPr>
          <w:rFonts w:ascii="Times New Roman" w:hAnsi="Times New Roman" w:cs="Times New Roman"/>
          <w:sz w:val="24"/>
          <w:szCs w:val="24"/>
        </w:rPr>
        <w:t xml:space="preserve">clear from the terms of the order that was sought </w:t>
      </w:r>
      <w:r w:rsidR="00D472F4" w:rsidRPr="00C643DF">
        <w:rPr>
          <w:rFonts w:ascii="Times New Roman" w:hAnsi="Times New Roman" w:cs="Times New Roman"/>
          <w:sz w:val="24"/>
          <w:szCs w:val="24"/>
        </w:rPr>
        <w:t>and granted.</w:t>
      </w:r>
      <w:r w:rsidR="00B05DBF" w:rsidRPr="00C643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2F4" w:rsidRPr="00C643DF" w:rsidRDefault="00D472F4" w:rsidP="0047059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E57EF" w:rsidRPr="00C643DF" w:rsidRDefault="00CE77EB" w:rsidP="009625B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Per </w:t>
      </w:r>
      <w:r w:rsidRPr="00C643DF">
        <w:rPr>
          <w:rFonts w:ascii="Times New Roman" w:hAnsi="Times New Roman" w:cs="Times New Roman"/>
          <w:i/>
          <w:sz w:val="24"/>
          <w:szCs w:val="24"/>
        </w:rPr>
        <w:t>contra</w:t>
      </w:r>
      <w:r w:rsidRPr="00C643DF">
        <w:rPr>
          <w:rFonts w:ascii="Times New Roman" w:hAnsi="Times New Roman" w:cs="Times New Roman"/>
          <w:sz w:val="24"/>
          <w:szCs w:val="24"/>
        </w:rPr>
        <w:t>, no order was sought against the first appellant in his personal capacity. Whilst it is common cause that the first appellant had not responded to the inquiry by the resp</w:t>
      </w:r>
      <w:r w:rsidR="00B75AAE" w:rsidRPr="00C643DF">
        <w:rPr>
          <w:rFonts w:ascii="Times New Roman" w:hAnsi="Times New Roman" w:cs="Times New Roman"/>
          <w:sz w:val="24"/>
          <w:szCs w:val="24"/>
        </w:rPr>
        <w:t xml:space="preserve">ondent, </w:t>
      </w:r>
      <w:r w:rsidRPr="00C643DF">
        <w:rPr>
          <w:rFonts w:ascii="Times New Roman" w:hAnsi="Times New Roman" w:cs="Times New Roman"/>
          <w:sz w:val="24"/>
          <w:szCs w:val="24"/>
        </w:rPr>
        <w:t xml:space="preserve">the draft order did not seek to compel him to so respond. </w:t>
      </w:r>
    </w:p>
    <w:p w:rsidR="004E57EF" w:rsidRPr="00C643DF" w:rsidRDefault="004E57EF" w:rsidP="009625B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671EB" w:rsidRPr="00C643DF" w:rsidRDefault="004E57EF" w:rsidP="000671EB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Thus, if the application wa</w:t>
      </w:r>
      <w:r w:rsidR="00E40375" w:rsidRPr="00C643DF">
        <w:rPr>
          <w:rFonts w:ascii="Times New Roman" w:hAnsi="Times New Roman" w:cs="Times New Roman"/>
          <w:sz w:val="24"/>
          <w:szCs w:val="24"/>
        </w:rPr>
        <w:t>s to compel the first appellant</w:t>
      </w:r>
      <w:r w:rsidRPr="00C643DF">
        <w:rPr>
          <w:rFonts w:ascii="Times New Roman" w:hAnsi="Times New Roman" w:cs="Times New Roman"/>
          <w:sz w:val="24"/>
          <w:szCs w:val="24"/>
        </w:rPr>
        <w:t xml:space="preserve"> to respond to the inquiry, as the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 xml:space="preserve"> held, then the draft order would have sought </w:t>
      </w:r>
      <w:r w:rsidRPr="00D35668">
        <w:rPr>
          <w:rFonts w:ascii="Times New Roman" w:hAnsi="Times New Roman" w:cs="Times New Roman"/>
          <w:sz w:val="24"/>
          <w:szCs w:val="24"/>
        </w:rPr>
        <w:t>a</w:t>
      </w:r>
      <w:r w:rsidRPr="00C643DF">
        <w:rPr>
          <w:rFonts w:ascii="Times New Roman" w:hAnsi="Times New Roman" w:cs="Times New Roman"/>
          <w:i/>
          <w:sz w:val="24"/>
          <w:szCs w:val="24"/>
        </w:rPr>
        <w:t xml:space="preserve"> mandamus</w:t>
      </w:r>
      <w:r w:rsidRPr="00C643DF">
        <w:rPr>
          <w:rFonts w:ascii="Times New Roman" w:hAnsi="Times New Roman" w:cs="Times New Roman"/>
          <w:sz w:val="24"/>
          <w:szCs w:val="24"/>
        </w:rPr>
        <w:t xml:space="preserve"> and the order of the court would have equally been a </w:t>
      </w:r>
      <w:r w:rsidRPr="00C643DF">
        <w:rPr>
          <w:rFonts w:ascii="Times New Roman" w:hAnsi="Times New Roman" w:cs="Times New Roman"/>
          <w:i/>
          <w:sz w:val="24"/>
          <w:szCs w:val="24"/>
        </w:rPr>
        <w:t xml:space="preserve">mandamus </w:t>
      </w:r>
      <w:r w:rsidRPr="00C643DF">
        <w:rPr>
          <w:rFonts w:ascii="Times New Roman" w:hAnsi="Times New Roman" w:cs="Times New Roman"/>
          <w:sz w:val="24"/>
          <w:szCs w:val="24"/>
        </w:rPr>
        <w:t xml:space="preserve">directing the appellants to respond to the inquiry and nothing more. It was not. </w:t>
      </w:r>
      <w:r w:rsidR="00CE77EB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2C1E80" w:rsidRPr="00C643DF">
        <w:rPr>
          <w:rFonts w:ascii="Times New Roman" w:hAnsi="Times New Roman" w:cs="Times New Roman"/>
          <w:sz w:val="24"/>
          <w:szCs w:val="24"/>
        </w:rPr>
        <w:t xml:space="preserve">Instead, the order sought and granted required the second </w:t>
      </w:r>
      <w:r w:rsidR="00324D4C" w:rsidRPr="00C643DF">
        <w:rPr>
          <w:rFonts w:ascii="Times New Roman" w:hAnsi="Times New Roman" w:cs="Times New Roman"/>
          <w:sz w:val="24"/>
          <w:szCs w:val="24"/>
        </w:rPr>
        <w:t xml:space="preserve">appellant </w:t>
      </w:r>
      <w:r w:rsidR="002C1E80" w:rsidRPr="00C643DF">
        <w:rPr>
          <w:rFonts w:ascii="Times New Roman" w:hAnsi="Times New Roman" w:cs="Times New Roman"/>
          <w:sz w:val="24"/>
          <w:szCs w:val="24"/>
        </w:rPr>
        <w:t>to step into the shoes of the Bank and apply the assets of the bank to meet the terms of the agreements.</w:t>
      </w:r>
    </w:p>
    <w:p w:rsidR="00590333" w:rsidRPr="00C643DF" w:rsidRDefault="00590333" w:rsidP="000671EB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6C30" w:rsidRPr="00C643DF" w:rsidRDefault="005949A0" w:rsidP="000671EB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Having found as the</w:t>
      </w:r>
      <w:r w:rsidR="00B26C30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B26C30" w:rsidRPr="00C643DF">
        <w:rPr>
          <w:rFonts w:ascii="Times New Roman" w:hAnsi="Times New Roman" w:cs="Times New Roman"/>
          <w:i/>
          <w:sz w:val="24"/>
          <w:szCs w:val="24"/>
        </w:rPr>
        <w:t>ratio</w:t>
      </w:r>
      <w:r w:rsidRPr="00C643DF">
        <w:rPr>
          <w:rFonts w:ascii="Times New Roman" w:hAnsi="Times New Roman" w:cs="Times New Roman"/>
          <w:i/>
          <w:sz w:val="24"/>
          <w:szCs w:val="24"/>
        </w:rPr>
        <w:t xml:space="preserve"> of its decision</w:t>
      </w:r>
      <w:r w:rsidR="00B26C30" w:rsidRPr="00C643DF">
        <w:rPr>
          <w:rFonts w:ascii="Times New Roman" w:hAnsi="Times New Roman" w:cs="Times New Roman"/>
          <w:sz w:val="24"/>
          <w:szCs w:val="24"/>
        </w:rPr>
        <w:t xml:space="preserve"> that the application </w:t>
      </w:r>
      <w:r w:rsidR="003B3A76" w:rsidRPr="00C643DF">
        <w:rPr>
          <w:rFonts w:ascii="Times New Roman" w:hAnsi="Times New Roman" w:cs="Times New Roman"/>
          <w:sz w:val="24"/>
          <w:szCs w:val="24"/>
        </w:rPr>
        <w:t xml:space="preserve">before it </w:t>
      </w:r>
      <w:r w:rsidR="00B26C30" w:rsidRPr="00C643DF">
        <w:rPr>
          <w:rFonts w:ascii="Times New Roman" w:hAnsi="Times New Roman" w:cs="Times New Roman"/>
          <w:sz w:val="24"/>
          <w:szCs w:val="24"/>
        </w:rPr>
        <w:t>sough</w:t>
      </w:r>
      <w:r w:rsidR="003B3A76" w:rsidRPr="00C643DF">
        <w:rPr>
          <w:rFonts w:ascii="Times New Roman" w:hAnsi="Times New Roman" w:cs="Times New Roman"/>
          <w:sz w:val="24"/>
          <w:szCs w:val="24"/>
        </w:rPr>
        <w:t>t to compel the first appellant</w:t>
      </w:r>
      <w:r w:rsidR="00B26C30" w:rsidRPr="00C643DF">
        <w:rPr>
          <w:rFonts w:ascii="Times New Roman" w:hAnsi="Times New Roman" w:cs="Times New Roman"/>
          <w:sz w:val="24"/>
          <w:szCs w:val="24"/>
        </w:rPr>
        <w:t xml:space="preserve"> to res</w:t>
      </w:r>
      <w:r w:rsidR="002C1E80" w:rsidRPr="00C643DF">
        <w:rPr>
          <w:rFonts w:ascii="Times New Roman" w:hAnsi="Times New Roman" w:cs="Times New Roman"/>
          <w:sz w:val="24"/>
          <w:szCs w:val="24"/>
        </w:rPr>
        <w:t>pond to the inquiry</w:t>
      </w:r>
      <w:r w:rsidR="003B3A76" w:rsidRPr="00C643DF">
        <w:rPr>
          <w:rFonts w:ascii="Times New Roman" w:hAnsi="Times New Roman" w:cs="Times New Roman"/>
          <w:sz w:val="24"/>
          <w:szCs w:val="24"/>
        </w:rPr>
        <w:t xml:space="preserve"> made by the </w:t>
      </w:r>
      <w:r w:rsidR="00590333" w:rsidRPr="00C643DF">
        <w:rPr>
          <w:rFonts w:ascii="Times New Roman" w:hAnsi="Times New Roman" w:cs="Times New Roman"/>
          <w:sz w:val="24"/>
          <w:szCs w:val="24"/>
        </w:rPr>
        <w:t>respondent</w:t>
      </w:r>
      <w:r w:rsidR="002C1E80" w:rsidRPr="00C643DF">
        <w:rPr>
          <w:rFonts w:ascii="Times New Roman" w:hAnsi="Times New Roman" w:cs="Times New Roman"/>
          <w:sz w:val="24"/>
          <w:szCs w:val="24"/>
        </w:rPr>
        <w:t xml:space="preserve">, it stretches </w:t>
      </w:r>
      <w:r w:rsidR="00B26C30" w:rsidRPr="00C643DF">
        <w:rPr>
          <w:rFonts w:ascii="Times New Roman" w:hAnsi="Times New Roman" w:cs="Times New Roman"/>
          <w:sz w:val="24"/>
          <w:szCs w:val="24"/>
        </w:rPr>
        <w:t xml:space="preserve">the mind how the court </w:t>
      </w:r>
      <w:r w:rsidR="00B26C30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B26C30" w:rsidRPr="00C643DF">
        <w:rPr>
          <w:rFonts w:ascii="Times New Roman" w:hAnsi="Times New Roman" w:cs="Times New Roman"/>
          <w:sz w:val="24"/>
          <w:szCs w:val="24"/>
        </w:rPr>
        <w:t xml:space="preserve"> then issued the order that it did.</w:t>
      </w:r>
    </w:p>
    <w:p w:rsidR="00CE77EB" w:rsidRPr="00C643DF" w:rsidRDefault="00CE77EB" w:rsidP="0023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201" w:rsidRPr="00C643DF" w:rsidRDefault="00740201" w:rsidP="008522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In </w:t>
      </w:r>
      <w:r w:rsidR="00A40520" w:rsidRPr="00C643DF">
        <w:rPr>
          <w:rFonts w:ascii="Times New Roman" w:hAnsi="Times New Roman" w:cs="Times New Roman"/>
          <w:sz w:val="24"/>
          <w:szCs w:val="24"/>
        </w:rPr>
        <w:t>making its finding that leave was not necessary</w:t>
      </w:r>
      <w:r w:rsidR="00AB4AEA" w:rsidRPr="00C643DF">
        <w:rPr>
          <w:rFonts w:ascii="Times New Roman" w:hAnsi="Times New Roman" w:cs="Times New Roman"/>
          <w:sz w:val="24"/>
          <w:szCs w:val="24"/>
        </w:rPr>
        <w:t>, the</w:t>
      </w:r>
      <w:r w:rsidRPr="00C643DF">
        <w:rPr>
          <w:rFonts w:ascii="Times New Roman" w:hAnsi="Times New Roman" w:cs="Times New Roman"/>
          <w:sz w:val="24"/>
          <w:szCs w:val="24"/>
        </w:rPr>
        <w:t xml:space="preserve">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 xml:space="preserve"> had this to say:</w:t>
      </w:r>
    </w:p>
    <w:p w:rsidR="00740201" w:rsidRPr="00C643DF" w:rsidRDefault="00740201" w:rsidP="007D0E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“</w:t>
      </w:r>
      <w:r w:rsidR="009A6A35" w:rsidRPr="00C643DF">
        <w:rPr>
          <w:rFonts w:ascii="Times New Roman" w:hAnsi="Times New Roman" w:cs="Times New Roman"/>
          <w:sz w:val="24"/>
          <w:szCs w:val="24"/>
        </w:rPr>
        <w:t xml:space="preserve">It </w:t>
      </w:r>
      <w:r w:rsidRPr="00C643DF">
        <w:rPr>
          <w:rFonts w:ascii="Times New Roman" w:hAnsi="Times New Roman" w:cs="Times New Roman"/>
          <w:sz w:val="24"/>
          <w:szCs w:val="24"/>
        </w:rPr>
        <w:t xml:space="preserve">is only where the company under liquidation is being asked to perform certain functions that the leave of the court is required. But </w:t>
      </w:r>
      <w:r w:rsidR="002553CA" w:rsidRPr="00C643DF">
        <w:rPr>
          <w:rFonts w:ascii="Times New Roman" w:hAnsi="Times New Roman" w:cs="Times New Roman"/>
          <w:sz w:val="24"/>
          <w:szCs w:val="24"/>
        </w:rPr>
        <w:t xml:space="preserve">where </w:t>
      </w:r>
      <w:r w:rsidRPr="00C643DF">
        <w:rPr>
          <w:rFonts w:ascii="Times New Roman" w:hAnsi="Times New Roman" w:cs="Times New Roman"/>
          <w:sz w:val="24"/>
          <w:szCs w:val="24"/>
        </w:rPr>
        <w:t>it is the liquidator himself or herself is the one</w:t>
      </w:r>
      <w:r w:rsidR="00D35668">
        <w:rPr>
          <w:rFonts w:ascii="Times New Roman" w:hAnsi="Times New Roman" w:cs="Times New Roman"/>
          <w:sz w:val="24"/>
          <w:szCs w:val="24"/>
        </w:rPr>
        <w:t xml:space="preserve"> </w:t>
      </w:r>
      <w:r w:rsidRPr="00C643DF">
        <w:rPr>
          <w:rFonts w:ascii="Times New Roman" w:hAnsi="Times New Roman" w:cs="Times New Roman"/>
          <w:sz w:val="24"/>
          <w:szCs w:val="24"/>
        </w:rPr>
        <w:t xml:space="preserve">(sic) who is being asked </w:t>
      </w:r>
      <w:r w:rsidR="009A6A35" w:rsidRPr="00C643DF">
        <w:rPr>
          <w:rFonts w:ascii="Times New Roman" w:hAnsi="Times New Roman" w:cs="Times New Roman"/>
          <w:sz w:val="24"/>
          <w:szCs w:val="24"/>
        </w:rPr>
        <w:t xml:space="preserve">to do or not to do certain things, then the liquidator can be sued without citing the company under liquidation. The contention by the respondent is therefore baseless and it is dismissed.” </w:t>
      </w:r>
    </w:p>
    <w:p w:rsidR="007D0E46" w:rsidRPr="00C643DF" w:rsidRDefault="007D0E46" w:rsidP="001B74F5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0E46" w:rsidRDefault="00411F13" w:rsidP="001B74F5">
      <w:pPr>
        <w:spacing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As correctly observed in part by the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>, leave of the court is required before proceeding against</w:t>
      </w:r>
      <w:r w:rsidR="00F85F12" w:rsidRPr="00C643DF">
        <w:rPr>
          <w:rFonts w:ascii="Times New Roman" w:hAnsi="Times New Roman" w:cs="Times New Roman"/>
          <w:sz w:val="24"/>
          <w:szCs w:val="24"/>
        </w:rPr>
        <w:t xml:space="preserve"> a company</w:t>
      </w:r>
      <w:r w:rsidR="00871DFC" w:rsidRPr="00C643DF">
        <w:rPr>
          <w:rFonts w:ascii="Times New Roman" w:hAnsi="Times New Roman" w:cs="Times New Roman"/>
          <w:sz w:val="24"/>
          <w:szCs w:val="24"/>
        </w:rPr>
        <w:t xml:space="preserve"> and /or bank</w:t>
      </w:r>
      <w:r w:rsidRPr="00C643DF">
        <w:rPr>
          <w:rFonts w:ascii="Times New Roman" w:hAnsi="Times New Roman" w:cs="Times New Roman"/>
          <w:sz w:val="24"/>
          <w:szCs w:val="24"/>
        </w:rPr>
        <w:t xml:space="preserve"> in liquidation. </w:t>
      </w:r>
      <w:r w:rsidR="002C1E80" w:rsidRPr="00C643DF">
        <w:rPr>
          <w:rFonts w:ascii="Times New Roman" w:hAnsi="Times New Roman" w:cs="Times New Roman"/>
          <w:sz w:val="24"/>
          <w:szCs w:val="24"/>
        </w:rPr>
        <w:t xml:space="preserve"> This is so because </w:t>
      </w:r>
      <w:r w:rsidR="00AB4016" w:rsidRPr="00C643DF">
        <w:rPr>
          <w:rFonts w:ascii="Times New Roman" w:hAnsi="Times New Roman" w:cs="Times New Roman"/>
          <w:sz w:val="24"/>
          <w:szCs w:val="24"/>
        </w:rPr>
        <w:t xml:space="preserve">the broad purpose of the law of insolvency and the winding up of companies is to ensure due distribution of the insufficient assets of the debtor </w:t>
      </w:r>
      <w:r w:rsidR="000967BE" w:rsidRPr="00C643DF">
        <w:rPr>
          <w:rFonts w:ascii="Times New Roman" w:hAnsi="Times New Roman" w:cs="Times New Roman"/>
          <w:sz w:val="24"/>
          <w:szCs w:val="24"/>
        </w:rPr>
        <w:t xml:space="preserve">company </w:t>
      </w:r>
      <w:r w:rsidR="00AB4016" w:rsidRPr="00C643DF">
        <w:rPr>
          <w:rFonts w:ascii="Times New Roman" w:hAnsi="Times New Roman" w:cs="Times New Roman"/>
          <w:sz w:val="24"/>
          <w:szCs w:val="24"/>
        </w:rPr>
        <w:t>amongst the competing creditors under the watchful eyes of the court. Thus, t</w:t>
      </w:r>
      <w:r w:rsidR="00D21EF7" w:rsidRPr="00C643DF">
        <w:rPr>
          <w:rFonts w:ascii="Times New Roman" w:hAnsi="Times New Roman" w:cs="Times New Roman"/>
          <w:sz w:val="24"/>
          <w:szCs w:val="24"/>
        </w:rPr>
        <w:t xml:space="preserve">he position is settled at law that an order placing an estate or a company in liquidation has the effect of creating a </w:t>
      </w:r>
      <w:r w:rsidR="00D21EF7" w:rsidRPr="00C643DF">
        <w:rPr>
          <w:rFonts w:ascii="Times New Roman" w:hAnsi="Times New Roman" w:cs="Times New Roman"/>
          <w:i/>
          <w:sz w:val="24"/>
          <w:szCs w:val="24"/>
        </w:rPr>
        <w:t>concursus</w:t>
      </w:r>
      <w:r w:rsidR="00D21EF7" w:rsidRPr="00C643DF">
        <w:rPr>
          <w:rFonts w:ascii="Times New Roman" w:hAnsi="Times New Roman" w:cs="Times New Roman"/>
          <w:sz w:val="24"/>
          <w:szCs w:val="24"/>
        </w:rPr>
        <w:t xml:space="preserve"> of the creditors of the </w:t>
      </w:r>
      <w:r w:rsidR="00AD37B6" w:rsidRPr="00C643DF">
        <w:rPr>
          <w:rFonts w:ascii="Times New Roman" w:hAnsi="Times New Roman" w:cs="Times New Roman"/>
          <w:sz w:val="24"/>
          <w:szCs w:val="24"/>
        </w:rPr>
        <w:t xml:space="preserve">insolvent </w:t>
      </w:r>
      <w:r w:rsidR="00AB4016" w:rsidRPr="00C643DF">
        <w:rPr>
          <w:rFonts w:ascii="Times New Roman" w:hAnsi="Times New Roman" w:cs="Times New Roman"/>
          <w:sz w:val="24"/>
          <w:szCs w:val="24"/>
        </w:rPr>
        <w:t>and n</w:t>
      </w:r>
      <w:r w:rsidR="006255E4" w:rsidRPr="00C643DF">
        <w:rPr>
          <w:rFonts w:ascii="Times New Roman" w:hAnsi="Times New Roman" w:cs="Times New Roman"/>
          <w:sz w:val="24"/>
          <w:szCs w:val="24"/>
        </w:rPr>
        <w:t>o</w:t>
      </w:r>
      <w:r w:rsidR="00C90AE5" w:rsidRPr="00C643DF">
        <w:rPr>
          <w:rFonts w:ascii="Times New Roman" w:hAnsi="Times New Roman" w:cs="Times New Roman"/>
          <w:sz w:val="24"/>
          <w:szCs w:val="24"/>
        </w:rPr>
        <w:t xml:space="preserve"> creditor can thereafter do anything that will alter the rights </w:t>
      </w:r>
      <w:r w:rsidR="00AD37B6" w:rsidRPr="00C643DF">
        <w:rPr>
          <w:rFonts w:ascii="Times New Roman" w:hAnsi="Times New Roman" w:cs="Times New Roman"/>
          <w:sz w:val="24"/>
          <w:szCs w:val="24"/>
        </w:rPr>
        <w:t xml:space="preserve">and interest </w:t>
      </w:r>
      <w:r w:rsidR="00C90AE5" w:rsidRPr="00C643DF">
        <w:rPr>
          <w:rFonts w:ascii="Times New Roman" w:hAnsi="Times New Roman" w:cs="Times New Roman"/>
          <w:sz w:val="24"/>
          <w:szCs w:val="24"/>
        </w:rPr>
        <w:t>of other creditors</w:t>
      </w:r>
      <w:r w:rsidR="00AB4016" w:rsidRPr="00C643DF">
        <w:rPr>
          <w:rFonts w:ascii="Times New Roman" w:hAnsi="Times New Roman" w:cs="Times New Roman"/>
          <w:sz w:val="24"/>
          <w:szCs w:val="24"/>
        </w:rPr>
        <w:t xml:space="preserve"> without the leave of the court.</w:t>
      </w:r>
      <w:r w:rsidR="00C90AE5" w:rsidRPr="00C643DF">
        <w:rPr>
          <w:rFonts w:ascii="Times New Roman" w:hAnsi="Times New Roman" w:cs="Times New Roman"/>
          <w:sz w:val="24"/>
          <w:szCs w:val="24"/>
        </w:rPr>
        <w:t xml:space="preserve"> Unsupervised</w:t>
      </w:r>
      <w:r w:rsidR="00AB4016" w:rsidRPr="00C643DF">
        <w:rPr>
          <w:rFonts w:ascii="Times New Roman" w:hAnsi="Times New Roman" w:cs="Times New Roman"/>
          <w:sz w:val="24"/>
          <w:szCs w:val="24"/>
        </w:rPr>
        <w:t xml:space="preserve"> and unsanctioned </w:t>
      </w:r>
      <w:r w:rsidR="00C90AE5" w:rsidRPr="00C643DF">
        <w:rPr>
          <w:rFonts w:ascii="Times New Roman" w:hAnsi="Times New Roman" w:cs="Times New Roman"/>
          <w:sz w:val="24"/>
          <w:szCs w:val="24"/>
        </w:rPr>
        <w:t>litigation</w:t>
      </w:r>
      <w:r w:rsidR="0051058A" w:rsidRPr="00C643DF">
        <w:rPr>
          <w:rFonts w:ascii="Times New Roman" w:hAnsi="Times New Roman" w:cs="Times New Roman"/>
          <w:sz w:val="24"/>
          <w:szCs w:val="24"/>
        </w:rPr>
        <w:t xml:space="preserve"> and proceedings </w:t>
      </w:r>
      <w:r w:rsidR="00C90AE5" w:rsidRPr="00C643DF">
        <w:rPr>
          <w:rFonts w:ascii="Times New Roman" w:hAnsi="Times New Roman" w:cs="Times New Roman"/>
          <w:sz w:val="24"/>
          <w:szCs w:val="24"/>
        </w:rPr>
        <w:t>against the insolvent will disturb the due distribution of the insufficient assets</w:t>
      </w:r>
      <w:r w:rsidR="00AB4016" w:rsidRPr="00C643DF">
        <w:rPr>
          <w:rFonts w:ascii="Times New Roman" w:hAnsi="Times New Roman" w:cs="Times New Roman"/>
          <w:sz w:val="24"/>
          <w:szCs w:val="24"/>
        </w:rPr>
        <w:t xml:space="preserve"> and removes the role of the court from the process.</w:t>
      </w:r>
    </w:p>
    <w:p w:rsidR="00D35668" w:rsidRPr="00C643DF" w:rsidRDefault="00D35668" w:rsidP="00D35668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104F" w:rsidRPr="00C643DF" w:rsidRDefault="002D104F" w:rsidP="001B74F5">
      <w:pPr>
        <w:spacing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It may also be added that the leave of the court is necessary in such circumstances as a broader consideration of protecting the economically fragile company from unnecessary litigation quite apart from merely protecting the interests of the creditors.</w:t>
      </w:r>
    </w:p>
    <w:p w:rsidR="009905CD" w:rsidRPr="00C643DF" w:rsidRDefault="009905CD" w:rsidP="009905CD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30CB" w:rsidRPr="00C643DF" w:rsidRDefault="00A930CB" w:rsidP="007D0E4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It being common cause that leave of the court was not sought and obtained prior to the institution of the proceedings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>, the appeal succeeds on this basis alone.</w:t>
      </w:r>
    </w:p>
    <w:p w:rsidR="007D0E46" w:rsidRPr="00C643DF" w:rsidRDefault="007D0E46" w:rsidP="007D0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201" w:rsidRPr="00C643DF" w:rsidRDefault="007E720E" w:rsidP="007D0E4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It is therefore my finding that the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 xml:space="preserve"> erred in construing the cause that was before it. The application</w:t>
      </w:r>
      <w:r w:rsidR="00DB4054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="00DB4054"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="00DB4054" w:rsidRPr="00C643DF">
        <w:rPr>
          <w:rFonts w:ascii="Times New Roman" w:hAnsi="Times New Roman" w:cs="Times New Roman"/>
          <w:sz w:val="24"/>
          <w:szCs w:val="24"/>
        </w:rPr>
        <w:t xml:space="preserve"> </w:t>
      </w:r>
      <w:r w:rsidRPr="00C643DF">
        <w:rPr>
          <w:rFonts w:ascii="Times New Roman" w:hAnsi="Times New Roman" w:cs="Times New Roman"/>
          <w:sz w:val="24"/>
          <w:szCs w:val="24"/>
        </w:rPr>
        <w:t xml:space="preserve">was not against the appellants in their personal </w:t>
      </w:r>
      <w:r w:rsidR="00E57541" w:rsidRPr="00C643DF">
        <w:rPr>
          <w:rFonts w:ascii="Times New Roman" w:hAnsi="Times New Roman" w:cs="Times New Roman"/>
          <w:sz w:val="24"/>
          <w:szCs w:val="24"/>
        </w:rPr>
        <w:t>capacities. It was against the B</w:t>
      </w:r>
      <w:r w:rsidR="00DB4054" w:rsidRPr="00C643DF">
        <w:rPr>
          <w:rFonts w:ascii="Times New Roman" w:hAnsi="Times New Roman" w:cs="Times New Roman"/>
          <w:sz w:val="24"/>
          <w:szCs w:val="24"/>
        </w:rPr>
        <w:t>ank in liquidation. It sought to compel the second appellant to perform under the two agreements that the respondent had with the Bank</w:t>
      </w:r>
      <w:r w:rsidR="003F781A" w:rsidRPr="00C643DF">
        <w:rPr>
          <w:rFonts w:ascii="Times New Roman" w:hAnsi="Times New Roman" w:cs="Times New Roman"/>
          <w:sz w:val="24"/>
          <w:szCs w:val="24"/>
        </w:rPr>
        <w:t xml:space="preserve"> as if it was the Bank</w:t>
      </w:r>
      <w:r w:rsidR="00DB4054" w:rsidRPr="00C643DF">
        <w:rPr>
          <w:rFonts w:ascii="Times New Roman" w:hAnsi="Times New Roman" w:cs="Times New Roman"/>
          <w:sz w:val="24"/>
          <w:szCs w:val="24"/>
        </w:rPr>
        <w:t>. S</w:t>
      </w:r>
      <w:r w:rsidRPr="00C643DF">
        <w:rPr>
          <w:rFonts w:ascii="Times New Roman" w:hAnsi="Times New Roman" w:cs="Times New Roman"/>
          <w:sz w:val="24"/>
          <w:szCs w:val="24"/>
        </w:rPr>
        <w:t>uch proceedings ought to have been with the leave of court.</w:t>
      </w:r>
    </w:p>
    <w:p w:rsidR="007D0E46" w:rsidRPr="00C643DF" w:rsidRDefault="007D0E46" w:rsidP="007D0E4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01CAE" w:rsidRPr="00C643DF" w:rsidRDefault="00201CAE" w:rsidP="003E672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In view of the finding that I make above, it is not necessary that I determine the remaining grounds of appeal.</w:t>
      </w:r>
    </w:p>
    <w:p w:rsidR="00201CAE" w:rsidRPr="00C643DF" w:rsidRDefault="00201CAE" w:rsidP="00201CA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77" w:rsidRPr="00C643DF" w:rsidRDefault="00B04859" w:rsidP="007D0E4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There is no reason why costs in this appeal </w:t>
      </w:r>
      <w:r w:rsidR="00854477" w:rsidRPr="00C643DF">
        <w:rPr>
          <w:rFonts w:ascii="Times New Roman" w:hAnsi="Times New Roman" w:cs="Times New Roman"/>
          <w:sz w:val="24"/>
          <w:szCs w:val="24"/>
        </w:rPr>
        <w:t>should not follow the cause.</w:t>
      </w:r>
      <w:r w:rsidR="003F781A" w:rsidRPr="00C643DF">
        <w:rPr>
          <w:rFonts w:ascii="Times New Roman" w:hAnsi="Times New Roman" w:cs="Times New Roman"/>
          <w:sz w:val="24"/>
          <w:szCs w:val="24"/>
        </w:rPr>
        <w:t xml:space="preserve"> The respondent did not advance any for our consideration. </w:t>
      </w:r>
    </w:p>
    <w:p w:rsidR="00FE1432" w:rsidRPr="00C643DF" w:rsidRDefault="00FE1432" w:rsidP="007D0E46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0FD8" w:rsidRPr="00C643DF" w:rsidRDefault="00A90FD8" w:rsidP="007D0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In the result, I make the following order:</w:t>
      </w:r>
    </w:p>
    <w:p w:rsidR="00A90FD8" w:rsidRPr="00C643DF" w:rsidRDefault="00A90FD8" w:rsidP="007D0E4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The appeal is allowed with costs.</w:t>
      </w:r>
    </w:p>
    <w:p w:rsidR="00A90FD8" w:rsidRPr="00C643DF" w:rsidRDefault="00A90FD8" w:rsidP="007D0E4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 xml:space="preserve">The judgment of the court </w:t>
      </w:r>
      <w:r w:rsidRPr="00C643DF">
        <w:rPr>
          <w:rFonts w:ascii="Times New Roman" w:hAnsi="Times New Roman" w:cs="Times New Roman"/>
          <w:i/>
          <w:sz w:val="24"/>
          <w:szCs w:val="24"/>
        </w:rPr>
        <w:t>a quo</w:t>
      </w:r>
      <w:r w:rsidRPr="00C643DF">
        <w:rPr>
          <w:rFonts w:ascii="Times New Roman" w:hAnsi="Times New Roman" w:cs="Times New Roman"/>
          <w:sz w:val="24"/>
          <w:szCs w:val="24"/>
        </w:rPr>
        <w:t xml:space="preserve"> is set aside and </w:t>
      </w:r>
      <w:r w:rsidR="00935B83" w:rsidRPr="00C643DF">
        <w:rPr>
          <w:rFonts w:ascii="Times New Roman" w:hAnsi="Times New Roman" w:cs="Times New Roman"/>
          <w:sz w:val="24"/>
          <w:szCs w:val="24"/>
        </w:rPr>
        <w:t xml:space="preserve">is </w:t>
      </w:r>
      <w:r w:rsidRPr="00C643DF">
        <w:rPr>
          <w:rFonts w:ascii="Times New Roman" w:hAnsi="Times New Roman" w:cs="Times New Roman"/>
          <w:sz w:val="24"/>
          <w:szCs w:val="24"/>
        </w:rPr>
        <w:t>substituted with the following:</w:t>
      </w:r>
    </w:p>
    <w:p w:rsidR="00A90FD8" w:rsidRPr="00C643DF" w:rsidRDefault="00A90FD8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>“</w:t>
      </w:r>
      <w:r w:rsidR="00471157" w:rsidRPr="00C643DF">
        <w:rPr>
          <w:rFonts w:ascii="Times New Roman" w:hAnsi="Times New Roman" w:cs="Times New Roman"/>
          <w:sz w:val="24"/>
          <w:szCs w:val="24"/>
        </w:rPr>
        <w:t>T</w:t>
      </w:r>
      <w:r w:rsidRPr="00C643DF">
        <w:rPr>
          <w:rFonts w:ascii="Times New Roman" w:hAnsi="Times New Roman" w:cs="Times New Roman"/>
          <w:sz w:val="24"/>
          <w:szCs w:val="24"/>
        </w:rPr>
        <w:t>he application is dismissed with costs.”</w:t>
      </w:r>
    </w:p>
    <w:p w:rsidR="00471157" w:rsidRPr="00C643DF" w:rsidRDefault="00471157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02" w:rsidRPr="00C643DF" w:rsidRDefault="008E2702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4F5" w:rsidRDefault="001B74F5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668" w:rsidRDefault="00D35668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668" w:rsidRDefault="00D35668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668" w:rsidRPr="00C643DF" w:rsidRDefault="00D35668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02" w:rsidRPr="00C643DF" w:rsidRDefault="008E2702" w:rsidP="008E2702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b/>
          <w:bCs/>
          <w:sz w:val="24"/>
          <w:szCs w:val="24"/>
        </w:rPr>
        <w:t>HLATSHWAYO JA</w:t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643DF">
        <w:rPr>
          <w:rFonts w:ascii="Times New Roman" w:hAnsi="Times New Roman" w:cs="Times New Roman"/>
          <w:sz w:val="24"/>
          <w:szCs w:val="24"/>
        </w:rPr>
        <w:tab/>
      </w:r>
      <w:r w:rsidRPr="00C643DF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8E2702" w:rsidRPr="00C643DF" w:rsidRDefault="008E2702" w:rsidP="008E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702" w:rsidRPr="00C643DF" w:rsidRDefault="008E2702" w:rsidP="008E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702" w:rsidRDefault="008E2702" w:rsidP="008E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668" w:rsidRDefault="00D35668" w:rsidP="008E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668" w:rsidRPr="00C643DF" w:rsidRDefault="00D35668" w:rsidP="008E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702" w:rsidRPr="00C643DF" w:rsidRDefault="008E2702" w:rsidP="008E2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sz w:val="24"/>
          <w:szCs w:val="24"/>
        </w:rPr>
        <w:tab/>
      </w:r>
      <w:r w:rsidRPr="00C643DF">
        <w:rPr>
          <w:rFonts w:ascii="Times New Roman" w:hAnsi="Times New Roman" w:cs="Times New Roman"/>
          <w:sz w:val="24"/>
          <w:szCs w:val="24"/>
        </w:rPr>
        <w:tab/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>MAKONI JA</w:t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43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43DF">
        <w:rPr>
          <w:rFonts w:ascii="Times New Roman" w:hAnsi="Times New Roman" w:cs="Times New Roman"/>
          <w:sz w:val="24"/>
          <w:szCs w:val="24"/>
        </w:rPr>
        <w:t>I agree</w:t>
      </w:r>
    </w:p>
    <w:p w:rsidR="007D0E46" w:rsidRPr="00C643DF" w:rsidRDefault="007D0E46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E46" w:rsidRPr="00C643DF" w:rsidRDefault="007D0E46" w:rsidP="007D0E4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E46" w:rsidRPr="00C643DF" w:rsidRDefault="007D0E46" w:rsidP="00B7166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77" w:rsidRPr="00C643DF" w:rsidRDefault="00471157" w:rsidP="007D0E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i/>
          <w:sz w:val="24"/>
          <w:szCs w:val="24"/>
        </w:rPr>
        <w:t>Scanlen &amp;Holderness</w:t>
      </w:r>
      <w:r w:rsidRPr="00C643DF">
        <w:rPr>
          <w:rFonts w:ascii="Times New Roman" w:hAnsi="Times New Roman" w:cs="Times New Roman"/>
          <w:sz w:val="24"/>
          <w:szCs w:val="24"/>
        </w:rPr>
        <w:t>, appellants’ legal practitioners</w:t>
      </w:r>
    </w:p>
    <w:p w:rsidR="00471157" w:rsidRPr="00C643DF" w:rsidRDefault="00471157" w:rsidP="001909E6">
      <w:pPr>
        <w:jc w:val="both"/>
        <w:rPr>
          <w:rFonts w:ascii="Times New Roman" w:hAnsi="Times New Roman" w:cs="Times New Roman"/>
          <w:sz w:val="24"/>
          <w:szCs w:val="24"/>
        </w:rPr>
      </w:pPr>
      <w:r w:rsidRPr="00C643DF">
        <w:rPr>
          <w:rFonts w:ascii="Times New Roman" w:hAnsi="Times New Roman" w:cs="Times New Roman"/>
          <w:i/>
          <w:sz w:val="24"/>
          <w:szCs w:val="24"/>
        </w:rPr>
        <w:t>Atherstone &amp; Cook</w:t>
      </w:r>
      <w:r w:rsidRPr="00C643DF">
        <w:rPr>
          <w:rFonts w:ascii="Times New Roman" w:hAnsi="Times New Roman" w:cs="Times New Roman"/>
          <w:sz w:val="24"/>
          <w:szCs w:val="24"/>
        </w:rPr>
        <w:t>, respondent’s legal practitioners.</w:t>
      </w:r>
    </w:p>
    <w:sectPr w:rsidR="00471157" w:rsidRPr="00C64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2C" w:rsidRDefault="00252F2C" w:rsidP="00DF4932">
      <w:pPr>
        <w:spacing w:after="0" w:line="240" w:lineRule="auto"/>
      </w:pPr>
      <w:r>
        <w:separator/>
      </w:r>
    </w:p>
  </w:endnote>
  <w:endnote w:type="continuationSeparator" w:id="0">
    <w:p w:rsidR="00252F2C" w:rsidRDefault="00252F2C" w:rsidP="00DF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B0" w:rsidRDefault="00990D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B0" w:rsidRDefault="00990D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B0" w:rsidRDefault="00990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2C" w:rsidRDefault="00252F2C" w:rsidP="00DF4932">
      <w:pPr>
        <w:spacing w:after="0" w:line="240" w:lineRule="auto"/>
      </w:pPr>
      <w:r>
        <w:separator/>
      </w:r>
    </w:p>
  </w:footnote>
  <w:footnote w:type="continuationSeparator" w:id="0">
    <w:p w:rsidR="00252F2C" w:rsidRDefault="00252F2C" w:rsidP="00DF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B0" w:rsidRDefault="00990D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32" w:rsidRPr="00DF4932" w:rsidRDefault="00DF4932">
    <w:pPr>
      <w:pStyle w:val="Header"/>
      <w:rPr>
        <w:rFonts w:ascii="Courier New" w:hAnsi="Courier New" w:cs="Courier New"/>
        <w:sz w:val="24"/>
        <w:szCs w:val="24"/>
      </w:rPr>
    </w:pP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932" w:rsidRPr="00C643DF" w:rsidRDefault="00DF4932" w:rsidP="00DF493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noProof/>
                              <w:sz w:val="24"/>
                              <w:szCs w:val="24"/>
                            </w:rPr>
                            <w:t xml:space="preserve">                                      </w:t>
                          </w:r>
                          <w:r w:rsid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Judgment No. S</w:t>
                          </w:r>
                          <w:r w:rsidR="00990DB0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</w:t>
                          </w:r>
                          <w:r w:rsid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990DB0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23</w:t>
                          </w:r>
                          <w:r w:rsid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/2020</w:t>
                          </w:r>
                        </w:p>
                        <w:p w:rsidR="00DF4932" w:rsidRPr="006327E4" w:rsidRDefault="003A69F9" w:rsidP="00DF4932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  <w:r w:rsid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                                                       </w:t>
                          </w:r>
                          <w:r w:rsidRP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Civil Appeal No. S</w:t>
                          </w:r>
                          <w:r w:rsidR="00990DB0" w:rsidRP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</w:t>
                          </w:r>
                          <w:r w:rsidRPr="00C643DF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 295/17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DF4932" w:rsidRPr="00C643DF" w:rsidRDefault="00DF4932" w:rsidP="00DF493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noProof/>
                        <w:sz w:val="24"/>
                        <w:szCs w:val="24"/>
                      </w:rPr>
                      <w:t xml:space="preserve">                                      </w:t>
                    </w:r>
                    <w:r w:rsid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Judgment No. S</w:t>
                    </w:r>
                    <w:r w:rsidR="00990DB0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</w:t>
                    </w:r>
                    <w:r w:rsid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</w:t>
                    </w:r>
                    <w:r w:rsidR="00990DB0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23</w:t>
                    </w:r>
                    <w:r w:rsid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/2020</w:t>
                    </w:r>
                  </w:p>
                  <w:p w:rsidR="00DF4932" w:rsidRPr="006327E4" w:rsidRDefault="003A69F9" w:rsidP="00DF4932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b/>
                        <w:noProof/>
                        <w:sz w:val="24"/>
                        <w:szCs w:val="24"/>
                      </w:rPr>
                    </w:pPr>
                    <w:r w:rsidRP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                                </w:t>
                    </w:r>
                    <w:r w:rsid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                                                       </w:t>
                    </w:r>
                    <w:r w:rsidRP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Civil Appeal No. S</w:t>
                    </w:r>
                    <w:r w:rsidR="00990DB0" w:rsidRP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</w:t>
                    </w:r>
                    <w:r w:rsidRPr="00C643DF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 295/17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DF4932" w:rsidRDefault="00DF4932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51C92" w:rsidRPr="00151C9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DF4932" w:rsidRDefault="00DF4932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51C92" w:rsidRPr="00151C92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B0" w:rsidRDefault="00990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17A"/>
    <w:multiLevelType w:val="hybridMultilevel"/>
    <w:tmpl w:val="7646D6BC"/>
    <w:lvl w:ilvl="0" w:tplc="05C0EA5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27EC"/>
    <w:multiLevelType w:val="hybridMultilevel"/>
    <w:tmpl w:val="03FE623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5148"/>
    <w:multiLevelType w:val="hybridMultilevel"/>
    <w:tmpl w:val="399C927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41530"/>
    <w:multiLevelType w:val="hybridMultilevel"/>
    <w:tmpl w:val="15084DC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714E5"/>
    <w:multiLevelType w:val="hybridMultilevel"/>
    <w:tmpl w:val="35F0C17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1E"/>
    <w:rsid w:val="000006AF"/>
    <w:rsid w:val="00012F9D"/>
    <w:rsid w:val="00016D11"/>
    <w:rsid w:val="00024D6A"/>
    <w:rsid w:val="00053103"/>
    <w:rsid w:val="00063053"/>
    <w:rsid w:val="000671EB"/>
    <w:rsid w:val="00076FF9"/>
    <w:rsid w:val="0009033B"/>
    <w:rsid w:val="00092907"/>
    <w:rsid w:val="000967BE"/>
    <w:rsid w:val="000A6C6F"/>
    <w:rsid w:val="000B52AE"/>
    <w:rsid w:val="000D76F9"/>
    <w:rsid w:val="000E09B6"/>
    <w:rsid w:val="000E134C"/>
    <w:rsid w:val="000F36CF"/>
    <w:rsid w:val="0011044A"/>
    <w:rsid w:val="00122C94"/>
    <w:rsid w:val="00126C8F"/>
    <w:rsid w:val="00135436"/>
    <w:rsid w:val="00140A40"/>
    <w:rsid w:val="001436DC"/>
    <w:rsid w:val="00151C92"/>
    <w:rsid w:val="0016493D"/>
    <w:rsid w:val="00176E6E"/>
    <w:rsid w:val="0018314C"/>
    <w:rsid w:val="00183349"/>
    <w:rsid w:val="00184E4D"/>
    <w:rsid w:val="001879ED"/>
    <w:rsid w:val="001909E6"/>
    <w:rsid w:val="001B74F5"/>
    <w:rsid w:val="001E550D"/>
    <w:rsid w:val="001F1170"/>
    <w:rsid w:val="00201CAE"/>
    <w:rsid w:val="00223AAF"/>
    <w:rsid w:val="002266A9"/>
    <w:rsid w:val="0022727C"/>
    <w:rsid w:val="002304FC"/>
    <w:rsid w:val="0025254E"/>
    <w:rsid w:val="00252F2C"/>
    <w:rsid w:val="002545AF"/>
    <w:rsid w:val="002548B7"/>
    <w:rsid w:val="002553CA"/>
    <w:rsid w:val="002770D3"/>
    <w:rsid w:val="00284AE1"/>
    <w:rsid w:val="002A60E0"/>
    <w:rsid w:val="002B7170"/>
    <w:rsid w:val="002C1E80"/>
    <w:rsid w:val="002D104F"/>
    <w:rsid w:val="002D3710"/>
    <w:rsid w:val="002D7EE8"/>
    <w:rsid w:val="002D7F64"/>
    <w:rsid w:val="002F4FC7"/>
    <w:rsid w:val="00304A96"/>
    <w:rsid w:val="00322D1F"/>
    <w:rsid w:val="00324D4C"/>
    <w:rsid w:val="003256DA"/>
    <w:rsid w:val="00340B45"/>
    <w:rsid w:val="00351E16"/>
    <w:rsid w:val="003544F2"/>
    <w:rsid w:val="00387BD0"/>
    <w:rsid w:val="003A41C9"/>
    <w:rsid w:val="003A69F9"/>
    <w:rsid w:val="003A7B18"/>
    <w:rsid w:val="003B3A76"/>
    <w:rsid w:val="003E609A"/>
    <w:rsid w:val="003E6720"/>
    <w:rsid w:val="003F5870"/>
    <w:rsid w:val="003F646F"/>
    <w:rsid w:val="003F781A"/>
    <w:rsid w:val="0040081E"/>
    <w:rsid w:val="00403969"/>
    <w:rsid w:val="00410384"/>
    <w:rsid w:val="00411F13"/>
    <w:rsid w:val="004529D4"/>
    <w:rsid w:val="00470596"/>
    <w:rsid w:val="00471157"/>
    <w:rsid w:val="00482545"/>
    <w:rsid w:val="00490469"/>
    <w:rsid w:val="004A01DD"/>
    <w:rsid w:val="004B2D49"/>
    <w:rsid w:val="004D7A27"/>
    <w:rsid w:val="004E49C5"/>
    <w:rsid w:val="004E57EF"/>
    <w:rsid w:val="004F5A16"/>
    <w:rsid w:val="004F6BA4"/>
    <w:rsid w:val="0051058A"/>
    <w:rsid w:val="00511230"/>
    <w:rsid w:val="00516E0B"/>
    <w:rsid w:val="00520AE8"/>
    <w:rsid w:val="00531F70"/>
    <w:rsid w:val="00532BA9"/>
    <w:rsid w:val="0053644F"/>
    <w:rsid w:val="00544464"/>
    <w:rsid w:val="005555CE"/>
    <w:rsid w:val="0056266A"/>
    <w:rsid w:val="00562FC6"/>
    <w:rsid w:val="005764E4"/>
    <w:rsid w:val="00587115"/>
    <w:rsid w:val="00590333"/>
    <w:rsid w:val="005949A0"/>
    <w:rsid w:val="005B062D"/>
    <w:rsid w:val="005B1194"/>
    <w:rsid w:val="005B6F59"/>
    <w:rsid w:val="005F2EF1"/>
    <w:rsid w:val="00602413"/>
    <w:rsid w:val="006255E4"/>
    <w:rsid w:val="006327E4"/>
    <w:rsid w:val="00637ECF"/>
    <w:rsid w:val="00643B9B"/>
    <w:rsid w:val="00671D48"/>
    <w:rsid w:val="006826A0"/>
    <w:rsid w:val="006A1403"/>
    <w:rsid w:val="006A2313"/>
    <w:rsid w:val="006B1FAA"/>
    <w:rsid w:val="006C079A"/>
    <w:rsid w:val="006D0C27"/>
    <w:rsid w:val="006E2F2C"/>
    <w:rsid w:val="006F4EA6"/>
    <w:rsid w:val="00707BA3"/>
    <w:rsid w:val="00713CA5"/>
    <w:rsid w:val="007170DD"/>
    <w:rsid w:val="00726D01"/>
    <w:rsid w:val="00740201"/>
    <w:rsid w:val="00761E57"/>
    <w:rsid w:val="00766649"/>
    <w:rsid w:val="007813A1"/>
    <w:rsid w:val="0079243B"/>
    <w:rsid w:val="007B7849"/>
    <w:rsid w:val="007C64BF"/>
    <w:rsid w:val="007D0E46"/>
    <w:rsid w:val="007D672F"/>
    <w:rsid w:val="007D7137"/>
    <w:rsid w:val="007E00D3"/>
    <w:rsid w:val="007E720E"/>
    <w:rsid w:val="007F4C1C"/>
    <w:rsid w:val="007F68FD"/>
    <w:rsid w:val="00800909"/>
    <w:rsid w:val="00802848"/>
    <w:rsid w:val="00813C09"/>
    <w:rsid w:val="00835FD2"/>
    <w:rsid w:val="0084350D"/>
    <w:rsid w:val="00851480"/>
    <w:rsid w:val="008522AA"/>
    <w:rsid w:val="00854477"/>
    <w:rsid w:val="00871DFC"/>
    <w:rsid w:val="008746A2"/>
    <w:rsid w:val="0087541D"/>
    <w:rsid w:val="008B24BD"/>
    <w:rsid w:val="008C233C"/>
    <w:rsid w:val="008D5AA0"/>
    <w:rsid w:val="008E2702"/>
    <w:rsid w:val="008F1873"/>
    <w:rsid w:val="008F2478"/>
    <w:rsid w:val="0090168C"/>
    <w:rsid w:val="009140AF"/>
    <w:rsid w:val="00917157"/>
    <w:rsid w:val="00932D8B"/>
    <w:rsid w:val="00935B83"/>
    <w:rsid w:val="00951241"/>
    <w:rsid w:val="00953C8F"/>
    <w:rsid w:val="00954404"/>
    <w:rsid w:val="009622B0"/>
    <w:rsid w:val="009625B6"/>
    <w:rsid w:val="00976FA7"/>
    <w:rsid w:val="00980C44"/>
    <w:rsid w:val="009905CD"/>
    <w:rsid w:val="00990DB0"/>
    <w:rsid w:val="009A6A35"/>
    <w:rsid w:val="009B158C"/>
    <w:rsid w:val="009B512D"/>
    <w:rsid w:val="009C043F"/>
    <w:rsid w:val="00A067BC"/>
    <w:rsid w:val="00A40520"/>
    <w:rsid w:val="00A53917"/>
    <w:rsid w:val="00A81AA1"/>
    <w:rsid w:val="00A843DB"/>
    <w:rsid w:val="00A84EA7"/>
    <w:rsid w:val="00A87449"/>
    <w:rsid w:val="00A90FD8"/>
    <w:rsid w:val="00A930CB"/>
    <w:rsid w:val="00A95D24"/>
    <w:rsid w:val="00AB3D6E"/>
    <w:rsid w:val="00AB4016"/>
    <w:rsid w:val="00AB4AEA"/>
    <w:rsid w:val="00AD37B6"/>
    <w:rsid w:val="00AD4EE1"/>
    <w:rsid w:val="00B04859"/>
    <w:rsid w:val="00B05DBF"/>
    <w:rsid w:val="00B1193B"/>
    <w:rsid w:val="00B2536A"/>
    <w:rsid w:val="00B26C30"/>
    <w:rsid w:val="00B65CEC"/>
    <w:rsid w:val="00B70122"/>
    <w:rsid w:val="00B71664"/>
    <w:rsid w:val="00B75AAE"/>
    <w:rsid w:val="00B815D1"/>
    <w:rsid w:val="00BA487E"/>
    <w:rsid w:val="00BA49CB"/>
    <w:rsid w:val="00BA586E"/>
    <w:rsid w:val="00BD25F7"/>
    <w:rsid w:val="00BF3EAB"/>
    <w:rsid w:val="00C621B5"/>
    <w:rsid w:val="00C643DF"/>
    <w:rsid w:val="00C77A9E"/>
    <w:rsid w:val="00C81D3C"/>
    <w:rsid w:val="00C8581C"/>
    <w:rsid w:val="00C86FBE"/>
    <w:rsid w:val="00C90AE5"/>
    <w:rsid w:val="00C94C3F"/>
    <w:rsid w:val="00CC232C"/>
    <w:rsid w:val="00CC7A20"/>
    <w:rsid w:val="00CE77EB"/>
    <w:rsid w:val="00D07B4B"/>
    <w:rsid w:val="00D116EE"/>
    <w:rsid w:val="00D2101E"/>
    <w:rsid w:val="00D21EF7"/>
    <w:rsid w:val="00D23296"/>
    <w:rsid w:val="00D3439F"/>
    <w:rsid w:val="00D34F40"/>
    <w:rsid w:val="00D35668"/>
    <w:rsid w:val="00D35EB7"/>
    <w:rsid w:val="00D472F4"/>
    <w:rsid w:val="00D47313"/>
    <w:rsid w:val="00D55E80"/>
    <w:rsid w:val="00D73057"/>
    <w:rsid w:val="00DA2B39"/>
    <w:rsid w:val="00DB4054"/>
    <w:rsid w:val="00DB6FAC"/>
    <w:rsid w:val="00DE0348"/>
    <w:rsid w:val="00DF06F9"/>
    <w:rsid w:val="00DF4932"/>
    <w:rsid w:val="00E0580B"/>
    <w:rsid w:val="00E12907"/>
    <w:rsid w:val="00E40375"/>
    <w:rsid w:val="00E44FC6"/>
    <w:rsid w:val="00E503B1"/>
    <w:rsid w:val="00E57541"/>
    <w:rsid w:val="00E75023"/>
    <w:rsid w:val="00E90A46"/>
    <w:rsid w:val="00EC2D0D"/>
    <w:rsid w:val="00EC47C2"/>
    <w:rsid w:val="00ED23D3"/>
    <w:rsid w:val="00EF54F8"/>
    <w:rsid w:val="00F00085"/>
    <w:rsid w:val="00F37C75"/>
    <w:rsid w:val="00F42E6A"/>
    <w:rsid w:val="00F76EDA"/>
    <w:rsid w:val="00F85F12"/>
    <w:rsid w:val="00FA0E04"/>
    <w:rsid w:val="00FA1680"/>
    <w:rsid w:val="00FB1F2A"/>
    <w:rsid w:val="00FC6D36"/>
    <w:rsid w:val="00FD12BA"/>
    <w:rsid w:val="00FE1432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BFFA293-381E-4FBC-B52B-CC351DA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32"/>
  </w:style>
  <w:style w:type="paragraph" w:styleId="Footer">
    <w:name w:val="footer"/>
    <w:basedOn w:val="Normal"/>
    <w:link w:val="FooterChar"/>
    <w:uiPriority w:val="99"/>
    <w:unhideWhenUsed/>
    <w:rsid w:val="00DF4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32"/>
  </w:style>
  <w:style w:type="paragraph" w:styleId="BalloonText">
    <w:name w:val="Balloon Text"/>
    <w:basedOn w:val="Normal"/>
    <w:link w:val="BalloonTextChar"/>
    <w:uiPriority w:val="99"/>
    <w:semiHidden/>
    <w:unhideWhenUsed/>
    <w:rsid w:val="00D7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6B16-BB5A-427B-B0DF-790EC555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JSC7</dc:creator>
  <cp:lastModifiedBy>USR</cp:lastModifiedBy>
  <cp:revision>2</cp:revision>
  <cp:lastPrinted>2019-12-11T10:31:00Z</cp:lastPrinted>
  <dcterms:created xsi:type="dcterms:W3CDTF">2020-05-14T09:00:00Z</dcterms:created>
  <dcterms:modified xsi:type="dcterms:W3CDTF">2020-05-14T09:00:00Z</dcterms:modified>
</cp:coreProperties>
</file>