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CC6F53" w:rsidRDefault="0011530D" w:rsidP="0011530D">
      <w:pPr>
        <w:spacing w:after="0" w:line="360" w:lineRule="auto"/>
        <w:rPr>
          <w:rFonts w:ascii="Tahoma" w:hAnsi="Tahoma" w:cs="Tahoma"/>
          <w:b/>
          <w:sz w:val="24"/>
          <w:szCs w:val="24"/>
        </w:rPr>
      </w:pPr>
      <w:proofErr w:type="gramStart"/>
      <w:r w:rsidRPr="00CC6F53">
        <w:rPr>
          <w:rFonts w:ascii="Tahoma" w:hAnsi="Tahoma" w:cs="Tahoma"/>
          <w:b/>
          <w:sz w:val="24"/>
          <w:szCs w:val="24"/>
        </w:rPr>
        <w:t>IN THE LABOUR COURT OF ZIMBABWE</w:t>
      </w:r>
      <w:r w:rsidRPr="00CC6F53">
        <w:rPr>
          <w:rFonts w:ascii="Tahoma" w:hAnsi="Tahoma" w:cs="Tahoma"/>
          <w:b/>
          <w:sz w:val="24"/>
          <w:szCs w:val="24"/>
        </w:rPr>
        <w:tab/>
      </w:r>
      <w:r w:rsidR="00761EF7" w:rsidRPr="00CC6F53">
        <w:rPr>
          <w:rFonts w:ascii="Tahoma" w:hAnsi="Tahoma" w:cs="Tahoma"/>
          <w:b/>
          <w:sz w:val="24"/>
          <w:szCs w:val="24"/>
        </w:rPr>
        <w:t xml:space="preserve">  </w:t>
      </w:r>
      <w:r w:rsidR="006010E6" w:rsidRPr="00CC6F53">
        <w:rPr>
          <w:rFonts w:ascii="Tahoma" w:hAnsi="Tahoma" w:cs="Tahoma"/>
          <w:b/>
          <w:sz w:val="24"/>
          <w:szCs w:val="24"/>
        </w:rPr>
        <w:t xml:space="preserve">    </w:t>
      </w:r>
      <w:r w:rsidR="00C71653">
        <w:rPr>
          <w:rFonts w:ascii="Tahoma" w:hAnsi="Tahoma" w:cs="Tahoma"/>
          <w:b/>
          <w:sz w:val="24"/>
          <w:szCs w:val="24"/>
        </w:rPr>
        <w:t xml:space="preserve"> </w:t>
      </w:r>
      <w:r w:rsidRPr="00CC6F53">
        <w:rPr>
          <w:rFonts w:ascii="Tahoma" w:hAnsi="Tahoma" w:cs="Tahoma"/>
          <w:b/>
          <w:sz w:val="24"/>
          <w:szCs w:val="24"/>
        </w:rPr>
        <w:t>JUDGMENT NO.</w:t>
      </w:r>
      <w:proofErr w:type="gramEnd"/>
      <w:r w:rsidRPr="00CC6F53">
        <w:rPr>
          <w:rFonts w:ascii="Tahoma" w:hAnsi="Tahoma" w:cs="Tahoma"/>
          <w:b/>
          <w:sz w:val="24"/>
          <w:szCs w:val="24"/>
        </w:rPr>
        <w:t xml:space="preserve"> LC/H/</w:t>
      </w:r>
      <w:r w:rsidR="00C71653">
        <w:rPr>
          <w:rFonts w:ascii="Tahoma" w:hAnsi="Tahoma" w:cs="Tahoma"/>
          <w:b/>
          <w:sz w:val="24"/>
          <w:szCs w:val="24"/>
        </w:rPr>
        <w:t>31</w:t>
      </w:r>
      <w:r w:rsidRPr="00CC6F53">
        <w:rPr>
          <w:rFonts w:ascii="Tahoma" w:hAnsi="Tahoma" w:cs="Tahoma"/>
          <w:b/>
          <w:sz w:val="24"/>
          <w:szCs w:val="24"/>
        </w:rPr>
        <w:t>/</w:t>
      </w:r>
      <w:r w:rsidR="000F48AA" w:rsidRPr="00CC6F53">
        <w:rPr>
          <w:rFonts w:ascii="Tahoma" w:hAnsi="Tahoma" w:cs="Tahoma"/>
          <w:b/>
          <w:sz w:val="24"/>
          <w:szCs w:val="24"/>
        </w:rPr>
        <w:t>22</w:t>
      </w:r>
    </w:p>
    <w:p w:rsidR="0011530D" w:rsidRPr="00CC6F53" w:rsidRDefault="0011530D" w:rsidP="0011530D">
      <w:pPr>
        <w:spacing w:after="0" w:line="360" w:lineRule="auto"/>
        <w:rPr>
          <w:rFonts w:ascii="Tahoma" w:hAnsi="Tahoma" w:cs="Tahoma"/>
          <w:b/>
          <w:sz w:val="24"/>
          <w:szCs w:val="24"/>
        </w:rPr>
      </w:pPr>
      <w:r w:rsidRPr="00CC6F53">
        <w:rPr>
          <w:rFonts w:ascii="Tahoma" w:hAnsi="Tahoma" w:cs="Tahoma"/>
          <w:b/>
          <w:sz w:val="24"/>
          <w:szCs w:val="24"/>
        </w:rPr>
        <w:t xml:space="preserve">HELD AT HARARE ON </w:t>
      </w:r>
      <w:r w:rsidR="00644AA7" w:rsidRPr="00CC6F53">
        <w:rPr>
          <w:rFonts w:ascii="Tahoma" w:hAnsi="Tahoma" w:cs="Tahoma"/>
          <w:b/>
          <w:sz w:val="24"/>
          <w:szCs w:val="24"/>
        </w:rPr>
        <w:t>18</w:t>
      </w:r>
      <w:r w:rsidR="0071303A" w:rsidRPr="00CC6F53">
        <w:rPr>
          <w:rFonts w:ascii="Tahoma" w:hAnsi="Tahoma" w:cs="Tahoma"/>
          <w:b/>
          <w:sz w:val="24"/>
          <w:szCs w:val="24"/>
          <w:vertAlign w:val="superscript"/>
        </w:rPr>
        <w:t>TH</w:t>
      </w:r>
      <w:r w:rsidR="003744B2" w:rsidRPr="00CC6F53">
        <w:rPr>
          <w:rFonts w:ascii="Tahoma" w:hAnsi="Tahoma" w:cs="Tahoma"/>
          <w:b/>
          <w:sz w:val="24"/>
          <w:szCs w:val="24"/>
        </w:rPr>
        <w:t xml:space="preserve"> </w:t>
      </w:r>
      <w:r w:rsidR="00244C5B">
        <w:rPr>
          <w:rFonts w:ascii="Tahoma" w:hAnsi="Tahoma" w:cs="Tahoma"/>
          <w:b/>
          <w:sz w:val="24"/>
          <w:szCs w:val="24"/>
        </w:rPr>
        <w:t>JANUARY</w:t>
      </w:r>
      <w:r w:rsidRPr="00CC6F53">
        <w:rPr>
          <w:rFonts w:ascii="Tahoma" w:hAnsi="Tahoma" w:cs="Tahoma"/>
          <w:b/>
          <w:sz w:val="24"/>
          <w:szCs w:val="24"/>
        </w:rPr>
        <w:t>,</w:t>
      </w:r>
      <w:r w:rsidR="00D6717B" w:rsidRPr="00CC6F53">
        <w:rPr>
          <w:rFonts w:ascii="Tahoma" w:hAnsi="Tahoma" w:cs="Tahoma"/>
          <w:b/>
          <w:sz w:val="24"/>
          <w:szCs w:val="24"/>
        </w:rPr>
        <w:t xml:space="preserve"> 20</w:t>
      </w:r>
      <w:r w:rsidR="000F48AA" w:rsidRPr="00CC6F53">
        <w:rPr>
          <w:rFonts w:ascii="Tahoma" w:hAnsi="Tahoma" w:cs="Tahoma"/>
          <w:b/>
          <w:sz w:val="24"/>
          <w:szCs w:val="24"/>
        </w:rPr>
        <w:t>2</w:t>
      </w:r>
      <w:r w:rsidR="00644AA7" w:rsidRPr="00CC6F53">
        <w:rPr>
          <w:rFonts w:ascii="Tahoma" w:hAnsi="Tahoma" w:cs="Tahoma"/>
          <w:b/>
          <w:sz w:val="24"/>
          <w:szCs w:val="24"/>
        </w:rPr>
        <w:t>2</w:t>
      </w:r>
      <w:r w:rsidR="00761EF7" w:rsidRPr="00CC6F53">
        <w:rPr>
          <w:rFonts w:ascii="Tahoma" w:hAnsi="Tahoma" w:cs="Tahoma"/>
          <w:b/>
          <w:sz w:val="24"/>
          <w:szCs w:val="24"/>
        </w:rPr>
        <w:t xml:space="preserve">  </w:t>
      </w:r>
      <w:r w:rsidR="00430CA1" w:rsidRPr="00CC6F53">
        <w:rPr>
          <w:rFonts w:ascii="Tahoma" w:hAnsi="Tahoma" w:cs="Tahoma"/>
          <w:b/>
          <w:sz w:val="24"/>
          <w:szCs w:val="24"/>
        </w:rPr>
        <w:t xml:space="preserve">         </w:t>
      </w:r>
      <w:r w:rsidR="000F48AA" w:rsidRPr="00CC6F53">
        <w:rPr>
          <w:rFonts w:ascii="Tahoma" w:hAnsi="Tahoma" w:cs="Tahoma"/>
          <w:b/>
          <w:sz w:val="24"/>
          <w:szCs w:val="24"/>
        </w:rPr>
        <w:t xml:space="preserve">    </w:t>
      </w:r>
      <w:r w:rsidR="00F2481E" w:rsidRPr="00CC6F53">
        <w:rPr>
          <w:rFonts w:ascii="Tahoma" w:hAnsi="Tahoma" w:cs="Tahoma"/>
          <w:b/>
          <w:sz w:val="24"/>
          <w:szCs w:val="24"/>
        </w:rPr>
        <w:t>CASE NO.</w:t>
      </w:r>
      <w:r w:rsidR="00542814" w:rsidRPr="00CC6F53">
        <w:rPr>
          <w:rFonts w:ascii="Tahoma" w:hAnsi="Tahoma" w:cs="Tahoma"/>
          <w:b/>
          <w:sz w:val="24"/>
          <w:szCs w:val="24"/>
        </w:rPr>
        <w:t>LC/</w:t>
      </w:r>
      <w:r w:rsidR="00257EAA" w:rsidRPr="00CC6F53">
        <w:rPr>
          <w:rFonts w:ascii="Tahoma" w:hAnsi="Tahoma" w:cs="Tahoma"/>
          <w:b/>
          <w:sz w:val="24"/>
          <w:szCs w:val="24"/>
        </w:rPr>
        <w:t>H/</w:t>
      </w:r>
      <w:r w:rsidR="00644AA7" w:rsidRPr="00CC6F53">
        <w:rPr>
          <w:rFonts w:ascii="Tahoma" w:hAnsi="Tahoma" w:cs="Tahoma"/>
          <w:b/>
          <w:sz w:val="24"/>
          <w:szCs w:val="24"/>
        </w:rPr>
        <w:t>442</w:t>
      </w:r>
      <w:r w:rsidR="00430CA1" w:rsidRPr="00CC6F53">
        <w:rPr>
          <w:rFonts w:ascii="Tahoma" w:hAnsi="Tahoma" w:cs="Tahoma"/>
          <w:b/>
          <w:sz w:val="24"/>
          <w:szCs w:val="24"/>
        </w:rPr>
        <w:t>/</w:t>
      </w:r>
      <w:r w:rsidR="000F48AA" w:rsidRPr="00CC6F53">
        <w:rPr>
          <w:rFonts w:ascii="Tahoma" w:hAnsi="Tahoma" w:cs="Tahoma"/>
          <w:b/>
          <w:sz w:val="24"/>
          <w:szCs w:val="24"/>
        </w:rPr>
        <w:t>21</w:t>
      </w:r>
    </w:p>
    <w:p w:rsidR="00F2481E" w:rsidRPr="00CC6F53" w:rsidRDefault="0011530D" w:rsidP="00F2481E">
      <w:pPr>
        <w:spacing w:after="0" w:line="360" w:lineRule="auto"/>
        <w:rPr>
          <w:rFonts w:ascii="Tahoma" w:hAnsi="Tahoma" w:cs="Tahoma"/>
          <w:b/>
          <w:sz w:val="24"/>
          <w:szCs w:val="24"/>
        </w:rPr>
      </w:pPr>
      <w:r w:rsidRPr="00CC6F53">
        <w:rPr>
          <w:rFonts w:ascii="Tahoma" w:hAnsi="Tahoma" w:cs="Tahoma"/>
          <w:b/>
          <w:sz w:val="24"/>
          <w:szCs w:val="24"/>
        </w:rPr>
        <w:t xml:space="preserve">AND </w:t>
      </w:r>
      <w:r w:rsidR="00244C5B">
        <w:rPr>
          <w:rFonts w:ascii="Tahoma" w:hAnsi="Tahoma" w:cs="Tahoma"/>
          <w:b/>
          <w:sz w:val="24"/>
          <w:szCs w:val="24"/>
        </w:rPr>
        <w:t>11</w:t>
      </w:r>
      <w:r w:rsidR="000330C0" w:rsidRPr="00CC6F53">
        <w:rPr>
          <w:rFonts w:ascii="Tahoma" w:hAnsi="Tahoma" w:cs="Tahoma"/>
          <w:b/>
          <w:sz w:val="24"/>
          <w:szCs w:val="24"/>
          <w:vertAlign w:val="superscript"/>
        </w:rPr>
        <w:t>TH</w:t>
      </w:r>
      <w:r w:rsidR="00F2481E" w:rsidRPr="00CC6F53">
        <w:rPr>
          <w:rFonts w:ascii="Tahoma" w:hAnsi="Tahoma" w:cs="Tahoma"/>
          <w:b/>
          <w:sz w:val="24"/>
          <w:szCs w:val="24"/>
        </w:rPr>
        <w:t xml:space="preserve"> </w:t>
      </w:r>
      <w:r w:rsidR="00244C5B">
        <w:rPr>
          <w:rFonts w:ascii="Tahoma" w:hAnsi="Tahoma" w:cs="Tahoma"/>
          <w:b/>
          <w:sz w:val="24"/>
          <w:szCs w:val="24"/>
        </w:rPr>
        <w:t>FEBRUARY</w:t>
      </w:r>
      <w:r w:rsidRPr="00CC6F53">
        <w:rPr>
          <w:rFonts w:ascii="Tahoma" w:hAnsi="Tahoma" w:cs="Tahoma"/>
          <w:b/>
          <w:sz w:val="24"/>
          <w:szCs w:val="24"/>
        </w:rPr>
        <w:t>, 20</w:t>
      </w:r>
      <w:r w:rsidR="000F48AA" w:rsidRPr="00CC6F53">
        <w:rPr>
          <w:rFonts w:ascii="Tahoma" w:hAnsi="Tahoma" w:cs="Tahoma"/>
          <w:b/>
          <w:sz w:val="24"/>
          <w:szCs w:val="24"/>
        </w:rPr>
        <w:t>22</w:t>
      </w:r>
    </w:p>
    <w:p w:rsidR="0011530D" w:rsidRPr="00CC6F53" w:rsidRDefault="00F2481E" w:rsidP="00430CA1">
      <w:pPr>
        <w:spacing w:after="0" w:line="240" w:lineRule="auto"/>
        <w:rPr>
          <w:rFonts w:ascii="Tahoma" w:hAnsi="Tahoma" w:cs="Tahoma"/>
          <w:sz w:val="24"/>
          <w:szCs w:val="24"/>
        </w:rPr>
      </w:pPr>
      <w:r w:rsidRPr="00CC6F53">
        <w:rPr>
          <w:rFonts w:ascii="Tahoma" w:hAnsi="Tahoma" w:cs="Tahoma"/>
          <w:sz w:val="24"/>
          <w:szCs w:val="24"/>
        </w:rPr>
        <w:t>In</w:t>
      </w:r>
      <w:r w:rsidR="0011530D" w:rsidRPr="00CC6F53">
        <w:rPr>
          <w:rFonts w:ascii="Tahoma" w:hAnsi="Tahoma" w:cs="Tahoma"/>
          <w:sz w:val="24"/>
          <w:szCs w:val="24"/>
        </w:rPr>
        <w:t xml:space="preserve"> the matter between:-</w:t>
      </w:r>
    </w:p>
    <w:p w:rsidR="0011530D" w:rsidRPr="00CC6F53" w:rsidRDefault="0011530D" w:rsidP="00430CA1">
      <w:pPr>
        <w:spacing w:after="0" w:line="240" w:lineRule="auto"/>
        <w:rPr>
          <w:rFonts w:ascii="Tahoma" w:hAnsi="Tahoma" w:cs="Tahoma"/>
          <w:sz w:val="24"/>
          <w:szCs w:val="24"/>
        </w:rPr>
      </w:pPr>
    </w:p>
    <w:p w:rsidR="0011530D" w:rsidRPr="00CC6F53" w:rsidRDefault="0011530D"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11530D" w:rsidRPr="00CC6F53" w:rsidRDefault="00644AA7" w:rsidP="0011530D">
      <w:pPr>
        <w:spacing w:after="0" w:line="360" w:lineRule="auto"/>
        <w:rPr>
          <w:rFonts w:ascii="Tahoma" w:hAnsi="Tahoma" w:cs="Tahoma"/>
          <w:b/>
          <w:sz w:val="24"/>
          <w:szCs w:val="24"/>
        </w:rPr>
      </w:pPr>
      <w:r w:rsidRPr="00CC6F53">
        <w:rPr>
          <w:rFonts w:ascii="Tahoma" w:hAnsi="Tahoma" w:cs="Tahoma"/>
          <w:b/>
          <w:sz w:val="24"/>
          <w:szCs w:val="24"/>
        </w:rPr>
        <w:t>JOHANNES MANYENGA</w:t>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sidR="00274D23">
        <w:rPr>
          <w:rFonts w:ascii="Tahoma" w:hAnsi="Tahoma" w:cs="Tahoma"/>
          <w:b/>
          <w:sz w:val="24"/>
          <w:szCs w:val="24"/>
        </w:rPr>
        <w:tab/>
      </w:r>
      <w:r w:rsidRPr="00CC6F53">
        <w:rPr>
          <w:rFonts w:ascii="Tahoma" w:hAnsi="Tahoma" w:cs="Tahoma"/>
          <w:b/>
          <w:sz w:val="24"/>
          <w:szCs w:val="24"/>
        </w:rPr>
        <w:t>APPLICANT</w:t>
      </w:r>
    </w:p>
    <w:p w:rsidR="0011530D" w:rsidRPr="00CC6F53" w:rsidRDefault="00644AA7" w:rsidP="0011530D">
      <w:pPr>
        <w:spacing w:after="0" w:line="360" w:lineRule="auto"/>
        <w:rPr>
          <w:rFonts w:ascii="Tahoma" w:hAnsi="Tahoma" w:cs="Tahoma"/>
          <w:b/>
          <w:sz w:val="24"/>
          <w:szCs w:val="24"/>
        </w:rPr>
      </w:pPr>
      <w:r w:rsidRPr="00CC6F53">
        <w:rPr>
          <w:rFonts w:ascii="Tahoma" w:hAnsi="Tahoma" w:cs="Tahoma"/>
          <w:b/>
          <w:sz w:val="24"/>
          <w:szCs w:val="24"/>
        </w:rPr>
        <w:t>AND</w:t>
      </w:r>
    </w:p>
    <w:p w:rsidR="0011530D" w:rsidRPr="00CC6F53" w:rsidRDefault="00644AA7" w:rsidP="0011530D">
      <w:pPr>
        <w:spacing w:after="0" w:line="240" w:lineRule="auto"/>
        <w:rPr>
          <w:rFonts w:ascii="Tahoma" w:hAnsi="Tahoma" w:cs="Tahoma"/>
          <w:sz w:val="24"/>
          <w:szCs w:val="24"/>
        </w:rPr>
      </w:pPr>
      <w:r w:rsidRPr="00CC6F53">
        <w:rPr>
          <w:rFonts w:ascii="Tahoma" w:hAnsi="Tahoma" w:cs="Tahoma"/>
          <w:b/>
          <w:sz w:val="24"/>
          <w:szCs w:val="24"/>
        </w:rPr>
        <w:t>PETROZIM LINE (PRIVATE) LIMITED</w:t>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r>
      <w:r w:rsidRPr="00CC6F53">
        <w:rPr>
          <w:rFonts w:ascii="Tahoma" w:hAnsi="Tahoma" w:cs="Tahoma"/>
          <w:b/>
          <w:sz w:val="24"/>
          <w:szCs w:val="24"/>
        </w:rPr>
        <w:tab/>
        <w:t>RESPONDENT</w:t>
      </w:r>
    </w:p>
    <w:p w:rsidR="00430CA1" w:rsidRPr="00CC6F53" w:rsidRDefault="00430CA1"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11530D" w:rsidRPr="00CC6F53" w:rsidRDefault="007548C0" w:rsidP="0011530D">
      <w:pPr>
        <w:spacing w:after="0" w:line="360" w:lineRule="auto"/>
        <w:rPr>
          <w:rFonts w:ascii="Tahoma" w:hAnsi="Tahoma" w:cs="Tahoma"/>
          <w:sz w:val="24"/>
          <w:szCs w:val="24"/>
        </w:rPr>
      </w:pPr>
      <w:r w:rsidRPr="00CC6F53">
        <w:rPr>
          <w:rFonts w:ascii="Tahoma" w:hAnsi="Tahoma" w:cs="Tahoma"/>
          <w:sz w:val="24"/>
          <w:szCs w:val="24"/>
        </w:rPr>
        <w:t>Before the Honourable</w:t>
      </w:r>
      <w:r w:rsidR="0011530D" w:rsidRPr="00CC6F53">
        <w:rPr>
          <w:rFonts w:ascii="Tahoma" w:hAnsi="Tahoma" w:cs="Tahoma"/>
          <w:sz w:val="24"/>
          <w:szCs w:val="24"/>
        </w:rPr>
        <w:t xml:space="preserve"> </w:t>
      </w:r>
      <w:r w:rsidR="00A57122" w:rsidRPr="00CC6F53">
        <w:rPr>
          <w:rFonts w:ascii="Tahoma" w:hAnsi="Tahoma" w:cs="Tahoma"/>
          <w:sz w:val="24"/>
          <w:szCs w:val="24"/>
        </w:rPr>
        <w:t>Makamure</w:t>
      </w:r>
      <w:r w:rsidR="0011530D" w:rsidRPr="00CC6F53">
        <w:rPr>
          <w:rFonts w:ascii="Tahoma" w:hAnsi="Tahoma" w:cs="Tahoma"/>
          <w:sz w:val="24"/>
          <w:szCs w:val="24"/>
        </w:rPr>
        <w:t xml:space="preserve">, </w:t>
      </w:r>
      <w:r w:rsidRPr="00CC6F53">
        <w:rPr>
          <w:rFonts w:ascii="Tahoma" w:hAnsi="Tahoma" w:cs="Tahoma"/>
          <w:sz w:val="24"/>
          <w:szCs w:val="24"/>
        </w:rPr>
        <w:t>J.</w:t>
      </w:r>
    </w:p>
    <w:p w:rsidR="0011530D" w:rsidRPr="00CC6F53" w:rsidRDefault="000F48AA" w:rsidP="003744B2">
      <w:pPr>
        <w:spacing w:after="0" w:line="360" w:lineRule="auto"/>
        <w:rPr>
          <w:rFonts w:ascii="Tahoma" w:hAnsi="Tahoma" w:cs="Tahoma"/>
          <w:b/>
          <w:sz w:val="24"/>
          <w:szCs w:val="24"/>
        </w:rPr>
      </w:pPr>
      <w:r w:rsidRPr="00CC6F53">
        <w:rPr>
          <w:rFonts w:ascii="Tahoma" w:hAnsi="Tahoma" w:cs="Tahoma"/>
          <w:b/>
          <w:sz w:val="24"/>
          <w:szCs w:val="24"/>
        </w:rPr>
        <w:t>For the App</w:t>
      </w:r>
      <w:r w:rsidR="00644AA7" w:rsidRPr="00CC6F53">
        <w:rPr>
          <w:rFonts w:ascii="Tahoma" w:hAnsi="Tahoma" w:cs="Tahoma"/>
          <w:b/>
          <w:sz w:val="24"/>
          <w:szCs w:val="24"/>
        </w:rPr>
        <w:t>lic</w:t>
      </w:r>
      <w:r w:rsidRPr="00CC6F53">
        <w:rPr>
          <w:rFonts w:ascii="Tahoma" w:hAnsi="Tahoma" w:cs="Tahoma"/>
          <w:b/>
          <w:sz w:val="24"/>
          <w:szCs w:val="24"/>
        </w:rPr>
        <w:t>ant</w:t>
      </w:r>
      <w:r w:rsidR="004C0E8D" w:rsidRPr="00CC6F53">
        <w:rPr>
          <w:rFonts w:ascii="Tahoma" w:hAnsi="Tahoma" w:cs="Tahoma"/>
          <w:b/>
          <w:sz w:val="24"/>
          <w:szCs w:val="24"/>
        </w:rPr>
        <w:tab/>
      </w:r>
      <w:r w:rsidR="00623675" w:rsidRPr="00CC6F53">
        <w:rPr>
          <w:rFonts w:ascii="Tahoma" w:hAnsi="Tahoma" w:cs="Tahoma"/>
          <w:b/>
          <w:sz w:val="24"/>
          <w:szCs w:val="24"/>
        </w:rPr>
        <w:t>:</w:t>
      </w:r>
      <w:r w:rsidR="00623675" w:rsidRPr="00CC6F53">
        <w:rPr>
          <w:rFonts w:ascii="Tahoma" w:hAnsi="Tahoma" w:cs="Tahoma"/>
          <w:b/>
          <w:sz w:val="24"/>
          <w:szCs w:val="24"/>
        </w:rPr>
        <w:tab/>
      </w:r>
      <w:r w:rsidR="00644AA7" w:rsidRPr="00CC6F53">
        <w:rPr>
          <w:rFonts w:ascii="Tahoma" w:hAnsi="Tahoma" w:cs="Tahoma"/>
          <w:b/>
          <w:sz w:val="24"/>
          <w:szCs w:val="24"/>
        </w:rPr>
        <w:tab/>
      </w:r>
      <w:r w:rsidRPr="00CC6F53">
        <w:rPr>
          <w:rFonts w:ascii="Tahoma" w:hAnsi="Tahoma" w:cs="Tahoma"/>
          <w:b/>
          <w:sz w:val="24"/>
          <w:szCs w:val="24"/>
        </w:rPr>
        <w:t xml:space="preserve">Mr. </w:t>
      </w:r>
      <w:r w:rsidR="00644AA7" w:rsidRPr="00CC6F53">
        <w:rPr>
          <w:rFonts w:ascii="Tahoma" w:hAnsi="Tahoma" w:cs="Tahoma"/>
          <w:b/>
          <w:sz w:val="24"/>
          <w:szCs w:val="24"/>
        </w:rPr>
        <w:t>L. Uriri</w:t>
      </w:r>
      <w:r w:rsidRPr="00CC6F53">
        <w:rPr>
          <w:rFonts w:ascii="Tahoma" w:hAnsi="Tahoma" w:cs="Tahoma"/>
          <w:b/>
          <w:sz w:val="24"/>
          <w:szCs w:val="24"/>
        </w:rPr>
        <w:t xml:space="preserve"> (Legal Practitioner)</w:t>
      </w:r>
    </w:p>
    <w:p w:rsidR="0011530D" w:rsidRPr="00CC6F53" w:rsidRDefault="004C0E8D" w:rsidP="00623675">
      <w:pPr>
        <w:tabs>
          <w:tab w:val="left" w:pos="2160"/>
        </w:tabs>
        <w:spacing w:after="0" w:line="240" w:lineRule="auto"/>
        <w:ind w:left="2880" w:hanging="2880"/>
        <w:rPr>
          <w:rFonts w:ascii="Tahoma" w:hAnsi="Tahoma" w:cs="Tahoma"/>
          <w:b/>
          <w:sz w:val="24"/>
          <w:szCs w:val="24"/>
        </w:rPr>
      </w:pPr>
      <w:r w:rsidRPr="00CC6F53">
        <w:rPr>
          <w:rFonts w:ascii="Tahoma" w:hAnsi="Tahoma" w:cs="Tahoma"/>
          <w:b/>
          <w:sz w:val="24"/>
          <w:szCs w:val="24"/>
        </w:rPr>
        <w:t xml:space="preserve">For </w:t>
      </w:r>
      <w:r w:rsidR="000F48AA" w:rsidRPr="00CC6F53">
        <w:rPr>
          <w:rFonts w:ascii="Tahoma" w:hAnsi="Tahoma" w:cs="Tahoma"/>
          <w:b/>
          <w:sz w:val="24"/>
          <w:szCs w:val="24"/>
        </w:rPr>
        <w:t xml:space="preserve">the </w:t>
      </w:r>
      <w:r w:rsidRPr="00CC6F53">
        <w:rPr>
          <w:rFonts w:ascii="Tahoma" w:hAnsi="Tahoma" w:cs="Tahoma"/>
          <w:b/>
          <w:sz w:val="24"/>
          <w:szCs w:val="24"/>
        </w:rPr>
        <w:t>Respondent</w:t>
      </w:r>
      <w:r w:rsidR="00623675" w:rsidRPr="00CC6F53">
        <w:rPr>
          <w:rFonts w:ascii="Tahoma" w:hAnsi="Tahoma" w:cs="Tahoma"/>
          <w:b/>
          <w:sz w:val="24"/>
          <w:szCs w:val="24"/>
        </w:rPr>
        <w:tab/>
      </w:r>
      <w:r w:rsidR="000F48AA" w:rsidRPr="00CC6F53">
        <w:rPr>
          <w:rFonts w:ascii="Tahoma" w:hAnsi="Tahoma" w:cs="Tahoma"/>
          <w:b/>
          <w:sz w:val="24"/>
          <w:szCs w:val="24"/>
        </w:rPr>
        <w:t>:</w:t>
      </w:r>
      <w:r w:rsidR="00623675" w:rsidRPr="00CC6F53">
        <w:rPr>
          <w:rFonts w:ascii="Tahoma" w:hAnsi="Tahoma" w:cs="Tahoma"/>
          <w:b/>
          <w:sz w:val="24"/>
          <w:szCs w:val="24"/>
        </w:rPr>
        <w:tab/>
      </w:r>
      <w:r w:rsidR="0011530D" w:rsidRPr="00CC6F53">
        <w:rPr>
          <w:rFonts w:ascii="Tahoma" w:hAnsi="Tahoma" w:cs="Tahoma"/>
          <w:b/>
          <w:sz w:val="24"/>
          <w:szCs w:val="24"/>
        </w:rPr>
        <w:t>M</w:t>
      </w:r>
      <w:r w:rsidR="006010E6" w:rsidRPr="00CC6F53">
        <w:rPr>
          <w:rFonts w:ascii="Tahoma" w:hAnsi="Tahoma" w:cs="Tahoma"/>
          <w:b/>
          <w:sz w:val="24"/>
          <w:szCs w:val="24"/>
        </w:rPr>
        <w:t>r</w:t>
      </w:r>
      <w:r w:rsidRPr="00CC6F53">
        <w:rPr>
          <w:rFonts w:ascii="Tahoma" w:hAnsi="Tahoma" w:cs="Tahoma"/>
          <w:b/>
          <w:sz w:val="24"/>
          <w:szCs w:val="24"/>
        </w:rPr>
        <w:t>.</w:t>
      </w:r>
      <w:r w:rsidR="001F2A28" w:rsidRPr="00CC6F53">
        <w:rPr>
          <w:rFonts w:ascii="Tahoma" w:hAnsi="Tahoma" w:cs="Tahoma"/>
          <w:b/>
          <w:sz w:val="24"/>
          <w:szCs w:val="24"/>
        </w:rPr>
        <w:t xml:space="preserve"> </w:t>
      </w:r>
      <w:r w:rsidR="000F48AA" w:rsidRPr="00CC6F53">
        <w:rPr>
          <w:rFonts w:ascii="Tahoma" w:hAnsi="Tahoma" w:cs="Tahoma"/>
          <w:b/>
          <w:sz w:val="24"/>
          <w:szCs w:val="24"/>
        </w:rPr>
        <w:t>P</w:t>
      </w:r>
      <w:r w:rsidRPr="00CC6F53">
        <w:rPr>
          <w:rFonts w:ascii="Tahoma" w:hAnsi="Tahoma" w:cs="Tahoma"/>
          <w:b/>
          <w:sz w:val="24"/>
          <w:szCs w:val="24"/>
        </w:rPr>
        <w:t>.</w:t>
      </w:r>
      <w:r w:rsidR="00A42E04" w:rsidRPr="00CC6F53">
        <w:rPr>
          <w:rFonts w:ascii="Tahoma" w:hAnsi="Tahoma" w:cs="Tahoma"/>
          <w:b/>
          <w:sz w:val="24"/>
          <w:szCs w:val="24"/>
        </w:rPr>
        <w:t xml:space="preserve"> </w:t>
      </w:r>
      <w:r w:rsidR="000F48AA" w:rsidRPr="00CC6F53">
        <w:rPr>
          <w:rFonts w:ascii="Tahoma" w:hAnsi="Tahoma" w:cs="Tahoma"/>
          <w:b/>
          <w:sz w:val="24"/>
          <w:szCs w:val="24"/>
        </w:rPr>
        <w:t xml:space="preserve">Dube </w:t>
      </w:r>
      <w:r w:rsidR="0011530D" w:rsidRPr="00CC6F53">
        <w:rPr>
          <w:rFonts w:ascii="Tahoma" w:hAnsi="Tahoma" w:cs="Tahoma"/>
          <w:b/>
          <w:sz w:val="24"/>
          <w:szCs w:val="24"/>
        </w:rPr>
        <w:t>(</w:t>
      </w:r>
      <w:r w:rsidR="000F48AA" w:rsidRPr="00CC6F53">
        <w:rPr>
          <w:rFonts w:ascii="Tahoma" w:hAnsi="Tahoma" w:cs="Tahoma"/>
          <w:b/>
          <w:sz w:val="24"/>
          <w:szCs w:val="24"/>
        </w:rPr>
        <w:t>Legal Practitioner</w:t>
      </w:r>
      <w:r w:rsidR="0011530D" w:rsidRPr="00CC6F53">
        <w:rPr>
          <w:rFonts w:ascii="Tahoma" w:hAnsi="Tahoma" w:cs="Tahoma"/>
          <w:b/>
          <w:sz w:val="24"/>
          <w:szCs w:val="24"/>
        </w:rPr>
        <w:t>)</w:t>
      </w:r>
    </w:p>
    <w:p w:rsidR="00430CA1" w:rsidRPr="00CC6F53" w:rsidRDefault="00430CA1"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430CA1" w:rsidRPr="00CC6F53" w:rsidRDefault="00430CA1" w:rsidP="00430CA1">
      <w:pPr>
        <w:spacing w:after="0" w:line="240" w:lineRule="auto"/>
        <w:rPr>
          <w:rFonts w:ascii="Tahoma" w:hAnsi="Tahoma" w:cs="Tahoma"/>
          <w:sz w:val="24"/>
          <w:szCs w:val="24"/>
        </w:rPr>
      </w:pPr>
    </w:p>
    <w:p w:rsidR="0011530D" w:rsidRPr="00CC6F53" w:rsidRDefault="00A45B88" w:rsidP="0011530D">
      <w:pPr>
        <w:spacing w:after="120" w:line="240" w:lineRule="auto"/>
        <w:rPr>
          <w:rFonts w:ascii="Tahoma" w:hAnsi="Tahoma" w:cs="Tahoma"/>
          <w:b/>
          <w:sz w:val="24"/>
          <w:szCs w:val="24"/>
        </w:rPr>
      </w:pPr>
      <w:r w:rsidRPr="00CC6F53">
        <w:rPr>
          <w:rFonts w:ascii="Tahoma" w:hAnsi="Tahoma" w:cs="Tahoma"/>
          <w:b/>
          <w:sz w:val="24"/>
          <w:szCs w:val="24"/>
        </w:rPr>
        <w:t>MA</w:t>
      </w:r>
      <w:r w:rsidR="00A57122" w:rsidRPr="00CC6F53">
        <w:rPr>
          <w:rFonts w:ascii="Tahoma" w:hAnsi="Tahoma" w:cs="Tahoma"/>
          <w:b/>
          <w:sz w:val="24"/>
          <w:szCs w:val="24"/>
        </w:rPr>
        <w:t>KAMUR</w:t>
      </w:r>
      <w:r w:rsidRPr="00CC6F53">
        <w:rPr>
          <w:rFonts w:ascii="Tahoma" w:hAnsi="Tahoma" w:cs="Tahoma"/>
          <w:b/>
          <w:sz w:val="24"/>
          <w:szCs w:val="24"/>
        </w:rPr>
        <w:t>E</w:t>
      </w:r>
      <w:r w:rsidR="0011530D" w:rsidRPr="00CC6F53">
        <w:rPr>
          <w:rFonts w:ascii="Tahoma" w:hAnsi="Tahoma" w:cs="Tahoma"/>
          <w:b/>
          <w:sz w:val="24"/>
          <w:szCs w:val="24"/>
        </w:rPr>
        <w:t xml:space="preserve"> J</w:t>
      </w:r>
      <w:r w:rsidR="00680357" w:rsidRPr="00CC6F53">
        <w:rPr>
          <w:rFonts w:ascii="Tahoma" w:hAnsi="Tahoma" w:cs="Tahoma"/>
          <w:b/>
          <w:sz w:val="24"/>
          <w:szCs w:val="24"/>
        </w:rPr>
        <w:t>.</w:t>
      </w:r>
    </w:p>
    <w:p w:rsidR="0011530D" w:rsidRPr="00CC6F53" w:rsidRDefault="0011530D" w:rsidP="00B10417">
      <w:pPr>
        <w:spacing w:after="0" w:line="360" w:lineRule="auto"/>
        <w:rPr>
          <w:rFonts w:ascii="Tahoma" w:hAnsi="Tahoma" w:cs="Tahoma"/>
          <w:b/>
          <w:sz w:val="24"/>
          <w:szCs w:val="24"/>
        </w:rPr>
      </w:pPr>
    </w:p>
    <w:p w:rsidR="005F6136" w:rsidRDefault="001F2A28" w:rsidP="00244C5B">
      <w:pPr>
        <w:spacing w:after="0" w:line="360" w:lineRule="auto"/>
        <w:jc w:val="both"/>
        <w:rPr>
          <w:rFonts w:ascii="Tahoma" w:hAnsi="Tahoma" w:cs="Tahoma"/>
          <w:sz w:val="24"/>
          <w:szCs w:val="24"/>
        </w:rPr>
      </w:pPr>
      <w:r w:rsidRPr="00CC6F53">
        <w:rPr>
          <w:rFonts w:ascii="Tahoma" w:hAnsi="Tahoma" w:cs="Tahoma"/>
          <w:b/>
          <w:sz w:val="24"/>
          <w:szCs w:val="24"/>
        </w:rPr>
        <w:tab/>
      </w:r>
      <w:r w:rsidR="00252475" w:rsidRPr="00CC6F53">
        <w:rPr>
          <w:rFonts w:ascii="Tahoma" w:hAnsi="Tahoma" w:cs="Tahoma"/>
          <w:sz w:val="24"/>
          <w:szCs w:val="24"/>
        </w:rPr>
        <w:t>This is an application for</w:t>
      </w:r>
      <w:r w:rsidR="00A67A76">
        <w:rPr>
          <w:rFonts w:ascii="Tahoma" w:hAnsi="Tahoma" w:cs="Tahoma"/>
          <w:sz w:val="24"/>
          <w:szCs w:val="24"/>
        </w:rPr>
        <w:t xml:space="preserve"> </w:t>
      </w:r>
      <w:r w:rsidR="00252475" w:rsidRPr="00CC6F53">
        <w:rPr>
          <w:rFonts w:ascii="Tahoma" w:hAnsi="Tahoma" w:cs="Tahoma"/>
          <w:sz w:val="24"/>
          <w:szCs w:val="24"/>
        </w:rPr>
        <w:t xml:space="preserve">leave to appeal a judgment of this Court </w:t>
      </w:r>
      <w:r w:rsidR="00D55307">
        <w:rPr>
          <w:rFonts w:ascii="Tahoma" w:hAnsi="Tahoma" w:cs="Tahoma"/>
          <w:sz w:val="24"/>
          <w:szCs w:val="24"/>
        </w:rPr>
        <w:t xml:space="preserve">(Judgment LC/H/124/2021) </w:t>
      </w:r>
      <w:r w:rsidR="00252475" w:rsidRPr="00CC6F53">
        <w:rPr>
          <w:rFonts w:ascii="Tahoma" w:hAnsi="Tahoma" w:cs="Tahoma"/>
          <w:sz w:val="24"/>
          <w:szCs w:val="24"/>
        </w:rPr>
        <w:t>to the Supreme Court.  It is contested</w:t>
      </w:r>
      <w:r w:rsidR="0043359D">
        <w:rPr>
          <w:rFonts w:ascii="Tahoma" w:hAnsi="Tahoma" w:cs="Tahoma"/>
          <w:sz w:val="24"/>
          <w:szCs w:val="24"/>
        </w:rPr>
        <w:t xml:space="preserve">.  </w:t>
      </w:r>
    </w:p>
    <w:p w:rsidR="005F6136" w:rsidRDefault="005F6136" w:rsidP="00244C5B">
      <w:pPr>
        <w:spacing w:after="0" w:line="360" w:lineRule="auto"/>
        <w:jc w:val="both"/>
        <w:rPr>
          <w:rFonts w:ascii="Tahoma" w:hAnsi="Tahoma" w:cs="Tahoma"/>
          <w:sz w:val="24"/>
          <w:szCs w:val="24"/>
        </w:rPr>
      </w:pPr>
    </w:p>
    <w:p w:rsidR="00244C5B" w:rsidRDefault="005F6136" w:rsidP="005F6136">
      <w:pPr>
        <w:spacing w:after="0" w:line="360" w:lineRule="auto"/>
        <w:ind w:firstLine="720"/>
        <w:jc w:val="both"/>
        <w:rPr>
          <w:rFonts w:ascii="Tahoma" w:hAnsi="Tahoma" w:cs="Tahoma"/>
          <w:sz w:val="24"/>
          <w:szCs w:val="24"/>
        </w:rPr>
      </w:pPr>
      <w:r>
        <w:rPr>
          <w:rFonts w:ascii="Tahoma" w:hAnsi="Tahoma" w:cs="Tahoma"/>
          <w:sz w:val="24"/>
          <w:szCs w:val="24"/>
        </w:rPr>
        <w:t>A</w:t>
      </w:r>
      <w:r w:rsidR="00244C5B">
        <w:rPr>
          <w:rFonts w:ascii="Tahoma" w:hAnsi="Tahoma" w:cs="Tahoma"/>
          <w:sz w:val="24"/>
          <w:szCs w:val="24"/>
        </w:rPr>
        <w:t>ppeals against decisions of the Labour Court are noted in terms of Section 92F of the Labour Act [Chapter 28:01] wh</w:t>
      </w:r>
      <w:r>
        <w:rPr>
          <w:rFonts w:ascii="Tahoma" w:hAnsi="Tahoma" w:cs="Tahoma"/>
          <w:sz w:val="24"/>
          <w:szCs w:val="24"/>
        </w:rPr>
        <w:t>ich</w:t>
      </w:r>
      <w:r w:rsidR="00244C5B">
        <w:rPr>
          <w:rFonts w:ascii="Tahoma" w:hAnsi="Tahoma" w:cs="Tahoma"/>
          <w:sz w:val="24"/>
          <w:szCs w:val="24"/>
        </w:rPr>
        <w:t xml:space="preserve"> provides that:</w:t>
      </w:r>
    </w:p>
    <w:p w:rsidR="00244C5B" w:rsidRPr="00244C5B" w:rsidRDefault="00244C5B" w:rsidP="00244C5B">
      <w:pPr>
        <w:spacing w:after="0" w:line="360" w:lineRule="auto"/>
        <w:ind w:left="720" w:firstLine="720"/>
        <w:jc w:val="both"/>
        <w:rPr>
          <w:rFonts w:ascii="Times New Roman" w:hAnsi="Times New Roman" w:cs="Times New Roman"/>
          <w:i/>
          <w:sz w:val="24"/>
          <w:szCs w:val="24"/>
        </w:rPr>
      </w:pPr>
      <w:r w:rsidRPr="00244C5B">
        <w:rPr>
          <w:rFonts w:ascii="Times New Roman" w:hAnsi="Times New Roman" w:cs="Times New Roman"/>
          <w:i/>
          <w:sz w:val="24"/>
          <w:szCs w:val="24"/>
        </w:rPr>
        <w:t xml:space="preserve">“(1) </w:t>
      </w:r>
      <w:r w:rsidRPr="00244C5B">
        <w:rPr>
          <w:rFonts w:ascii="Times New Roman" w:hAnsi="Times New Roman" w:cs="Times New Roman"/>
          <w:i/>
          <w:sz w:val="24"/>
          <w:szCs w:val="24"/>
        </w:rPr>
        <w:tab/>
      </w:r>
      <w:proofErr w:type="gramStart"/>
      <w:r w:rsidRPr="00244C5B">
        <w:rPr>
          <w:rFonts w:ascii="Times New Roman" w:hAnsi="Times New Roman" w:cs="Times New Roman"/>
          <w:i/>
          <w:sz w:val="24"/>
          <w:szCs w:val="24"/>
        </w:rPr>
        <w:t>An</w:t>
      </w:r>
      <w:proofErr w:type="gramEnd"/>
      <w:r w:rsidRPr="00244C5B">
        <w:rPr>
          <w:rFonts w:ascii="Times New Roman" w:hAnsi="Times New Roman" w:cs="Times New Roman"/>
          <w:i/>
          <w:sz w:val="24"/>
          <w:szCs w:val="24"/>
        </w:rPr>
        <w:t xml:space="preserve"> appeal on a question of law only shall lie to the Supreme Court from any decision of the Labour Court”. </w:t>
      </w:r>
    </w:p>
    <w:p w:rsidR="006C72AB" w:rsidRDefault="006C72AB" w:rsidP="00244C5B">
      <w:pPr>
        <w:spacing w:after="0" w:line="240" w:lineRule="auto"/>
        <w:jc w:val="both"/>
        <w:rPr>
          <w:rFonts w:ascii="Tahoma" w:hAnsi="Tahoma" w:cs="Tahoma"/>
          <w:sz w:val="24"/>
          <w:szCs w:val="24"/>
        </w:rPr>
      </w:pPr>
    </w:p>
    <w:p w:rsidR="007140D6" w:rsidRDefault="007140D6" w:rsidP="007140D6">
      <w:pPr>
        <w:spacing w:after="0" w:line="360" w:lineRule="auto"/>
        <w:ind w:left="720"/>
        <w:jc w:val="both"/>
        <w:rPr>
          <w:rFonts w:ascii="Tahoma" w:hAnsi="Tahoma" w:cs="Tahoma"/>
          <w:sz w:val="24"/>
          <w:szCs w:val="24"/>
        </w:rPr>
      </w:pPr>
      <w:r>
        <w:rPr>
          <w:rFonts w:ascii="Tahoma" w:hAnsi="Tahoma" w:cs="Tahoma"/>
          <w:sz w:val="24"/>
          <w:szCs w:val="24"/>
        </w:rPr>
        <w:t>The</w:t>
      </w:r>
      <w:r w:rsidR="00983815">
        <w:rPr>
          <w:rFonts w:ascii="Tahoma" w:hAnsi="Tahoma" w:cs="Tahoma"/>
          <w:sz w:val="24"/>
          <w:szCs w:val="24"/>
        </w:rPr>
        <w:t xml:space="preserve"> proposed</w:t>
      </w:r>
      <w:r>
        <w:rPr>
          <w:rFonts w:ascii="Tahoma" w:hAnsi="Tahoma" w:cs="Tahoma"/>
          <w:sz w:val="24"/>
          <w:szCs w:val="24"/>
        </w:rPr>
        <w:t xml:space="preserve"> grounds of appeal are that and I quote:</w:t>
      </w:r>
    </w:p>
    <w:p w:rsidR="007140D6" w:rsidRPr="00861159" w:rsidRDefault="007140D6" w:rsidP="007140D6">
      <w:pPr>
        <w:spacing w:after="0" w:line="360" w:lineRule="auto"/>
        <w:ind w:left="1440" w:hanging="720"/>
        <w:jc w:val="both"/>
        <w:rPr>
          <w:rFonts w:ascii="Times New Roman" w:hAnsi="Times New Roman" w:cs="Times New Roman"/>
          <w:i/>
          <w:sz w:val="24"/>
          <w:szCs w:val="24"/>
        </w:rPr>
      </w:pPr>
      <w:r w:rsidRPr="00861159">
        <w:rPr>
          <w:rFonts w:ascii="Times New Roman" w:hAnsi="Times New Roman" w:cs="Times New Roman"/>
          <w:i/>
          <w:sz w:val="24"/>
          <w:szCs w:val="24"/>
        </w:rPr>
        <w:t>“1.</w:t>
      </w:r>
      <w:r w:rsidRPr="00861159">
        <w:rPr>
          <w:rFonts w:ascii="Times New Roman" w:hAnsi="Times New Roman" w:cs="Times New Roman"/>
          <w:i/>
          <w:sz w:val="24"/>
          <w:szCs w:val="24"/>
        </w:rPr>
        <w:tab/>
        <w:t>The court aquo erred at law by ruling as it did that the Appellant was appointed Respondent’s Acting General Manager whereas at law and in fact such appointment was never made.</w:t>
      </w:r>
    </w:p>
    <w:p w:rsidR="007140D6" w:rsidRPr="00861159" w:rsidRDefault="007140D6" w:rsidP="007140D6">
      <w:pPr>
        <w:spacing w:after="0" w:line="360" w:lineRule="auto"/>
        <w:ind w:left="1440" w:hanging="720"/>
        <w:jc w:val="both"/>
        <w:rPr>
          <w:rFonts w:ascii="Times New Roman" w:hAnsi="Times New Roman" w:cs="Times New Roman"/>
          <w:i/>
          <w:sz w:val="24"/>
          <w:szCs w:val="24"/>
        </w:rPr>
      </w:pPr>
    </w:p>
    <w:p w:rsidR="007140D6" w:rsidRPr="00861159" w:rsidRDefault="007140D6" w:rsidP="00A5591E">
      <w:pPr>
        <w:pStyle w:val="ListParagraph"/>
        <w:spacing w:after="0" w:line="360" w:lineRule="auto"/>
        <w:ind w:left="1440" w:hanging="645"/>
        <w:jc w:val="both"/>
        <w:rPr>
          <w:rFonts w:ascii="Times New Roman" w:hAnsi="Times New Roman" w:cs="Times New Roman"/>
          <w:i/>
          <w:sz w:val="24"/>
          <w:szCs w:val="24"/>
        </w:rPr>
      </w:pPr>
      <w:r w:rsidRPr="00861159">
        <w:rPr>
          <w:rFonts w:ascii="Times New Roman" w:hAnsi="Times New Roman" w:cs="Times New Roman"/>
          <w:i/>
          <w:sz w:val="24"/>
          <w:szCs w:val="24"/>
        </w:rPr>
        <w:t>2.</w:t>
      </w:r>
      <w:r w:rsidRPr="00861159">
        <w:rPr>
          <w:rFonts w:ascii="Times New Roman" w:hAnsi="Times New Roman" w:cs="Times New Roman"/>
          <w:i/>
          <w:sz w:val="24"/>
          <w:szCs w:val="24"/>
        </w:rPr>
        <w:tab/>
        <w:t xml:space="preserve">The court aquo erred at law </w:t>
      </w:r>
      <w:r w:rsidR="00A5591E" w:rsidRPr="00861159">
        <w:rPr>
          <w:rFonts w:ascii="Times New Roman" w:hAnsi="Times New Roman" w:cs="Times New Roman"/>
          <w:i/>
          <w:sz w:val="24"/>
          <w:szCs w:val="24"/>
        </w:rPr>
        <w:t xml:space="preserve">and in fact by failing to hold as it ought to have done, that the Respondent by the deliberate action of the General Manager, the Appellant did not have any responsibility over operational matters and as </w:t>
      </w:r>
      <w:r w:rsidR="00A5591E" w:rsidRPr="00861159">
        <w:rPr>
          <w:rFonts w:ascii="Times New Roman" w:hAnsi="Times New Roman" w:cs="Times New Roman"/>
          <w:i/>
          <w:sz w:val="24"/>
          <w:szCs w:val="24"/>
        </w:rPr>
        <w:lastRenderedPageBreak/>
        <w:t>such was disabled and excluded from making any reports on operational challenges.</w:t>
      </w:r>
    </w:p>
    <w:p w:rsidR="00A5591E" w:rsidRPr="00861159" w:rsidRDefault="00A5591E" w:rsidP="00861159">
      <w:pPr>
        <w:pStyle w:val="ListParagraph"/>
        <w:spacing w:after="0" w:line="240" w:lineRule="auto"/>
        <w:ind w:left="1440" w:hanging="645"/>
        <w:jc w:val="both"/>
        <w:rPr>
          <w:rFonts w:ascii="Times New Roman" w:hAnsi="Times New Roman" w:cs="Times New Roman"/>
          <w:i/>
          <w:sz w:val="24"/>
          <w:szCs w:val="24"/>
        </w:rPr>
      </w:pPr>
    </w:p>
    <w:p w:rsidR="00983815" w:rsidRPr="00861159" w:rsidRDefault="00A5591E" w:rsidP="00983815">
      <w:pPr>
        <w:pStyle w:val="ListParagraph"/>
        <w:numPr>
          <w:ilvl w:val="0"/>
          <w:numId w:val="7"/>
        </w:numPr>
        <w:spacing w:after="0" w:line="360" w:lineRule="auto"/>
        <w:ind w:left="1440" w:hanging="720"/>
        <w:jc w:val="both"/>
        <w:rPr>
          <w:rFonts w:ascii="Times New Roman" w:hAnsi="Times New Roman" w:cs="Times New Roman"/>
          <w:i/>
          <w:sz w:val="24"/>
          <w:szCs w:val="24"/>
        </w:rPr>
      </w:pPr>
      <w:r w:rsidRPr="00861159">
        <w:rPr>
          <w:rFonts w:ascii="Times New Roman" w:hAnsi="Times New Roman" w:cs="Times New Roman"/>
          <w:i/>
          <w:sz w:val="24"/>
          <w:szCs w:val="24"/>
        </w:rPr>
        <w:t>The court aquo grossly misdirected itself in holding as it did that as an appellate court it could not interfere with the findings of the lower tribunal where it was necessary to do so.</w:t>
      </w:r>
      <w:r w:rsidR="00861159">
        <w:rPr>
          <w:rFonts w:ascii="Times New Roman" w:hAnsi="Times New Roman" w:cs="Times New Roman"/>
          <w:i/>
          <w:sz w:val="24"/>
          <w:szCs w:val="24"/>
        </w:rPr>
        <w:t>”</w:t>
      </w:r>
      <w:r w:rsidRPr="00861159">
        <w:rPr>
          <w:rFonts w:ascii="Times New Roman" w:hAnsi="Times New Roman" w:cs="Times New Roman"/>
          <w:i/>
          <w:sz w:val="24"/>
          <w:szCs w:val="24"/>
        </w:rPr>
        <w:t xml:space="preserve"> </w:t>
      </w:r>
    </w:p>
    <w:p w:rsidR="00983815" w:rsidRDefault="00983815" w:rsidP="00861159">
      <w:pPr>
        <w:spacing w:after="0" w:line="240" w:lineRule="auto"/>
        <w:ind w:left="720"/>
        <w:jc w:val="both"/>
        <w:rPr>
          <w:rFonts w:ascii="Tahoma" w:hAnsi="Tahoma" w:cs="Tahoma"/>
          <w:sz w:val="24"/>
          <w:szCs w:val="24"/>
        </w:rPr>
      </w:pPr>
    </w:p>
    <w:p w:rsidR="00A5591E" w:rsidRPr="00983815" w:rsidRDefault="00A5591E" w:rsidP="00983815">
      <w:pPr>
        <w:spacing w:after="0" w:line="360" w:lineRule="auto"/>
        <w:ind w:firstLine="720"/>
        <w:jc w:val="both"/>
        <w:rPr>
          <w:rFonts w:ascii="Tahoma" w:hAnsi="Tahoma" w:cs="Tahoma"/>
          <w:sz w:val="24"/>
          <w:szCs w:val="24"/>
        </w:rPr>
      </w:pPr>
      <w:proofErr w:type="gramStart"/>
      <w:r w:rsidRPr="00983815">
        <w:rPr>
          <w:rFonts w:ascii="Tahoma" w:hAnsi="Tahoma" w:cs="Tahoma"/>
          <w:sz w:val="24"/>
          <w:szCs w:val="24"/>
        </w:rPr>
        <w:t xml:space="preserve">The requirements for leave to have been discussed in a number of </w:t>
      </w:r>
      <w:r w:rsidR="009C6FD3" w:rsidRPr="00983815">
        <w:rPr>
          <w:rFonts w:ascii="Tahoma" w:hAnsi="Tahoma" w:cs="Tahoma"/>
          <w:sz w:val="24"/>
          <w:szCs w:val="24"/>
        </w:rPr>
        <w:t>authorities.</w:t>
      </w:r>
      <w:proofErr w:type="gramEnd"/>
    </w:p>
    <w:p w:rsidR="009C6FD3" w:rsidRDefault="009C6FD3" w:rsidP="00861159">
      <w:pPr>
        <w:pStyle w:val="ListParagraph"/>
        <w:spacing w:after="0" w:line="240" w:lineRule="auto"/>
        <w:ind w:left="1800"/>
        <w:jc w:val="both"/>
        <w:rPr>
          <w:rFonts w:ascii="Tahoma" w:hAnsi="Tahoma" w:cs="Tahoma"/>
          <w:sz w:val="24"/>
          <w:szCs w:val="24"/>
        </w:rPr>
      </w:pPr>
    </w:p>
    <w:p w:rsidR="00A5591E" w:rsidRDefault="009C6FD3" w:rsidP="009C6FD3">
      <w:pPr>
        <w:pStyle w:val="ListParagraph"/>
        <w:spacing w:after="0" w:line="360" w:lineRule="auto"/>
        <w:ind w:left="0" w:firstLine="795"/>
        <w:jc w:val="both"/>
        <w:rPr>
          <w:rFonts w:ascii="Tahoma" w:hAnsi="Tahoma" w:cs="Tahoma"/>
          <w:sz w:val="24"/>
          <w:szCs w:val="24"/>
        </w:rPr>
      </w:pPr>
      <w:r>
        <w:rPr>
          <w:rFonts w:ascii="Tahoma" w:hAnsi="Tahoma" w:cs="Tahoma"/>
          <w:sz w:val="24"/>
          <w:szCs w:val="24"/>
        </w:rPr>
        <w:t xml:space="preserve">In </w:t>
      </w:r>
      <w:r>
        <w:rPr>
          <w:rFonts w:ascii="Tahoma" w:hAnsi="Tahoma" w:cs="Tahoma"/>
          <w:b/>
          <w:i/>
          <w:sz w:val="24"/>
          <w:szCs w:val="24"/>
        </w:rPr>
        <w:t xml:space="preserve">HURUNGWE RURAL DISTRICT COUNCIL v (1) JORAM MISHECK  MOYO (2) KAROI </w:t>
      </w:r>
      <w:r w:rsidR="00C94AB3">
        <w:rPr>
          <w:rFonts w:ascii="Tahoma" w:hAnsi="Tahoma" w:cs="Tahoma"/>
          <w:b/>
          <w:i/>
          <w:sz w:val="24"/>
          <w:szCs w:val="24"/>
        </w:rPr>
        <w:t xml:space="preserve">MUTENGA (3) JACKSON MUSHINGE SC 37/21.  </w:t>
      </w:r>
      <w:r w:rsidR="00C94AB3">
        <w:rPr>
          <w:rFonts w:ascii="Tahoma" w:hAnsi="Tahoma" w:cs="Tahoma"/>
          <w:sz w:val="24"/>
          <w:szCs w:val="24"/>
        </w:rPr>
        <w:t xml:space="preserve">The Supreme Court (Manthonsi JA) quoted with approval from </w:t>
      </w:r>
      <w:r w:rsidR="00C94AB3" w:rsidRPr="00C94AB3">
        <w:rPr>
          <w:rFonts w:ascii="Tahoma" w:hAnsi="Tahoma" w:cs="Tahoma"/>
          <w:b/>
          <w:i/>
          <w:sz w:val="24"/>
          <w:szCs w:val="24"/>
        </w:rPr>
        <w:t xml:space="preserve">NGAZIMBI </w:t>
      </w:r>
      <w:r w:rsidR="00861159" w:rsidRPr="00C94AB3">
        <w:rPr>
          <w:rFonts w:ascii="Tahoma" w:hAnsi="Tahoma" w:cs="Tahoma"/>
          <w:b/>
          <w:i/>
          <w:sz w:val="24"/>
          <w:szCs w:val="24"/>
        </w:rPr>
        <w:t>v</w:t>
      </w:r>
      <w:r w:rsidR="00C94AB3" w:rsidRPr="00C94AB3">
        <w:rPr>
          <w:rFonts w:ascii="Tahoma" w:hAnsi="Tahoma" w:cs="Tahoma"/>
          <w:b/>
          <w:i/>
          <w:sz w:val="24"/>
          <w:szCs w:val="24"/>
        </w:rPr>
        <w:t xml:space="preserve"> MUROWA DIAMONDS (PVT) LTD 2013</w:t>
      </w:r>
      <w:r w:rsidR="00C94AB3">
        <w:rPr>
          <w:rFonts w:ascii="Tahoma" w:hAnsi="Tahoma" w:cs="Tahoma"/>
          <w:b/>
          <w:i/>
          <w:sz w:val="24"/>
          <w:szCs w:val="24"/>
        </w:rPr>
        <w:t xml:space="preserve"> (1) ZLR 569 (S) </w:t>
      </w:r>
      <w:r w:rsidR="00C94AB3" w:rsidRPr="00C94AB3">
        <w:rPr>
          <w:rFonts w:ascii="Tahoma" w:hAnsi="Tahoma" w:cs="Tahoma"/>
          <w:sz w:val="24"/>
          <w:szCs w:val="24"/>
        </w:rPr>
        <w:t>at 572 G:</w:t>
      </w:r>
    </w:p>
    <w:p w:rsidR="00861159" w:rsidRPr="00C94AB3" w:rsidRDefault="00861159" w:rsidP="00861159">
      <w:pPr>
        <w:pStyle w:val="ListParagraph"/>
        <w:spacing w:after="0" w:line="240" w:lineRule="auto"/>
        <w:ind w:left="0" w:firstLine="795"/>
        <w:jc w:val="both"/>
        <w:rPr>
          <w:rFonts w:ascii="Tahoma" w:hAnsi="Tahoma" w:cs="Tahoma"/>
          <w:sz w:val="24"/>
          <w:szCs w:val="24"/>
        </w:rPr>
      </w:pPr>
    </w:p>
    <w:p w:rsidR="00C94AB3" w:rsidRPr="007B521F" w:rsidRDefault="00C94AB3" w:rsidP="007B521F">
      <w:pPr>
        <w:pStyle w:val="ListParagraph"/>
        <w:spacing w:after="0" w:line="360" w:lineRule="auto"/>
        <w:ind w:firstLine="795"/>
        <w:jc w:val="both"/>
        <w:rPr>
          <w:rFonts w:ascii="Times New Roman" w:hAnsi="Times New Roman" w:cs="Times New Roman"/>
          <w:i/>
          <w:sz w:val="24"/>
          <w:szCs w:val="24"/>
        </w:rPr>
      </w:pPr>
      <w:r w:rsidRPr="007B521F">
        <w:rPr>
          <w:rFonts w:ascii="Times New Roman" w:hAnsi="Times New Roman" w:cs="Times New Roman"/>
          <w:i/>
          <w:sz w:val="24"/>
          <w:szCs w:val="24"/>
        </w:rPr>
        <w:t xml:space="preserve">“It is important to relate the requirement for an application for leave to appeal to the purposes thereof.  These are for the decision to be made on questions whether the grounds of appeal relate to questions of law and the existence </w:t>
      </w:r>
      <w:r w:rsidR="007B521F" w:rsidRPr="007B521F">
        <w:rPr>
          <w:rFonts w:ascii="Times New Roman" w:hAnsi="Times New Roman" w:cs="Times New Roman"/>
          <w:i/>
          <w:sz w:val="24"/>
          <w:szCs w:val="24"/>
        </w:rPr>
        <w:t>of success on appeal</w:t>
      </w:r>
      <w:r w:rsidR="00861159">
        <w:rPr>
          <w:rFonts w:ascii="Times New Roman" w:hAnsi="Times New Roman" w:cs="Times New Roman"/>
          <w:i/>
          <w:sz w:val="24"/>
          <w:szCs w:val="24"/>
        </w:rPr>
        <w:t>.</w:t>
      </w:r>
      <w:r w:rsidR="007B521F" w:rsidRPr="007B521F">
        <w:rPr>
          <w:rFonts w:ascii="Times New Roman" w:hAnsi="Times New Roman" w:cs="Times New Roman"/>
          <w:i/>
          <w:sz w:val="24"/>
          <w:szCs w:val="24"/>
        </w:rPr>
        <w:t>”</w:t>
      </w:r>
    </w:p>
    <w:p w:rsidR="00861159" w:rsidRDefault="00861159" w:rsidP="00485B86">
      <w:pPr>
        <w:pStyle w:val="ListBullet"/>
        <w:numPr>
          <w:ilvl w:val="0"/>
          <w:numId w:val="0"/>
        </w:numPr>
        <w:ind w:firstLine="720"/>
        <w:jc w:val="both"/>
        <w:rPr>
          <w:rFonts w:ascii="Tahoma" w:hAnsi="Tahoma" w:cs="Tahoma"/>
          <w:sz w:val="24"/>
          <w:szCs w:val="24"/>
        </w:rPr>
      </w:pPr>
    </w:p>
    <w:p w:rsidR="00A5591E" w:rsidRPr="007B521F" w:rsidRDefault="0043359D" w:rsidP="00494178">
      <w:pPr>
        <w:pStyle w:val="ListBullet"/>
        <w:numPr>
          <w:ilvl w:val="0"/>
          <w:numId w:val="0"/>
        </w:numPr>
        <w:spacing w:after="0" w:line="360" w:lineRule="auto"/>
        <w:ind w:firstLine="720"/>
        <w:jc w:val="both"/>
        <w:rPr>
          <w:rFonts w:ascii="Tahoma" w:hAnsi="Tahoma" w:cs="Tahoma"/>
          <w:sz w:val="24"/>
          <w:szCs w:val="24"/>
        </w:rPr>
      </w:pPr>
      <w:r>
        <w:rPr>
          <w:rFonts w:ascii="Tahoma" w:hAnsi="Tahoma" w:cs="Tahoma"/>
          <w:sz w:val="24"/>
          <w:szCs w:val="24"/>
        </w:rPr>
        <w:t xml:space="preserve">It is necessary to refer to authorities as to what constitutes a question of law.  In respect </w:t>
      </w:r>
      <w:r w:rsidR="00494178">
        <w:rPr>
          <w:rFonts w:ascii="Tahoma" w:hAnsi="Tahoma" w:cs="Tahoma"/>
          <w:sz w:val="24"/>
          <w:szCs w:val="24"/>
        </w:rPr>
        <w:t>of this I can do no better than refer to the case of:</w:t>
      </w:r>
      <w:r w:rsidR="007B521F" w:rsidRPr="007B521F">
        <w:rPr>
          <w:rFonts w:ascii="Tahoma" w:hAnsi="Tahoma" w:cs="Tahoma"/>
          <w:sz w:val="24"/>
          <w:szCs w:val="24"/>
        </w:rPr>
        <w:t xml:space="preserve"> </w:t>
      </w:r>
      <w:r w:rsidR="007B521F" w:rsidRPr="007B521F">
        <w:rPr>
          <w:rFonts w:ascii="Tahoma" w:hAnsi="Tahoma" w:cs="Tahoma"/>
          <w:b/>
          <w:i/>
          <w:sz w:val="24"/>
          <w:szCs w:val="24"/>
        </w:rPr>
        <w:t xml:space="preserve">SABLE CHEMICALS INDUSTRIES </w:t>
      </w:r>
      <w:r w:rsidR="007B521F">
        <w:rPr>
          <w:rFonts w:ascii="Tahoma" w:hAnsi="Tahoma" w:cs="Tahoma"/>
          <w:b/>
          <w:i/>
          <w:sz w:val="24"/>
          <w:szCs w:val="24"/>
        </w:rPr>
        <w:t>L</w:t>
      </w:r>
      <w:r w:rsidR="007B521F" w:rsidRPr="007B521F">
        <w:rPr>
          <w:rFonts w:ascii="Tahoma" w:hAnsi="Tahoma" w:cs="Tahoma"/>
          <w:b/>
          <w:i/>
          <w:sz w:val="24"/>
          <w:szCs w:val="24"/>
        </w:rPr>
        <w:t>I</w:t>
      </w:r>
      <w:r w:rsidR="007B521F">
        <w:rPr>
          <w:rFonts w:ascii="Tahoma" w:hAnsi="Tahoma" w:cs="Tahoma"/>
          <w:b/>
          <w:i/>
          <w:sz w:val="24"/>
          <w:szCs w:val="24"/>
        </w:rPr>
        <w:t xml:space="preserve">MITED v EASTERBROOK 2010 (2) ZLR 342 (S) </w:t>
      </w:r>
      <w:r w:rsidR="00494178" w:rsidRPr="00494178">
        <w:rPr>
          <w:rFonts w:ascii="Tahoma" w:hAnsi="Tahoma" w:cs="Tahoma"/>
          <w:sz w:val="24"/>
          <w:szCs w:val="24"/>
        </w:rPr>
        <w:t xml:space="preserve">where </w:t>
      </w:r>
      <w:r w:rsidR="007B521F" w:rsidRPr="007B521F">
        <w:rPr>
          <w:rFonts w:ascii="Tahoma" w:hAnsi="Tahoma" w:cs="Tahoma"/>
          <w:sz w:val="24"/>
          <w:szCs w:val="24"/>
        </w:rPr>
        <w:t xml:space="preserve">the Supreme Court </w:t>
      </w:r>
      <w:r w:rsidR="00494178">
        <w:rPr>
          <w:rFonts w:ascii="Tahoma" w:hAnsi="Tahoma" w:cs="Tahoma"/>
          <w:sz w:val="24"/>
          <w:szCs w:val="24"/>
        </w:rPr>
        <w:t>defined what constitutes a point of law as follows</w:t>
      </w:r>
      <w:r w:rsidR="007B521F" w:rsidRPr="007B521F">
        <w:rPr>
          <w:rFonts w:ascii="Tahoma" w:hAnsi="Tahoma" w:cs="Tahoma"/>
          <w:sz w:val="24"/>
          <w:szCs w:val="24"/>
        </w:rPr>
        <w:t>:</w:t>
      </w:r>
    </w:p>
    <w:p w:rsidR="007B521F" w:rsidRPr="007B521F" w:rsidRDefault="007B521F" w:rsidP="00D107FD">
      <w:pPr>
        <w:pStyle w:val="ListBullet"/>
        <w:numPr>
          <w:ilvl w:val="0"/>
          <w:numId w:val="0"/>
        </w:numPr>
        <w:spacing w:line="240" w:lineRule="auto"/>
        <w:ind w:left="360"/>
        <w:rPr>
          <w:rFonts w:ascii="Tahoma" w:hAnsi="Tahoma" w:cs="Tahoma"/>
          <w:sz w:val="24"/>
          <w:szCs w:val="24"/>
        </w:rPr>
      </w:pPr>
    </w:p>
    <w:p w:rsidR="007B521F" w:rsidRPr="001D0925" w:rsidRDefault="007B521F" w:rsidP="00485B86">
      <w:pPr>
        <w:pStyle w:val="ListBullet"/>
        <w:numPr>
          <w:ilvl w:val="0"/>
          <w:numId w:val="0"/>
        </w:numPr>
        <w:spacing w:line="360" w:lineRule="auto"/>
        <w:ind w:left="720" w:firstLine="360"/>
        <w:jc w:val="both"/>
        <w:rPr>
          <w:rFonts w:ascii="Times New Roman" w:hAnsi="Times New Roman" w:cs="Times New Roman"/>
          <w:i/>
          <w:sz w:val="24"/>
          <w:szCs w:val="24"/>
        </w:rPr>
      </w:pPr>
      <w:r w:rsidRPr="001D0925">
        <w:rPr>
          <w:rFonts w:ascii="Times New Roman" w:hAnsi="Times New Roman" w:cs="Times New Roman"/>
          <w:i/>
          <w:sz w:val="24"/>
          <w:szCs w:val="24"/>
        </w:rPr>
        <w:t>“The term ‘question of law’ is used in three distinct though related senses.  First, it means ‘a question which the law itself has authoritatively answ</w:t>
      </w:r>
      <w:r w:rsidR="00DB10C7" w:rsidRPr="001D0925">
        <w:rPr>
          <w:rFonts w:ascii="Times New Roman" w:hAnsi="Times New Roman" w:cs="Times New Roman"/>
          <w:i/>
          <w:sz w:val="24"/>
          <w:szCs w:val="24"/>
        </w:rPr>
        <w:t>ered to the exclusion of the rig</w:t>
      </w:r>
      <w:r w:rsidRPr="001D0925">
        <w:rPr>
          <w:rFonts w:ascii="Times New Roman" w:hAnsi="Times New Roman" w:cs="Times New Roman"/>
          <w:i/>
          <w:sz w:val="24"/>
          <w:szCs w:val="24"/>
        </w:rPr>
        <w:t xml:space="preserve">ht of the court to answer the question as it </w:t>
      </w:r>
      <w:r w:rsidR="00DB10C7" w:rsidRPr="001D0925">
        <w:rPr>
          <w:rFonts w:ascii="Times New Roman" w:hAnsi="Times New Roman" w:cs="Times New Roman"/>
          <w:i/>
          <w:sz w:val="24"/>
          <w:szCs w:val="24"/>
        </w:rPr>
        <w:t>truly fit in accordance with what is considered to be the truth and justice of the matter’.  Second it means ‘a question as to what the law is  Thus an appeal on a question of law means an appeal in which the question for argument and determination is what the true rule of law is on a certain matter:  And third, ‘any question which is within the province of the Judge instead of the jury is called a question of law –</w:t>
      </w:r>
    </w:p>
    <w:p w:rsidR="00DB10C7" w:rsidRDefault="00DB10C7" w:rsidP="00485B86">
      <w:pPr>
        <w:pStyle w:val="ListBullet"/>
        <w:numPr>
          <w:ilvl w:val="0"/>
          <w:numId w:val="0"/>
        </w:numPr>
        <w:spacing w:before="240" w:line="360" w:lineRule="auto"/>
        <w:ind w:left="720"/>
        <w:jc w:val="both"/>
        <w:rPr>
          <w:rFonts w:ascii="Times New Roman" w:hAnsi="Times New Roman" w:cs="Times New Roman"/>
          <w:i/>
          <w:sz w:val="24"/>
          <w:szCs w:val="24"/>
        </w:rPr>
      </w:pPr>
      <w:r w:rsidRPr="00485B86">
        <w:rPr>
          <w:rFonts w:ascii="Times New Roman" w:hAnsi="Times New Roman" w:cs="Times New Roman"/>
          <w:sz w:val="24"/>
          <w:szCs w:val="24"/>
        </w:rPr>
        <w:t>See</w:t>
      </w:r>
      <w:r w:rsidRPr="001D0925">
        <w:rPr>
          <w:rFonts w:ascii="Times New Roman" w:hAnsi="Times New Roman" w:cs="Times New Roman"/>
          <w:i/>
          <w:sz w:val="24"/>
          <w:szCs w:val="24"/>
        </w:rPr>
        <w:t xml:space="preserve"> </w:t>
      </w:r>
      <w:r w:rsidRPr="00485B86">
        <w:rPr>
          <w:rFonts w:ascii="Tahoma" w:hAnsi="Tahoma" w:cs="Tahoma"/>
          <w:b/>
          <w:i/>
          <w:sz w:val="24"/>
          <w:szCs w:val="24"/>
        </w:rPr>
        <w:t xml:space="preserve">MUZUVA </w:t>
      </w:r>
      <w:r w:rsidR="00861159" w:rsidRPr="00485B86">
        <w:rPr>
          <w:rFonts w:ascii="Tahoma" w:hAnsi="Tahoma" w:cs="Tahoma"/>
          <w:b/>
          <w:i/>
          <w:sz w:val="24"/>
          <w:szCs w:val="24"/>
        </w:rPr>
        <w:t xml:space="preserve">v </w:t>
      </w:r>
      <w:r w:rsidRPr="00485B86">
        <w:rPr>
          <w:rFonts w:ascii="Tahoma" w:hAnsi="Tahoma" w:cs="Tahoma"/>
          <w:b/>
          <w:i/>
          <w:sz w:val="24"/>
          <w:szCs w:val="24"/>
        </w:rPr>
        <w:t>UNITED BOTTLERS (PVT) LTD 1994 (1) ZLR 217 (S),</w:t>
      </w:r>
      <w:r w:rsidR="00485B86">
        <w:rPr>
          <w:rFonts w:ascii="Tahoma" w:hAnsi="Tahoma" w:cs="Tahoma"/>
          <w:b/>
          <w:i/>
          <w:sz w:val="24"/>
          <w:szCs w:val="24"/>
        </w:rPr>
        <w:t xml:space="preserve"> </w:t>
      </w:r>
      <w:r w:rsidRPr="00485B86">
        <w:rPr>
          <w:rFonts w:ascii="Tahoma" w:hAnsi="Tahoma" w:cs="Tahoma"/>
          <w:i/>
          <w:sz w:val="24"/>
          <w:szCs w:val="24"/>
        </w:rPr>
        <w:t>220 (D-</w:t>
      </w:r>
      <w:r w:rsidRPr="001D0925">
        <w:rPr>
          <w:rFonts w:ascii="Times New Roman" w:hAnsi="Times New Roman" w:cs="Times New Roman"/>
          <w:i/>
          <w:sz w:val="24"/>
          <w:szCs w:val="24"/>
        </w:rPr>
        <w:t xml:space="preserve">F).  The position is also settled that a serious misdirection on the facts amounts </w:t>
      </w:r>
      <w:r w:rsidR="001D0925" w:rsidRPr="001D0925">
        <w:rPr>
          <w:rFonts w:ascii="Times New Roman" w:hAnsi="Times New Roman" w:cs="Times New Roman"/>
          <w:i/>
          <w:sz w:val="24"/>
          <w:szCs w:val="24"/>
        </w:rPr>
        <w:t>to a misdirection in law as the giving of reasons that are bad in law constitutes a failure to determine accordance to law”.</w:t>
      </w:r>
    </w:p>
    <w:p w:rsidR="00494178" w:rsidRDefault="00494178" w:rsidP="00485B86">
      <w:pPr>
        <w:pStyle w:val="ListBullet"/>
        <w:numPr>
          <w:ilvl w:val="0"/>
          <w:numId w:val="0"/>
        </w:numPr>
        <w:spacing w:before="240" w:line="360" w:lineRule="auto"/>
        <w:ind w:left="720"/>
        <w:jc w:val="both"/>
        <w:rPr>
          <w:rFonts w:ascii="Times New Roman" w:hAnsi="Times New Roman" w:cs="Times New Roman"/>
          <w:i/>
          <w:sz w:val="24"/>
          <w:szCs w:val="24"/>
        </w:rPr>
      </w:pPr>
    </w:p>
    <w:p w:rsidR="00494178" w:rsidRPr="00494178" w:rsidRDefault="00494178" w:rsidP="003626FF">
      <w:pPr>
        <w:pStyle w:val="ListBullet"/>
        <w:numPr>
          <w:ilvl w:val="0"/>
          <w:numId w:val="0"/>
        </w:numPr>
        <w:spacing w:before="240" w:line="360" w:lineRule="auto"/>
        <w:jc w:val="both"/>
        <w:rPr>
          <w:rFonts w:ascii="Tahoma" w:hAnsi="Tahoma" w:cs="Tahoma"/>
          <w:b/>
          <w:i/>
          <w:sz w:val="24"/>
          <w:szCs w:val="24"/>
        </w:rPr>
      </w:pPr>
      <w:r>
        <w:rPr>
          <w:rFonts w:ascii="Tahoma" w:hAnsi="Tahoma" w:cs="Tahoma"/>
          <w:sz w:val="24"/>
          <w:szCs w:val="24"/>
        </w:rPr>
        <w:t xml:space="preserve">See also </w:t>
      </w:r>
      <w:r>
        <w:rPr>
          <w:rFonts w:ascii="Tahoma" w:hAnsi="Tahoma" w:cs="Tahoma"/>
          <w:b/>
          <w:i/>
          <w:sz w:val="24"/>
          <w:szCs w:val="24"/>
        </w:rPr>
        <w:t xml:space="preserve">ZIMBABWE REVENUE AUTHORITY v </w:t>
      </w:r>
      <w:r w:rsidR="00235B7D">
        <w:rPr>
          <w:rFonts w:ascii="Tahoma" w:hAnsi="Tahoma" w:cs="Tahoma"/>
          <w:b/>
          <w:i/>
          <w:sz w:val="24"/>
          <w:szCs w:val="24"/>
        </w:rPr>
        <w:t>CH</w:t>
      </w:r>
      <w:r w:rsidR="003D0417">
        <w:rPr>
          <w:rFonts w:ascii="Tahoma" w:hAnsi="Tahoma" w:cs="Tahoma"/>
          <w:b/>
          <w:i/>
          <w:sz w:val="24"/>
          <w:szCs w:val="24"/>
        </w:rPr>
        <w:t>ESTER</w:t>
      </w:r>
      <w:r w:rsidR="00235B7D">
        <w:rPr>
          <w:rFonts w:ascii="Tahoma" w:hAnsi="Tahoma" w:cs="Tahoma"/>
          <w:b/>
          <w:i/>
          <w:sz w:val="24"/>
          <w:szCs w:val="24"/>
        </w:rPr>
        <w:t xml:space="preserve"> MUDZIMU</w:t>
      </w:r>
      <w:r w:rsidR="003626FF">
        <w:rPr>
          <w:rFonts w:ascii="Tahoma" w:hAnsi="Tahoma" w:cs="Tahoma"/>
          <w:b/>
          <w:i/>
          <w:sz w:val="24"/>
          <w:szCs w:val="24"/>
        </w:rPr>
        <w:t>UNOONA SC 4/18; RESERVE BANK OF ZIMBABWE v GRANGER &amp; ANOTHER SC 34/01; JAINOS ZVOKUSEKWA v BIKITA RURAL DISTRICT COUNCIL SC 44/15.</w:t>
      </w:r>
    </w:p>
    <w:p w:rsidR="001D0925" w:rsidRDefault="001D0925" w:rsidP="00485B86">
      <w:pPr>
        <w:pStyle w:val="ListBullet"/>
        <w:numPr>
          <w:ilvl w:val="0"/>
          <w:numId w:val="0"/>
        </w:numPr>
        <w:spacing w:before="240" w:line="240" w:lineRule="auto"/>
        <w:ind w:left="360"/>
        <w:rPr>
          <w:rFonts w:ascii="Tahoma" w:hAnsi="Tahoma" w:cs="Tahoma"/>
          <w:sz w:val="24"/>
          <w:szCs w:val="24"/>
        </w:rPr>
      </w:pPr>
    </w:p>
    <w:p w:rsidR="00D107FD" w:rsidRDefault="001D0925" w:rsidP="00485B86">
      <w:pPr>
        <w:pStyle w:val="ListBullet"/>
        <w:numPr>
          <w:ilvl w:val="0"/>
          <w:numId w:val="0"/>
        </w:numPr>
        <w:spacing w:before="240" w:line="360" w:lineRule="auto"/>
        <w:ind w:firstLine="360"/>
        <w:jc w:val="both"/>
        <w:rPr>
          <w:rFonts w:ascii="Tahoma" w:hAnsi="Tahoma" w:cs="Tahoma"/>
          <w:sz w:val="24"/>
          <w:szCs w:val="24"/>
        </w:rPr>
      </w:pPr>
      <w:r>
        <w:rPr>
          <w:rFonts w:ascii="Tahoma" w:hAnsi="Tahoma" w:cs="Tahoma"/>
          <w:sz w:val="24"/>
          <w:szCs w:val="24"/>
        </w:rPr>
        <w:tab/>
        <w:t xml:space="preserve">In the present matter judgment LC/H/124/2021 upheld the earlier </w:t>
      </w:r>
      <w:r w:rsidR="00A67A76">
        <w:rPr>
          <w:rFonts w:ascii="Tahoma" w:hAnsi="Tahoma" w:cs="Tahoma"/>
          <w:sz w:val="24"/>
          <w:szCs w:val="24"/>
        </w:rPr>
        <w:t>tribunal’s</w:t>
      </w:r>
      <w:r>
        <w:rPr>
          <w:rFonts w:ascii="Tahoma" w:hAnsi="Tahoma" w:cs="Tahoma"/>
          <w:sz w:val="24"/>
          <w:szCs w:val="24"/>
        </w:rPr>
        <w:t xml:space="preserve"> decision finding the appellant guilty of: committing any act of conduct or omission in consistent with the fulfilment of the express or implied conditions of his contract.  The allegations were that on dates particularised in the change letter, while h</w:t>
      </w:r>
      <w:r w:rsidR="00D107FD">
        <w:rPr>
          <w:rFonts w:ascii="Tahoma" w:hAnsi="Tahoma" w:cs="Tahoma"/>
          <w:sz w:val="24"/>
          <w:szCs w:val="24"/>
        </w:rPr>
        <w:t>e was Acting General Manager he –</w:t>
      </w:r>
    </w:p>
    <w:p w:rsidR="00D107FD" w:rsidRDefault="00D107FD" w:rsidP="00D107FD">
      <w:pPr>
        <w:pStyle w:val="ListBullet"/>
        <w:numPr>
          <w:ilvl w:val="0"/>
          <w:numId w:val="0"/>
        </w:numPr>
        <w:spacing w:before="240" w:line="240" w:lineRule="auto"/>
        <w:ind w:firstLine="360"/>
        <w:jc w:val="both"/>
        <w:rPr>
          <w:rFonts w:ascii="Tahoma" w:hAnsi="Tahoma" w:cs="Tahoma"/>
          <w:sz w:val="24"/>
          <w:szCs w:val="24"/>
        </w:rPr>
      </w:pPr>
    </w:p>
    <w:p w:rsidR="001D0925" w:rsidRPr="00EB1F91" w:rsidRDefault="001D0925" w:rsidP="00D107FD">
      <w:pPr>
        <w:pStyle w:val="ListBullet"/>
        <w:numPr>
          <w:ilvl w:val="0"/>
          <w:numId w:val="0"/>
        </w:numPr>
        <w:spacing w:before="240" w:line="360" w:lineRule="auto"/>
        <w:ind w:left="720" w:firstLine="360"/>
        <w:jc w:val="both"/>
        <w:rPr>
          <w:rFonts w:ascii="Times New Roman" w:hAnsi="Times New Roman" w:cs="Times New Roman"/>
          <w:i/>
          <w:sz w:val="24"/>
          <w:szCs w:val="24"/>
        </w:rPr>
      </w:pPr>
      <w:r w:rsidRPr="00EB1F91">
        <w:rPr>
          <w:rFonts w:ascii="Times New Roman" w:hAnsi="Times New Roman" w:cs="Times New Roman"/>
          <w:i/>
          <w:sz w:val="24"/>
          <w:szCs w:val="24"/>
        </w:rPr>
        <w:t>“</w:t>
      </w:r>
      <w:proofErr w:type="gramStart"/>
      <w:r w:rsidRPr="00EB1F91">
        <w:rPr>
          <w:rFonts w:ascii="Times New Roman" w:hAnsi="Times New Roman" w:cs="Times New Roman"/>
          <w:i/>
          <w:sz w:val="24"/>
          <w:szCs w:val="24"/>
        </w:rPr>
        <w:t>failed</w:t>
      </w:r>
      <w:proofErr w:type="gramEnd"/>
      <w:r w:rsidRPr="00EB1F91">
        <w:rPr>
          <w:rFonts w:ascii="Times New Roman" w:hAnsi="Times New Roman" w:cs="Times New Roman"/>
          <w:i/>
          <w:sz w:val="24"/>
          <w:szCs w:val="24"/>
        </w:rPr>
        <w:t xml:space="preserve"> and or neglected to advise the Board of the various problems and challenges that the company was facing.  He faced two counts </w:t>
      </w:r>
      <w:r w:rsidR="00A67A76" w:rsidRPr="00EB1F91">
        <w:rPr>
          <w:rFonts w:ascii="Times New Roman" w:hAnsi="Times New Roman" w:cs="Times New Roman"/>
          <w:i/>
          <w:sz w:val="24"/>
          <w:szCs w:val="24"/>
        </w:rPr>
        <w:t>and</w:t>
      </w:r>
      <w:r w:rsidRPr="00EB1F91">
        <w:rPr>
          <w:rFonts w:ascii="Times New Roman" w:hAnsi="Times New Roman" w:cs="Times New Roman"/>
          <w:i/>
          <w:sz w:val="24"/>
          <w:szCs w:val="24"/>
        </w:rPr>
        <w:t xml:space="preserve"> </w:t>
      </w:r>
      <w:r w:rsidR="00A67A76" w:rsidRPr="00EB1F91">
        <w:rPr>
          <w:rFonts w:ascii="Times New Roman" w:hAnsi="Times New Roman" w:cs="Times New Roman"/>
          <w:i/>
          <w:sz w:val="24"/>
          <w:szCs w:val="24"/>
        </w:rPr>
        <w:t>the</w:t>
      </w:r>
      <w:r w:rsidRPr="00EB1F91">
        <w:rPr>
          <w:rFonts w:ascii="Times New Roman" w:hAnsi="Times New Roman" w:cs="Times New Roman"/>
          <w:i/>
          <w:sz w:val="24"/>
          <w:szCs w:val="24"/>
        </w:rPr>
        <w:t xml:space="preserve"> </w:t>
      </w:r>
      <w:r w:rsidR="00A67A76">
        <w:rPr>
          <w:rFonts w:ascii="Times New Roman" w:hAnsi="Times New Roman" w:cs="Times New Roman"/>
          <w:i/>
          <w:sz w:val="24"/>
          <w:szCs w:val="24"/>
        </w:rPr>
        <w:t>ear</w:t>
      </w:r>
      <w:r w:rsidR="00A67A76" w:rsidRPr="00EB1F91">
        <w:rPr>
          <w:rFonts w:ascii="Times New Roman" w:hAnsi="Times New Roman" w:cs="Times New Roman"/>
          <w:i/>
          <w:sz w:val="24"/>
          <w:szCs w:val="24"/>
        </w:rPr>
        <w:t>lier</w:t>
      </w:r>
      <w:r w:rsidRPr="00EB1F91">
        <w:rPr>
          <w:rFonts w:ascii="Times New Roman" w:hAnsi="Times New Roman" w:cs="Times New Roman"/>
          <w:i/>
          <w:sz w:val="24"/>
          <w:szCs w:val="24"/>
        </w:rPr>
        <w:t xml:space="preserve"> </w:t>
      </w:r>
      <w:r w:rsidR="00983815">
        <w:rPr>
          <w:rFonts w:ascii="Times New Roman" w:hAnsi="Times New Roman" w:cs="Times New Roman"/>
          <w:i/>
          <w:sz w:val="24"/>
          <w:szCs w:val="24"/>
        </w:rPr>
        <w:t xml:space="preserve">tribunal </w:t>
      </w:r>
      <w:r w:rsidRPr="00EB1F91">
        <w:rPr>
          <w:rFonts w:ascii="Times New Roman" w:hAnsi="Times New Roman" w:cs="Times New Roman"/>
          <w:i/>
          <w:sz w:val="24"/>
          <w:szCs w:val="24"/>
        </w:rPr>
        <w:t>found him guilty of both.”</w:t>
      </w:r>
    </w:p>
    <w:p w:rsidR="001D0925" w:rsidRDefault="001D0925" w:rsidP="00D107FD">
      <w:pPr>
        <w:pStyle w:val="ListBullet"/>
        <w:numPr>
          <w:ilvl w:val="0"/>
          <w:numId w:val="0"/>
        </w:numPr>
        <w:spacing w:before="240" w:line="240" w:lineRule="auto"/>
        <w:ind w:left="360"/>
        <w:rPr>
          <w:rFonts w:ascii="Tahoma" w:hAnsi="Tahoma" w:cs="Tahoma"/>
          <w:sz w:val="24"/>
          <w:szCs w:val="24"/>
        </w:rPr>
      </w:pPr>
    </w:p>
    <w:p w:rsidR="00983815" w:rsidRDefault="00EB1F91" w:rsidP="00D107FD">
      <w:pPr>
        <w:pStyle w:val="ListBullet"/>
        <w:numPr>
          <w:ilvl w:val="0"/>
          <w:numId w:val="0"/>
        </w:numPr>
        <w:spacing w:before="240" w:line="360" w:lineRule="auto"/>
        <w:ind w:firstLine="720"/>
        <w:jc w:val="both"/>
        <w:rPr>
          <w:rFonts w:ascii="Tahoma" w:hAnsi="Tahoma" w:cs="Tahoma"/>
          <w:sz w:val="24"/>
          <w:szCs w:val="24"/>
        </w:rPr>
      </w:pPr>
      <w:r>
        <w:rPr>
          <w:rFonts w:ascii="Tahoma" w:hAnsi="Tahoma" w:cs="Tahoma"/>
          <w:sz w:val="24"/>
          <w:szCs w:val="24"/>
        </w:rPr>
        <w:t xml:space="preserve">The facts which are largely common course </w:t>
      </w:r>
      <w:r w:rsidR="003626FF">
        <w:rPr>
          <w:rFonts w:ascii="Tahoma" w:hAnsi="Tahoma" w:cs="Tahoma"/>
          <w:sz w:val="24"/>
          <w:szCs w:val="24"/>
        </w:rPr>
        <w:t xml:space="preserve">are </w:t>
      </w:r>
      <w:r>
        <w:rPr>
          <w:rFonts w:ascii="Tahoma" w:hAnsi="Tahoma" w:cs="Tahoma"/>
          <w:sz w:val="24"/>
          <w:szCs w:val="24"/>
        </w:rPr>
        <w:t>that indeed the App</w:t>
      </w:r>
      <w:r w:rsidR="00D55307">
        <w:rPr>
          <w:rFonts w:ascii="Tahoma" w:hAnsi="Tahoma" w:cs="Tahoma"/>
          <w:sz w:val="24"/>
          <w:szCs w:val="24"/>
        </w:rPr>
        <w:t>lic</w:t>
      </w:r>
      <w:r>
        <w:rPr>
          <w:rFonts w:ascii="Tahoma" w:hAnsi="Tahoma" w:cs="Tahoma"/>
          <w:sz w:val="24"/>
          <w:szCs w:val="24"/>
        </w:rPr>
        <w:t>ant did not bring to the attention of the Board the challenges in question.</w:t>
      </w:r>
      <w:r w:rsidR="00983815">
        <w:rPr>
          <w:rFonts w:ascii="Tahoma" w:hAnsi="Tahoma" w:cs="Tahoma"/>
          <w:sz w:val="24"/>
          <w:szCs w:val="24"/>
        </w:rPr>
        <w:t xml:space="preserve">  </w:t>
      </w:r>
      <w:r>
        <w:rPr>
          <w:rFonts w:ascii="Tahoma" w:hAnsi="Tahoma" w:cs="Tahoma"/>
          <w:sz w:val="24"/>
          <w:szCs w:val="24"/>
        </w:rPr>
        <w:t xml:space="preserve">It is also not disputed that the Appellant was appointed to the respondent company in the capacity of Deputy General </w:t>
      </w:r>
      <w:r w:rsidR="004803EE">
        <w:rPr>
          <w:rFonts w:ascii="Tahoma" w:hAnsi="Tahoma" w:cs="Tahoma"/>
          <w:sz w:val="24"/>
          <w:szCs w:val="24"/>
        </w:rPr>
        <w:t xml:space="preserve">Manager.  Further when </w:t>
      </w:r>
      <w:r>
        <w:rPr>
          <w:rFonts w:ascii="Tahoma" w:hAnsi="Tahoma" w:cs="Tahoma"/>
          <w:sz w:val="24"/>
          <w:szCs w:val="24"/>
        </w:rPr>
        <w:t xml:space="preserve">the General Manager had reason to be away from work the General Manager would advise the staff of her absence </w:t>
      </w:r>
      <w:r w:rsidR="004803EE">
        <w:rPr>
          <w:rFonts w:ascii="Tahoma" w:hAnsi="Tahoma" w:cs="Tahoma"/>
          <w:sz w:val="24"/>
          <w:szCs w:val="24"/>
        </w:rPr>
        <w:t>through email.  Through this same email the General Manager would indicate that the App</w:t>
      </w:r>
      <w:r w:rsidR="00D55307">
        <w:rPr>
          <w:rFonts w:ascii="Tahoma" w:hAnsi="Tahoma" w:cs="Tahoma"/>
          <w:sz w:val="24"/>
          <w:szCs w:val="24"/>
        </w:rPr>
        <w:t>lic</w:t>
      </w:r>
      <w:r w:rsidR="004803EE">
        <w:rPr>
          <w:rFonts w:ascii="Tahoma" w:hAnsi="Tahoma" w:cs="Tahoma"/>
          <w:sz w:val="24"/>
          <w:szCs w:val="24"/>
        </w:rPr>
        <w:t xml:space="preserve">ant ‘will be acting during my absence’.  The email would be sent to the Appellant and others.  The respondent’s position is that the appellant was aware of his responsibilities through that communication.  </w:t>
      </w:r>
      <w:r w:rsidR="003626FF">
        <w:rPr>
          <w:rFonts w:ascii="Tahoma" w:hAnsi="Tahoma" w:cs="Tahoma"/>
          <w:sz w:val="24"/>
          <w:szCs w:val="24"/>
        </w:rPr>
        <w:t>H</w:t>
      </w:r>
      <w:r w:rsidR="004803EE">
        <w:rPr>
          <w:rFonts w:ascii="Tahoma" w:hAnsi="Tahoma" w:cs="Tahoma"/>
          <w:sz w:val="24"/>
          <w:szCs w:val="24"/>
        </w:rPr>
        <w:t>e had access to the Board Chair who he could have advised of any challenges since the Board never sat during the periods in ques</w:t>
      </w:r>
      <w:r w:rsidR="003626FF">
        <w:rPr>
          <w:rFonts w:ascii="Tahoma" w:hAnsi="Tahoma" w:cs="Tahoma"/>
          <w:sz w:val="24"/>
          <w:szCs w:val="24"/>
        </w:rPr>
        <w:t>tion</w:t>
      </w:r>
      <w:r w:rsidR="004803EE">
        <w:rPr>
          <w:rFonts w:ascii="Tahoma" w:hAnsi="Tahoma" w:cs="Tahoma"/>
          <w:sz w:val="24"/>
          <w:szCs w:val="24"/>
        </w:rPr>
        <w:t>.</w:t>
      </w:r>
      <w:r w:rsidR="003626FF">
        <w:rPr>
          <w:rFonts w:ascii="Tahoma" w:hAnsi="Tahoma" w:cs="Tahoma"/>
          <w:sz w:val="24"/>
          <w:szCs w:val="24"/>
        </w:rPr>
        <w:t xml:space="preserve">  It is also not disputed that the Board never sat for the periods the Applicant was supposed to submit the reports in question.</w:t>
      </w:r>
      <w:r w:rsidR="004803EE">
        <w:rPr>
          <w:rFonts w:ascii="Tahoma" w:hAnsi="Tahoma" w:cs="Tahoma"/>
          <w:sz w:val="24"/>
          <w:szCs w:val="24"/>
        </w:rPr>
        <w:t xml:space="preserve">  </w:t>
      </w:r>
    </w:p>
    <w:p w:rsidR="005F6136" w:rsidRDefault="005F6136" w:rsidP="00D55307">
      <w:pPr>
        <w:pStyle w:val="ListBullet"/>
        <w:numPr>
          <w:ilvl w:val="0"/>
          <w:numId w:val="0"/>
        </w:numPr>
        <w:spacing w:before="240" w:line="360" w:lineRule="auto"/>
        <w:ind w:firstLine="720"/>
        <w:jc w:val="both"/>
        <w:rPr>
          <w:rFonts w:ascii="Tahoma" w:hAnsi="Tahoma" w:cs="Tahoma"/>
          <w:sz w:val="24"/>
          <w:szCs w:val="24"/>
        </w:rPr>
      </w:pPr>
    </w:p>
    <w:p w:rsidR="00A33E4E" w:rsidRDefault="004803EE" w:rsidP="00A33E4E">
      <w:pPr>
        <w:pStyle w:val="ListBullet"/>
        <w:numPr>
          <w:ilvl w:val="0"/>
          <w:numId w:val="0"/>
        </w:numPr>
        <w:spacing w:before="240" w:line="360" w:lineRule="auto"/>
        <w:ind w:firstLine="630"/>
        <w:jc w:val="both"/>
        <w:rPr>
          <w:rFonts w:ascii="Tahoma" w:hAnsi="Tahoma" w:cs="Tahoma"/>
          <w:sz w:val="24"/>
          <w:szCs w:val="24"/>
        </w:rPr>
      </w:pPr>
      <w:r>
        <w:rPr>
          <w:rFonts w:ascii="Tahoma" w:hAnsi="Tahoma" w:cs="Tahoma"/>
          <w:sz w:val="24"/>
          <w:szCs w:val="24"/>
        </w:rPr>
        <w:t>The App</w:t>
      </w:r>
      <w:r w:rsidR="00983815">
        <w:rPr>
          <w:rFonts w:ascii="Tahoma" w:hAnsi="Tahoma" w:cs="Tahoma"/>
          <w:sz w:val="24"/>
          <w:szCs w:val="24"/>
        </w:rPr>
        <w:t>lic</w:t>
      </w:r>
      <w:r>
        <w:rPr>
          <w:rFonts w:ascii="Tahoma" w:hAnsi="Tahoma" w:cs="Tahoma"/>
          <w:sz w:val="24"/>
          <w:szCs w:val="24"/>
        </w:rPr>
        <w:t xml:space="preserve">ant’s position is that </w:t>
      </w:r>
      <w:r w:rsidR="003626FF">
        <w:rPr>
          <w:rFonts w:ascii="Tahoma" w:hAnsi="Tahoma" w:cs="Tahoma"/>
          <w:sz w:val="24"/>
          <w:szCs w:val="24"/>
        </w:rPr>
        <w:t xml:space="preserve">a </w:t>
      </w:r>
      <w:r>
        <w:rPr>
          <w:rFonts w:ascii="Tahoma" w:hAnsi="Tahoma" w:cs="Tahoma"/>
          <w:sz w:val="24"/>
          <w:szCs w:val="24"/>
        </w:rPr>
        <w:t xml:space="preserve">“Board” is constituted when </w:t>
      </w:r>
      <w:r w:rsidR="00485B86">
        <w:rPr>
          <w:rFonts w:ascii="Tahoma" w:hAnsi="Tahoma" w:cs="Tahoma"/>
          <w:sz w:val="24"/>
          <w:szCs w:val="24"/>
        </w:rPr>
        <w:t>all mem</w:t>
      </w:r>
      <w:r>
        <w:rPr>
          <w:rFonts w:ascii="Tahoma" w:hAnsi="Tahoma" w:cs="Tahoma"/>
          <w:sz w:val="24"/>
          <w:szCs w:val="24"/>
        </w:rPr>
        <w:t>bers are pro</w:t>
      </w:r>
      <w:r w:rsidR="00485B86">
        <w:rPr>
          <w:rFonts w:ascii="Tahoma" w:hAnsi="Tahoma" w:cs="Tahoma"/>
          <w:sz w:val="24"/>
          <w:szCs w:val="24"/>
        </w:rPr>
        <w:t>perly constituted and sit.  The Board Chair is not the Board.</w:t>
      </w:r>
      <w:r w:rsidR="00983815">
        <w:rPr>
          <w:rFonts w:ascii="Tahoma" w:hAnsi="Tahoma" w:cs="Tahoma"/>
          <w:sz w:val="24"/>
          <w:szCs w:val="24"/>
        </w:rPr>
        <w:t xml:space="preserve"> For that reason the applicant argues that</w:t>
      </w:r>
      <w:r w:rsidR="00D55307">
        <w:rPr>
          <w:rFonts w:ascii="Tahoma" w:hAnsi="Tahoma" w:cs="Tahoma"/>
          <w:sz w:val="24"/>
          <w:szCs w:val="24"/>
        </w:rPr>
        <w:t xml:space="preserve"> there was no Board for him to report to.</w:t>
      </w:r>
      <w:r w:rsidR="00485116">
        <w:rPr>
          <w:rFonts w:ascii="Tahoma" w:hAnsi="Tahoma" w:cs="Tahoma"/>
          <w:sz w:val="24"/>
          <w:szCs w:val="24"/>
        </w:rPr>
        <w:t xml:space="preserve">  In </w:t>
      </w:r>
      <w:r w:rsidR="00485116">
        <w:rPr>
          <w:rFonts w:ascii="Tahoma" w:hAnsi="Tahoma" w:cs="Tahoma"/>
          <w:b/>
          <w:i/>
          <w:sz w:val="24"/>
          <w:szCs w:val="24"/>
        </w:rPr>
        <w:t>CUTHBERT ELKANA DUBE</w:t>
      </w:r>
      <w:r w:rsidR="003D0417">
        <w:rPr>
          <w:rFonts w:ascii="Tahoma" w:hAnsi="Tahoma" w:cs="Tahoma"/>
          <w:b/>
          <w:i/>
          <w:sz w:val="24"/>
          <w:szCs w:val="24"/>
        </w:rPr>
        <w:t xml:space="preserve"> V (1) PREMIER SERVICE MEDICAL AID SOCIETY (2) PREMIER SERVICE MEDICAL INVESTMENTS SC 73/19 </w:t>
      </w:r>
      <w:r w:rsidR="00485116">
        <w:rPr>
          <w:rFonts w:ascii="Tahoma" w:hAnsi="Tahoma" w:cs="Tahoma"/>
          <w:sz w:val="24"/>
          <w:szCs w:val="24"/>
        </w:rPr>
        <w:t>(which quotes wi</w:t>
      </w:r>
      <w:r w:rsidR="00485116" w:rsidRPr="00485116">
        <w:rPr>
          <w:rFonts w:ascii="Tahoma" w:hAnsi="Tahoma" w:cs="Tahoma"/>
          <w:sz w:val="24"/>
          <w:szCs w:val="24"/>
        </w:rPr>
        <w:t xml:space="preserve">th </w:t>
      </w:r>
      <w:r w:rsidR="00485116">
        <w:rPr>
          <w:rFonts w:ascii="Tahoma" w:hAnsi="Tahoma" w:cs="Tahoma"/>
          <w:sz w:val="24"/>
          <w:szCs w:val="24"/>
        </w:rPr>
        <w:t xml:space="preserve">approval what was stated in </w:t>
      </w:r>
      <w:r w:rsidR="005F6136">
        <w:rPr>
          <w:rFonts w:ascii="Tahoma" w:hAnsi="Tahoma" w:cs="Tahoma"/>
          <w:b/>
          <w:i/>
          <w:sz w:val="24"/>
          <w:szCs w:val="24"/>
        </w:rPr>
        <w:t>MADZIVI</w:t>
      </w:r>
      <w:r w:rsidR="00485116">
        <w:rPr>
          <w:rFonts w:ascii="Tahoma" w:hAnsi="Tahoma" w:cs="Tahoma"/>
          <w:b/>
          <w:i/>
          <w:sz w:val="24"/>
          <w:szCs w:val="24"/>
        </w:rPr>
        <w:t xml:space="preserve">RE &amp; OTHERS v </w:t>
      </w:r>
      <w:r w:rsidR="003D0417">
        <w:rPr>
          <w:rFonts w:ascii="Tahoma" w:hAnsi="Tahoma" w:cs="Tahoma"/>
          <w:b/>
          <w:i/>
          <w:sz w:val="24"/>
          <w:szCs w:val="24"/>
        </w:rPr>
        <w:t>ZVAR</w:t>
      </w:r>
      <w:r w:rsidR="00C71653">
        <w:rPr>
          <w:rFonts w:ascii="Tahoma" w:hAnsi="Tahoma" w:cs="Tahoma"/>
          <w:b/>
          <w:i/>
          <w:sz w:val="24"/>
          <w:szCs w:val="24"/>
        </w:rPr>
        <w:t xml:space="preserve">IVADZA HH 74/2000) </w:t>
      </w:r>
      <w:r w:rsidR="003A5F74">
        <w:rPr>
          <w:rFonts w:ascii="Tahoma" w:hAnsi="Tahoma" w:cs="Tahoma"/>
          <w:sz w:val="24"/>
          <w:szCs w:val="24"/>
        </w:rPr>
        <w:t>the Supreme Court stated</w:t>
      </w:r>
      <w:r w:rsidR="00A33E4E">
        <w:rPr>
          <w:rFonts w:ascii="Tahoma" w:hAnsi="Tahoma" w:cs="Tahoma"/>
          <w:sz w:val="24"/>
          <w:szCs w:val="24"/>
        </w:rPr>
        <w:t xml:space="preserve"> that:</w:t>
      </w:r>
    </w:p>
    <w:p w:rsidR="003A5F74" w:rsidRDefault="003A5F74" w:rsidP="003A5F74">
      <w:pPr>
        <w:pStyle w:val="ListBullet"/>
        <w:numPr>
          <w:ilvl w:val="0"/>
          <w:numId w:val="0"/>
        </w:numPr>
        <w:spacing w:before="240" w:line="240" w:lineRule="auto"/>
        <w:ind w:firstLine="630"/>
        <w:jc w:val="both"/>
        <w:rPr>
          <w:rFonts w:ascii="Tahoma" w:hAnsi="Tahoma" w:cs="Tahoma"/>
          <w:sz w:val="24"/>
          <w:szCs w:val="24"/>
        </w:rPr>
      </w:pPr>
    </w:p>
    <w:p w:rsidR="003D0417" w:rsidRDefault="003D0417" w:rsidP="003D0417">
      <w:pPr>
        <w:pStyle w:val="ListBullet"/>
        <w:numPr>
          <w:ilvl w:val="0"/>
          <w:numId w:val="0"/>
        </w:numPr>
        <w:spacing w:before="240" w:line="360" w:lineRule="auto"/>
        <w:ind w:left="720" w:firstLine="810"/>
        <w:jc w:val="both"/>
        <w:rPr>
          <w:rFonts w:ascii="Tahoma" w:hAnsi="Tahoma" w:cs="Tahoma"/>
          <w:sz w:val="24"/>
          <w:szCs w:val="24"/>
        </w:rPr>
      </w:pPr>
      <w:r>
        <w:rPr>
          <w:rFonts w:ascii="Times New Roman" w:hAnsi="Times New Roman" w:cs="Times New Roman"/>
          <w:i/>
          <w:sz w:val="24"/>
          <w:szCs w:val="24"/>
        </w:rPr>
        <w:t>“…The general rule is that the directors</w:t>
      </w:r>
      <w:r w:rsidR="00A33E4E" w:rsidRPr="00917DB9">
        <w:rPr>
          <w:rFonts w:ascii="Times New Roman" w:hAnsi="Times New Roman" w:cs="Times New Roman"/>
          <w:i/>
          <w:sz w:val="24"/>
          <w:szCs w:val="24"/>
        </w:rPr>
        <w:t xml:space="preserve"> </w:t>
      </w:r>
      <w:r w:rsidR="00A33E4E">
        <w:rPr>
          <w:rFonts w:ascii="Times New Roman" w:hAnsi="Times New Roman" w:cs="Times New Roman"/>
          <w:i/>
          <w:sz w:val="24"/>
          <w:szCs w:val="24"/>
        </w:rPr>
        <w:t xml:space="preserve">of a company only act </w:t>
      </w:r>
      <w:proofErr w:type="spellStart"/>
      <w:r w:rsidR="00A33E4E">
        <w:rPr>
          <w:rFonts w:ascii="Times New Roman" w:hAnsi="Times New Roman" w:cs="Times New Roman"/>
          <w:i/>
          <w:sz w:val="24"/>
          <w:szCs w:val="24"/>
        </w:rPr>
        <w:t>validily</w:t>
      </w:r>
      <w:proofErr w:type="spellEnd"/>
      <w:r w:rsidR="00A33E4E">
        <w:rPr>
          <w:rFonts w:ascii="Times New Roman" w:hAnsi="Times New Roman" w:cs="Times New Roman"/>
          <w:i/>
          <w:sz w:val="24"/>
          <w:szCs w:val="24"/>
        </w:rPr>
        <w:t xml:space="preserve"> </w:t>
      </w:r>
      <w:r w:rsidR="00A33E4E" w:rsidRPr="00917DB9">
        <w:rPr>
          <w:rFonts w:ascii="Times New Roman" w:hAnsi="Times New Roman" w:cs="Times New Roman"/>
          <w:i/>
          <w:sz w:val="24"/>
          <w:szCs w:val="24"/>
        </w:rPr>
        <w:t>wh</w:t>
      </w:r>
      <w:r>
        <w:rPr>
          <w:rFonts w:ascii="Times New Roman" w:hAnsi="Times New Roman" w:cs="Times New Roman"/>
          <w:i/>
          <w:sz w:val="24"/>
          <w:szCs w:val="24"/>
        </w:rPr>
        <w:t>en assembled at a Board Meeting.”</w:t>
      </w:r>
      <w:r w:rsidR="00A33E4E" w:rsidRPr="003D0417">
        <w:rPr>
          <w:rFonts w:ascii="Tahoma" w:hAnsi="Tahoma" w:cs="Tahoma"/>
          <w:sz w:val="24"/>
          <w:szCs w:val="24"/>
        </w:rPr>
        <w:t xml:space="preserve">  </w:t>
      </w:r>
    </w:p>
    <w:p w:rsidR="003A5F74" w:rsidRDefault="003A5F74" w:rsidP="003A5F74">
      <w:pPr>
        <w:pStyle w:val="ListBullet"/>
        <w:numPr>
          <w:ilvl w:val="0"/>
          <w:numId w:val="0"/>
        </w:numPr>
        <w:spacing w:before="240" w:line="240" w:lineRule="auto"/>
        <w:ind w:firstLine="720"/>
        <w:jc w:val="both"/>
        <w:rPr>
          <w:rFonts w:ascii="Tahoma" w:hAnsi="Tahoma" w:cs="Tahoma"/>
          <w:sz w:val="24"/>
          <w:szCs w:val="24"/>
        </w:rPr>
      </w:pPr>
    </w:p>
    <w:p w:rsidR="00A33E4E" w:rsidRPr="003D0417" w:rsidRDefault="00A33E4E" w:rsidP="003D0417">
      <w:pPr>
        <w:pStyle w:val="ListBullet"/>
        <w:numPr>
          <w:ilvl w:val="0"/>
          <w:numId w:val="0"/>
        </w:numPr>
        <w:spacing w:before="240" w:line="360" w:lineRule="auto"/>
        <w:ind w:firstLine="720"/>
        <w:jc w:val="both"/>
        <w:rPr>
          <w:rFonts w:ascii="Tahoma" w:hAnsi="Tahoma" w:cs="Tahoma"/>
          <w:sz w:val="24"/>
          <w:szCs w:val="24"/>
        </w:rPr>
      </w:pPr>
      <w:r w:rsidRPr="003D0417">
        <w:rPr>
          <w:rFonts w:ascii="Tahoma" w:hAnsi="Tahoma" w:cs="Tahoma"/>
          <w:sz w:val="24"/>
          <w:szCs w:val="24"/>
        </w:rPr>
        <w:t xml:space="preserve">This is the correct position.  However in the circumstances of the present matter the question remains </w:t>
      </w:r>
      <w:r w:rsidR="00C71653">
        <w:rPr>
          <w:rFonts w:ascii="Tahoma" w:hAnsi="Tahoma" w:cs="Tahoma"/>
          <w:sz w:val="24"/>
          <w:szCs w:val="24"/>
        </w:rPr>
        <w:t xml:space="preserve">that </w:t>
      </w:r>
      <w:r w:rsidRPr="003D0417">
        <w:rPr>
          <w:rFonts w:ascii="Tahoma" w:hAnsi="Tahoma" w:cs="Tahoma"/>
          <w:sz w:val="24"/>
          <w:szCs w:val="24"/>
        </w:rPr>
        <w:t>of the applicant’s position as Deputy General Ma</w:t>
      </w:r>
      <w:r w:rsidR="003D0417">
        <w:rPr>
          <w:rFonts w:ascii="Tahoma" w:hAnsi="Tahoma" w:cs="Tahoma"/>
          <w:sz w:val="24"/>
          <w:szCs w:val="24"/>
        </w:rPr>
        <w:t>nager and his responsibilities.</w:t>
      </w:r>
      <w:r w:rsidRPr="003D0417">
        <w:rPr>
          <w:rFonts w:ascii="Tahoma" w:hAnsi="Tahoma" w:cs="Tahoma"/>
          <w:sz w:val="24"/>
          <w:szCs w:val="24"/>
        </w:rPr>
        <w:t xml:space="preserve"> </w:t>
      </w:r>
    </w:p>
    <w:p w:rsidR="00D55307" w:rsidRPr="003D0417" w:rsidRDefault="00D55307" w:rsidP="00A33E4E">
      <w:pPr>
        <w:pStyle w:val="ListBullet"/>
        <w:numPr>
          <w:ilvl w:val="0"/>
          <w:numId w:val="0"/>
        </w:numPr>
        <w:spacing w:before="240" w:line="240" w:lineRule="auto"/>
        <w:jc w:val="both"/>
        <w:rPr>
          <w:rFonts w:ascii="Tahoma" w:hAnsi="Tahoma" w:cs="Tahoma"/>
          <w:sz w:val="24"/>
          <w:szCs w:val="24"/>
        </w:rPr>
      </w:pPr>
    </w:p>
    <w:p w:rsidR="005F6136" w:rsidRPr="00917DB9" w:rsidRDefault="00485B86" w:rsidP="00A33E4E">
      <w:pPr>
        <w:pStyle w:val="ListBullet"/>
        <w:numPr>
          <w:ilvl w:val="0"/>
          <w:numId w:val="0"/>
        </w:numPr>
        <w:spacing w:before="240" w:line="360" w:lineRule="auto"/>
        <w:ind w:firstLine="630"/>
        <w:jc w:val="both"/>
        <w:rPr>
          <w:rFonts w:ascii="Tahoma" w:hAnsi="Tahoma" w:cs="Tahoma"/>
          <w:sz w:val="24"/>
          <w:szCs w:val="24"/>
        </w:rPr>
      </w:pPr>
      <w:r>
        <w:rPr>
          <w:rFonts w:ascii="Tahoma" w:hAnsi="Tahoma" w:cs="Tahoma"/>
          <w:sz w:val="24"/>
          <w:szCs w:val="24"/>
        </w:rPr>
        <w:t>It was argued on behalf of the App</w:t>
      </w:r>
      <w:r w:rsidR="00D55307">
        <w:rPr>
          <w:rFonts w:ascii="Tahoma" w:hAnsi="Tahoma" w:cs="Tahoma"/>
          <w:sz w:val="24"/>
          <w:szCs w:val="24"/>
        </w:rPr>
        <w:t>lic</w:t>
      </w:r>
      <w:r>
        <w:rPr>
          <w:rFonts w:ascii="Tahoma" w:hAnsi="Tahoma" w:cs="Tahoma"/>
          <w:sz w:val="24"/>
          <w:szCs w:val="24"/>
        </w:rPr>
        <w:t xml:space="preserve">ant </w:t>
      </w:r>
      <w:r w:rsidR="005F6136">
        <w:rPr>
          <w:rFonts w:ascii="Tahoma" w:hAnsi="Tahoma" w:cs="Tahoma"/>
          <w:sz w:val="24"/>
          <w:szCs w:val="24"/>
        </w:rPr>
        <w:t xml:space="preserve">that he </w:t>
      </w:r>
      <w:r>
        <w:rPr>
          <w:rFonts w:ascii="Tahoma" w:hAnsi="Tahoma" w:cs="Tahoma"/>
          <w:sz w:val="24"/>
          <w:szCs w:val="24"/>
        </w:rPr>
        <w:t xml:space="preserve">failed to execute his duties due to the ‘objective </w:t>
      </w:r>
      <w:r w:rsidR="00983815">
        <w:rPr>
          <w:rFonts w:ascii="Tahoma" w:hAnsi="Tahoma" w:cs="Tahoma"/>
          <w:sz w:val="24"/>
          <w:szCs w:val="24"/>
        </w:rPr>
        <w:t>impossibility</w:t>
      </w:r>
      <w:r>
        <w:rPr>
          <w:rFonts w:ascii="Tahoma" w:hAnsi="Tahoma" w:cs="Tahoma"/>
          <w:sz w:val="24"/>
          <w:szCs w:val="24"/>
        </w:rPr>
        <w:t xml:space="preserve"> to execute a legal obligation’.  In support of this argument</w:t>
      </w:r>
      <w:r w:rsidR="005F6136">
        <w:rPr>
          <w:rFonts w:ascii="Tahoma" w:hAnsi="Tahoma" w:cs="Tahoma"/>
          <w:sz w:val="24"/>
          <w:szCs w:val="24"/>
        </w:rPr>
        <w:t xml:space="preserve"> Mr. </w:t>
      </w:r>
      <w:proofErr w:type="spellStart"/>
      <w:r w:rsidR="005F6136">
        <w:rPr>
          <w:rFonts w:ascii="Tahoma" w:hAnsi="Tahoma" w:cs="Tahoma"/>
          <w:sz w:val="24"/>
          <w:szCs w:val="24"/>
        </w:rPr>
        <w:t>Uriri</w:t>
      </w:r>
      <w:proofErr w:type="spellEnd"/>
      <w:r w:rsidR="005F6136">
        <w:rPr>
          <w:rFonts w:ascii="Tahoma" w:hAnsi="Tahoma" w:cs="Tahoma"/>
          <w:sz w:val="24"/>
          <w:szCs w:val="24"/>
        </w:rPr>
        <w:t xml:space="preserve"> referred the Court to </w:t>
      </w:r>
      <w:r w:rsidR="005F6136" w:rsidRPr="00485B86">
        <w:rPr>
          <w:rFonts w:ascii="Tahoma" w:hAnsi="Tahoma" w:cs="Tahoma"/>
          <w:b/>
          <w:i/>
          <w:sz w:val="24"/>
          <w:szCs w:val="24"/>
        </w:rPr>
        <w:t xml:space="preserve">SC ELLIOT v COMMISSIONER OF POLICE </w:t>
      </w:r>
      <w:r w:rsidR="003D0417">
        <w:rPr>
          <w:rFonts w:ascii="Tahoma" w:hAnsi="Tahoma" w:cs="Tahoma"/>
          <w:b/>
          <w:i/>
          <w:sz w:val="24"/>
          <w:szCs w:val="24"/>
        </w:rPr>
        <w:t>&amp; ANOTHER 1997 (1) ZLR 315</w:t>
      </w:r>
      <w:r w:rsidR="005F6136" w:rsidRPr="00485B86">
        <w:rPr>
          <w:rFonts w:ascii="Tahoma" w:hAnsi="Tahoma" w:cs="Tahoma"/>
          <w:b/>
          <w:i/>
          <w:sz w:val="24"/>
          <w:szCs w:val="24"/>
        </w:rPr>
        <w:t>.</w:t>
      </w:r>
    </w:p>
    <w:p w:rsidR="00D107FD" w:rsidRPr="00A33E4E" w:rsidRDefault="00D107FD" w:rsidP="003A5F74">
      <w:pPr>
        <w:pStyle w:val="ListBullet"/>
        <w:numPr>
          <w:ilvl w:val="0"/>
          <w:numId w:val="0"/>
        </w:numPr>
        <w:spacing w:before="240" w:line="240" w:lineRule="auto"/>
        <w:ind w:firstLine="630"/>
        <w:jc w:val="both"/>
        <w:rPr>
          <w:rFonts w:ascii="Times New Roman" w:hAnsi="Times New Roman" w:cs="Times New Roman"/>
          <w:i/>
          <w:sz w:val="24"/>
          <w:szCs w:val="24"/>
        </w:rPr>
      </w:pPr>
    </w:p>
    <w:p w:rsidR="00983815" w:rsidRDefault="007C48CC" w:rsidP="00861159">
      <w:pPr>
        <w:pStyle w:val="ListBullet"/>
        <w:numPr>
          <w:ilvl w:val="0"/>
          <w:numId w:val="0"/>
        </w:numPr>
        <w:spacing w:before="240" w:line="360" w:lineRule="auto"/>
        <w:ind w:firstLine="630"/>
        <w:jc w:val="both"/>
        <w:rPr>
          <w:rFonts w:ascii="Tahoma" w:hAnsi="Tahoma" w:cs="Tahoma"/>
          <w:sz w:val="24"/>
          <w:szCs w:val="24"/>
        </w:rPr>
      </w:pPr>
      <w:r w:rsidRPr="007C48CC">
        <w:rPr>
          <w:rFonts w:ascii="Tahoma" w:hAnsi="Tahoma" w:cs="Tahoma"/>
          <w:sz w:val="24"/>
          <w:szCs w:val="24"/>
        </w:rPr>
        <w:t>It was also argued that one of the authorities</w:t>
      </w:r>
      <w:r>
        <w:rPr>
          <w:rFonts w:ascii="Tahoma" w:hAnsi="Tahoma" w:cs="Tahoma"/>
          <w:sz w:val="24"/>
          <w:szCs w:val="24"/>
        </w:rPr>
        <w:t xml:space="preserve"> relied on by the court </w:t>
      </w:r>
      <w:r w:rsidR="00983815">
        <w:rPr>
          <w:rFonts w:ascii="Tahoma" w:hAnsi="Tahoma" w:cs="Tahoma"/>
          <w:sz w:val="24"/>
          <w:szCs w:val="24"/>
        </w:rPr>
        <w:t xml:space="preserve">that is </w:t>
      </w:r>
      <w:r>
        <w:rPr>
          <w:rFonts w:ascii="Tahoma" w:hAnsi="Tahoma" w:cs="Tahoma"/>
          <w:b/>
          <w:i/>
          <w:sz w:val="24"/>
          <w:szCs w:val="24"/>
        </w:rPr>
        <w:t xml:space="preserve">CIRCLE CEMENT </w:t>
      </w:r>
      <w:r w:rsidR="00861159">
        <w:rPr>
          <w:rFonts w:ascii="Tahoma" w:hAnsi="Tahoma" w:cs="Tahoma"/>
          <w:b/>
          <w:i/>
          <w:sz w:val="24"/>
          <w:szCs w:val="24"/>
        </w:rPr>
        <w:t xml:space="preserve">v </w:t>
      </w:r>
      <w:r>
        <w:rPr>
          <w:rFonts w:ascii="Tahoma" w:hAnsi="Tahoma" w:cs="Tahoma"/>
          <w:b/>
          <w:i/>
          <w:sz w:val="24"/>
          <w:szCs w:val="24"/>
        </w:rPr>
        <w:t xml:space="preserve">CHIPO </w:t>
      </w:r>
      <w:r w:rsidR="00D55307">
        <w:rPr>
          <w:rFonts w:ascii="Tahoma" w:hAnsi="Tahoma" w:cs="Tahoma"/>
          <w:b/>
          <w:i/>
          <w:sz w:val="24"/>
          <w:szCs w:val="24"/>
        </w:rPr>
        <w:t>NYAWASHA</w:t>
      </w:r>
      <w:r w:rsidR="00A67A76">
        <w:rPr>
          <w:rFonts w:ascii="Tahoma" w:hAnsi="Tahoma" w:cs="Tahoma"/>
          <w:b/>
          <w:i/>
          <w:sz w:val="24"/>
          <w:szCs w:val="24"/>
        </w:rPr>
        <w:t xml:space="preserve"> SC</w:t>
      </w:r>
      <w:r>
        <w:rPr>
          <w:rFonts w:ascii="Tahoma" w:hAnsi="Tahoma" w:cs="Tahoma"/>
          <w:b/>
          <w:i/>
          <w:sz w:val="24"/>
          <w:szCs w:val="24"/>
        </w:rPr>
        <w:t xml:space="preserve"> 60/</w:t>
      </w:r>
      <w:r w:rsidR="00A67A76">
        <w:rPr>
          <w:rFonts w:ascii="Tahoma" w:hAnsi="Tahoma" w:cs="Tahoma"/>
          <w:b/>
          <w:i/>
          <w:sz w:val="24"/>
          <w:szCs w:val="24"/>
        </w:rPr>
        <w:t xml:space="preserve">03 </w:t>
      </w:r>
      <w:r w:rsidR="00A67A76">
        <w:rPr>
          <w:rFonts w:ascii="Tahoma" w:hAnsi="Tahoma" w:cs="Tahoma"/>
          <w:sz w:val="24"/>
          <w:szCs w:val="24"/>
        </w:rPr>
        <w:t>was</w:t>
      </w:r>
      <w:r w:rsidR="00983815">
        <w:rPr>
          <w:rFonts w:ascii="Tahoma" w:hAnsi="Tahoma" w:cs="Tahoma"/>
          <w:sz w:val="24"/>
          <w:szCs w:val="24"/>
        </w:rPr>
        <w:t xml:space="preserve"> no</w:t>
      </w:r>
      <w:r>
        <w:rPr>
          <w:rFonts w:ascii="Tahoma" w:hAnsi="Tahoma" w:cs="Tahoma"/>
          <w:sz w:val="24"/>
          <w:szCs w:val="24"/>
        </w:rPr>
        <w:t>t appropriate in</w:t>
      </w:r>
      <w:r w:rsidR="00A33E4E">
        <w:rPr>
          <w:rFonts w:ascii="Tahoma" w:hAnsi="Tahoma" w:cs="Tahoma"/>
          <w:sz w:val="24"/>
          <w:szCs w:val="24"/>
        </w:rPr>
        <w:t xml:space="preserve"> support of a factual finding.</w:t>
      </w:r>
    </w:p>
    <w:p w:rsidR="00983815" w:rsidRDefault="00983815" w:rsidP="003A5F74">
      <w:pPr>
        <w:pStyle w:val="ListBullet"/>
        <w:numPr>
          <w:ilvl w:val="0"/>
          <w:numId w:val="0"/>
        </w:numPr>
        <w:spacing w:before="240" w:line="240" w:lineRule="auto"/>
        <w:ind w:firstLine="720"/>
        <w:jc w:val="both"/>
        <w:rPr>
          <w:rFonts w:ascii="Tahoma" w:hAnsi="Tahoma" w:cs="Tahoma"/>
          <w:sz w:val="24"/>
          <w:szCs w:val="24"/>
        </w:rPr>
      </w:pPr>
      <w:bookmarkStart w:id="0" w:name="_GoBack"/>
      <w:bookmarkEnd w:id="0"/>
    </w:p>
    <w:p w:rsidR="00917DB9" w:rsidRDefault="00983815" w:rsidP="00917DB9">
      <w:pPr>
        <w:pStyle w:val="ListBullet"/>
        <w:numPr>
          <w:ilvl w:val="0"/>
          <w:numId w:val="0"/>
        </w:numPr>
        <w:spacing w:before="240" w:line="360" w:lineRule="auto"/>
        <w:ind w:firstLine="720"/>
        <w:jc w:val="both"/>
        <w:rPr>
          <w:rFonts w:ascii="Tahoma" w:hAnsi="Tahoma" w:cs="Tahoma"/>
          <w:sz w:val="24"/>
          <w:szCs w:val="24"/>
        </w:rPr>
      </w:pPr>
      <w:r>
        <w:rPr>
          <w:rFonts w:ascii="Tahoma" w:hAnsi="Tahoma" w:cs="Tahoma"/>
          <w:sz w:val="24"/>
          <w:szCs w:val="24"/>
        </w:rPr>
        <w:t xml:space="preserve">In response </w:t>
      </w:r>
      <w:r w:rsidR="007C48CC">
        <w:rPr>
          <w:rFonts w:ascii="Tahoma" w:hAnsi="Tahoma" w:cs="Tahoma"/>
          <w:sz w:val="24"/>
          <w:szCs w:val="24"/>
        </w:rPr>
        <w:t>Mr. Dube argued that the app</w:t>
      </w:r>
      <w:r>
        <w:rPr>
          <w:rFonts w:ascii="Tahoma" w:hAnsi="Tahoma" w:cs="Tahoma"/>
          <w:sz w:val="24"/>
          <w:szCs w:val="24"/>
        </w:rPr>
        <w:t>lic</w:t>
      </w:r>
      <w:r w:rsidR="007C48CC">
        <w:rPr>
          <w:rFonts w:ascii="Tahoma" w:hAnsi="Tahoma" w:cs="Tahoma"/>
          <w:sz w:val="24"/>
          <w:szCs w:val="24"/>
        </w:rPr>
        <w:t xml:space="preserve">ant had failed to prove that the Court had erred in any respect.  With respect to authority cited by the Court Mr Dube submitted that he would have relied </w:t>
      </w:r>
      <w:r>
        <w:rPr>
          <w:rFonts w:ascii="Tahoma" w:hAnsi="Tahoma" w:cs="Tahoma"/>
          <w:sz w:val="24"/>
          <w:szCs w:val="24"/>
        </w:rPr>
        <w:t>on</w:t>
      </w:r>
      <w:r w:rsidR="007C48CC">
        <w:rPr>
          <w:rFonts w:ascii="Tahoma" w:hAnsi="Tahoma" w:cs="Tahoma"/>
          <w:sz w:val="24"/>
          <w:szCs w:val="24"/>
        </w:rPr>
        <w:t xml:space="preserve"> </w:t>
      </w:r>
      <w:r w:rsidR="007C48CC">
        <w:rPr>
          <w:rFonts w:ascii="Tahoma" w:hAnsi="Tahoma" w:cs="Tahoma"/>
          <w:b/>
          <w:i/>
          <w:sz w:val="24"/>
          <w:szCs w:val="24"/>
        </w:rPr>
        <w:t xml:space="preserve">MUYAKA </w:t>
      </w:r>
      <w:r w:rsidR="00861159">
        <w:rPr>
          <w:rFonts w:ascii="Tahoma" w:hAnsi="Tahoma" w:cs="Tahoma"/>
          <w:b/>
          <w:i/>
          <w:sz w:val="24"/>
          <w:szCs w:val="24"/>
        </w:rPr>
        <w:t xml:space="preserve">v </w:t>
      </w:r>
      <w:r w:rsidR="007C48CC">
        <w:rPr>
          <w:rFonts w:ascii="Tahoma" w:hAnsi="Tahoma" w:cs="Tahoma"/>
          <w:b/>
          <w:i/>
          <w:sz w:val="24"/>
          <w:szCs w:val="24"/>
        </w:rPr>
        <w:t xml:space="preserve">BAK LOGISTICS (PVT) LTD SC 39/17 </w:t>
      </w:r>
      <w:r w:rsidR="00533FB2">
        <w:rPr>
          <w:rFonts w:ascii="Tahoma" w:hAnsi="Tahoma" w:cs="Tahoma"/>
          <w:sz w:val="24"/>
          <w:szCs w:val="24"/>
        </w:rPr>
        <w:t>where the point was made that an appellate court will not interfere with findings of a lower court unless their findings were grossly unreasonable.</w:t>
      </w:r>
      <w:r w:rsidR="00917DB9">
        <w:rPr>
          <w:rFonts w:ascii="Tahoma" w:hAnsi="Tahoma" w:cs="Tahoma"/>
          <w:sz w:val="24"/>
          <w:szCs w:val="24"/>
        </w:rPr>
        <w:t xml:space="preserve">  The use of the authority of </w:t>
      </w:r>
      <w:r w:rsidR="00917DB9" w:rsidRPr="00533FB2">
        <w:rPr>
          <w:rFonts w:ascii="Tahoma" w:hAnsi="Tahoma" w:cs="Tahoma"/>
          <w:b/>
          <w:i/>
          <w:sz w:val="24"/>
          <w:szCs w:val="24"/>
        </w:rPr>
        <w:t>CIRCLE CEMENT v NYAWASHA</w:t>
      </w:r>
      <w:r w:rsidR="00917DB9">
        <w:rPr>
          <w:rFonts w:ascii="Tahoma" w:hAnsi="Tahoma" w:cs="Tahoma"/>
          <w:sz w:val="24"/>
          <w:szCs w:val="24"/>
        </w:rPr>
        <w:t xml:space="preserve"> (above) by the Court is in my view arguable.  The particular quote referred to actually </w:t>
      </w:r>
      <w:proofErr w:type="gramStart"/>
      <w:r w:rsidR="00917DB9">
        <w:rPr>
          <w:rFonts w:ascii="Tahoma" w:hAnsi="Tahoma" w:cs="Tahoma"/>
          <w:sz w:val="24"/>
          <w:szCs w:val="24"/>
        </w:rPr>
        <w:t>takes</w:t>
      </w:r>
      <w:proofErr w:type="gramEnd"/>
      <w:r w:rsidR="00917DB9">
        <w:rPr>
          <w:rFonts w:ascii="Tahoma" w:hAnsi="Tahoma" w:cs="Tahoma"/>
          <w:sz w:val="24"/>
          <w:szCs w:val="24"/>
        </w:rPr>
        <w:t xml:space="preserve"> into account both factual findings leading to a repudiation of a contract of employment after which the question of the employer exercises their discretion comes in.  Whether or not the authority cited is wrong does not in my view remove the failure of the Applicant to execute his duties.  It is however my considered view that the Supreme Court considers argument.</w:t>
      </w:r>
    </w:p>
    <w:p w:rsidR="00533FB2" w:rsidRDefault="00533FB2" w:rsidP="00A33E4E">
      <w:pPr>
        <w:pStyle w:val="ListBullet"/>
        <w:numPr>
          <w:ilvl w:val="0"/>
          <w:numId w:val="0"/>
        </w:numPr>
        <w:spacing w:before="240" w:line="240" w:lineRule="auto"/>
        <w:jc w:val="both"/>
        <w:rPr>
          <w:rFonts w:ascii="Tahoma" w:hAnsi="Tahoma" w:cs="Tahoma"/>
          <w:sz w:val="24"/>
          <w:szCs w:val="24"/>
        </w:rPr>
      </w:pPr>
    </w:p>
    <w:p w:rsidR="00C71653" w:rsidRDefault="00533FB2" w:rsidP="00A52BD2">
      <w:pPr>
        <w:pStyle w:val="ListBullet"/>
        <w:numPr>
          <w:ilvl w:val="0"/>
          <w:numId w:val="0"/>
        </w:numPr>
        <w:spacing w:before="240" w:line="360" w:lineRule="auto"/>
        <w:ind w:firstLine="720"/>
        <w:jc w:val="both"/>
        <w:rPr>
          <w:rFonts w:ascii="Tahoma" w:hAnsi="Tahoma" w:cs="Tahoma"/>
          <w:sz w:val="24"/>
          <w:szCs w:val="24"/>
        </w:rPr>
      </w:pPr>
      <w:r>
        <w:rPr>
          <w:rFonts w:ascii="Tahoma" w:hAnsi="Tahoma" w:cs="Tahoma"/>
          <w:sz w:val="24"/>
          <w:szCs w:val="24"/>
        </w:rPr>
        <w:t>After considering argument and the papers, I still hold the view that the lower tribunal correctly found against the App</w:t>
      </w:r>
      <w:r w:rsidR="00983815">
        <w:rPr>
          <w:rFonts w:ascii="Tahoma" w:hAnsi="Tahoma" w:cs="Tahoma"/>
          <w:sz w:val="24"/>
          <w:szCs w:val="24"/>
        </w:rPr>
        <w:t>lic</w:t>
      </w:r>
      <w:r>
        <w:rPr>
          <w:rFonts w:ascii="Tahoma" w:hAnsi="Tahoma" w:cs="Tahoma"/>
          <w:sz w:val="24"/>
          <w:szCs w:val="24"/>
        </w:rPr>
        <w:t xml:space="preserve">ant as reflected in my judgment.  </w:t>
      </w:r>
      <w:r w:rsidR="00F00AEC">
        <w:rPr>
          <w:rFonts w:ascii="Tahoma" w:hAnsi="Tahoma" w:cs="Tahoma"/>
          <w:sz w:val="24"/>
          <w:szCs w:val="24"/>
        </w:rPr>
        <w:t xml:space="preserve">This is so considering the circumstances of the case.  </w:t>
      </w:r>
      <w:r w:rsidR="003D0417">
        <w:rPr>
          <w:rFonts w:ascii="Tahoma" w:hAnsi="Tahoma" w:cs="Tahoma"/>
          <w:sz w:val="24"/>
          <w:szCs w:val="24"/>
        </w:rPr>
        <w:t xml:space="preserve">The case of </w:t>
      </w:r>
      <w:r w:rsidR="003D0417">
        <w:rPr>
          <w:rFonts w:ascii="Tahoma" w:hAnsi="Tahoma" w:cs="Tahoma"/>
          <w:b/>
          <w:i/>
          <w:sz w:val="24"/>
          <w:szCs w:val="24"/>
        </w:rPr>
        <w:t>ELLIOT v C</w:t>
      </w:r>
      <w:r w:rsidR="00DD382D">
        <w:rPr>
          <w:rFonts w:ascii="Tahoma" w:hAnsi="Tahoma" w:cs="Tahoma"/>
          <w:b/>
          <w:i/>
          <w:sz w:val="24"/>
          <w:szCs w:val="24"/>
        </w:rPr>
        <w:t xml:space="preserve">OMMISSIONER OF POLICE &amp; ANOTHER </w:t>
      </w:r>
      <w:r w:rsidR="00DD382D">
        <w:rPr>
          <w:rFonts w:ascii="Tahoma" w:hAnsi="Tahoma" w:cs="Tahoma"/>
          <w:sz w:val="24"/>
          <w:szCs w:val="24"/>
        </w:rPr>
        <w:t>(above) is distinguishable from the present matter taking into account what th</w:t>
      </w:r>
      <w:r w:rsidR="00C71653">
        <w:rPr>
          <w:rFonts w:ascii="Tahoma" w:hAnsi="Tahoma" w:cs="Tahoma"/>
          <w:sz w:val="24"/>
          <w:szCs w:val="24"/>
        </w:rPr>
        <w:t>e applicant was expected to do.</w:t>
      </w:r>
      <w:r w:rsidR="00DD382D">
        <w:rPr>
          <w:rFonts w:ascii="Tahoma" w:hAnsi="Tahoma" w:cs="Tahoma"/>
          <w:sz w:val="24"/>
          <w:szCs w:val="24"/>
        </w:rPr>
        <w:t xml:space="preserve">  </w:t>
      </w:r>
    </w:p>
    <w:p w:rsidR="00C71653" w:rsidRDefault="00C71653" w:rsidP="00A52BD2">
      <w:pPr>
        <w:pStyle w:val="ListBullet"/>
        <w:numPr>
          <w:ilvl w:val="0"/>
          <w:numId w:val="0"/>
        </w:numPr>
        <w:spacing w:before="240" w:line="360" w:lineRule="auto"/>
        <w:ind w:firstLine="720"/>
        <w:jc w:val="both"/>
        <w:rPr>
          <w:rFonts w:ascii="Tahoma" w:hAnsi="Tahoma" w:cs="Tahoma"/>
          <w:sz w:val="24"/>
          <w:szCs w:val="24"/>
        </w:rPr>
      </w:pPr>
    </w:p>
    <w:p w:rsidR="00917DB9" w:rsidRDefault="00D55307" w:rsidP="00A52BD2">
      <w:pPr>
        <w:pStyle w:val="ListBullet"/>
        <w:numPr>
          <w:ilvl w:val="0"/>
          <w:numId w:val="0"/>
        </w:numPr>
        <w:spacing w:before="240" w:line="360" w:lineRule="auto"/>
        <w:ind w:firstLine="720"/>
        <w:jc w:val="both"/>
        <w:rPr>
          <w:rFonts w:ascii="Tahoma" w:hAnsi="Tahoma" w:cs="Tahoma"/>
          <w:sz w:val="24"/>
          <w:szCs w:val="24"/>
        </w:rPr>
      </w:pPr>
      <w:r>
        <w:rPr>
          <w:rFonts w:ascii="Tahoma" w:hAnsi="Tahoma" w:cs="Tahoma"/>
          <w:sz w:val="24"/>
          <w:szCs w:val="24"/>
        </w:rPr>
        <w:t>The question of what constitutes a point of law has been considered by the Supr</w:t>
      </w:r>
      <w:r w:rsidR="009F5837">
        <w:rPr>
          <w:rFonts w:ascii="Tahoma" w:hAnsi="Tahoma" w:cs="Tahoma"/>
          <w:sz w:val="24"/>
          <w:szCs w:val="24"/>
        </w:rPr>
        <w:t>eme Court on numerous occasions</w:t>
      </w:r>
      <w:r>
        <w:rPr>
          <w:rFonts w:ascii="Tahoma" w:hAnsi="Tahoma" w:cs="Tahoma"/>
          <w:sz w:val="24"/>
          <w:szCs w:val="24"/>
        </w:rPr>
        <w:t xml:space="preserve">.  The question of whether </w:t>
      </w:r>
      <w:r w:rsidR="009F5837">
        <w:rPr>
          <w:rFonts w:ascii="Tahoma" w:hAnsi="Tahoma" w:cs="Tahoma"/>
          <w:sz w:val="24"/>
          <w:szCs w:val="24"/>
        </w:rPr>
        <w:t>the proposed grounds meet the th</w:t>
      </w:r>
      <w:r w:rsidR="00F00AEC">
        <w:rPr>
          <w:rFonts w:ascii="Tahoma" w:hAnsi="Tahoma" w:cs="Tahoma"/>
          <w:sz w:val="24"/>
          <w:szCs w:val="24"/>
        </w:rPr>
        <w:t>reshold will be left f</w:t>
      </w:r>
      <w:r w:rsidR="009F5837">
        <w:rPr>
          <w:rFonts w:ascii="Tahoma" w:hAnsi="Tahoma" w:cs="Tahoma"/>
          <w:sz w:val="24"/>
          <w:szCs w:val="24"/>
        </w:rPr>
        <w:t>o</w:t>
      </w:r>
      <w:r w:rsidR="00F00AEC">
        <w:rPr>
          <w:rFonts w:ascii="Tahoma" w:hAnsi="Tahoma" w:cs="Tahoma"/>
          <w:sz w:val="24"/>
          <w:szCs w:val="24"/>
        </w:rPr>
        <w:t>r</w:t>
      </w:r>
      <w:r w:rsidR="009F5837">
        <w:rPr>
          <w:rFonts w:ascii="Tahoma" w:hAnsi="Tahoma" w:cs="Tahoma"/>
          <w:sz w:val="24"/>
          <w:szCs w:val="24"/>
        </w:rPr>
        <w:t xml:space="preserve"> the esteemed view of the Suprem</w:t>
      </w:r>
      <w:r w:rsidR="00593781">
        <w:rPr>
          <w:rFonts w:ascii="Tahoma" w:hAnsi="Tahoma" w:cs="Tahoma"/>
          <w:sz w:val="24"/>
          <w:szCs w:val="24"/>
        </w:rPr>
        <w:t xml:space="preserve">e Court.  I do find </w:t>
      </w:r>
      <w:r w:rsidR="00DD382D">
        <w:rPr>
          <w:rFonts w:ascii="Tahoma" w:hAnsi="Tahoma" w:cs="Tahoma"/>
          <w:sz w:val="24"/>
          <w:szCs w:val="24"/>
        </w:rPr>
        <w:t xml:space="preserve">that </w:t>
      </w:r>
      <w:r w:rsidR="00593781">
        <w:rPr>
          <w:rFonts w:ascii="Tahoma" w:hAnsi="Tahoma" w:cs="Tahoma"/>
          <w:sz w:val="24"/>
          <w:szCs w:val="24"/>
        </w:rPr>
        <w:t>the issues rai</w:t>
      </w:r>
      <w:r w:rsidR="009F5837">
        <w:rPr>
          <w:rFonts w:ascii="Tahoma" w:hAnsi="Tahoma" w:cs="Tahoma"/>
          <w:sz w:val="24"/>
          <w:szCs w:val="24"/>
        </w:rPr>
        <w:t xml:space="preserve">sed on </w:t>
      </w:r>
      <w:r w:rsidR="00593781">
        <w:rPr>
          <w:rFonts w:ascii="Tahoma" w:hAnsi="Tahoma" w:cs="Tahoma"/>
          <w:sz w:val="24"/>
          <w:szCs w:val="24"/>
        </w:rPr>
        <w:t>behalf of the applicant require</w:t>
      </w:r>
      <w:r w:rsidR="009F5837">
        <w:rPr>
          <w:rFonts w:ascii="Tahoma" w:hAnsi="Tahoma" w:cs="Tahoma"/>
          <w:sz w:val="24"/>
          <w:szCs w:val="24"/>
        </w:rPr>
        <w:t xml:space="preserve"> the Supreme Court to consider. </w:t>
      </w:r>
    </w:p>
    <w:p w:rsidR="00A52BD2" w:rsidRDefault="00A52BD2" w:rsidP="00593781">
      <w:pPr>
        <w:pStyle w:val="ListBullet"/>
        <w:numPr>
          <w:ilvl w:val="0"/>
          <w:numId w:val="0"/>
        </w:numPr>
        <w:spacing w:before="240" w:line="240" w:lineRule="auto"/>
        <w:jc w:val="both"/>
        <w:rPr>
          <w:rFonts w:ascii="Tahoma" w:hAnsi="Tahoma" w:cs="Tahoma"/>
          <w:sz w:val="24"/>
          <w:szCs w:val="24"/>
        </w:rPr>
      </w:pPr>
    </w:p>
    <w:p w:rsidR="00A52BD2" w:rsidRDefault="00A52BD2" w:rsidP="00861159">
      <w:pPr>
        <w:pStyle w:val="ListBullet"/>
        <w:numPr>
          <w:ilvl w:val="0"/>
          <w:numId w:val="0"/>
        </w:numPr>
        <w:spacing w:before="240" w:line="360" w:lineRule="auto"/>
        <w:ind w:firstLine="720"/>
        <w:jc w:val="both"/>
        <w:rPr>
          <w:rFonts w:ascii="Tahoma" w:hAnsi="Tahoma" w:cs="Tahoma"/>
          <w:sz w:val="24"/>
          <w:szCs w:val="24"/>
        </w:rPr>
      </w:pPr>
      <w:r>
        <w:rPr>
          <w:rFonts w:ascii="Tahoma" w:hAnsi="Tahoma" w:cs="Tahoma"/>
          <w:sz w:val="24"/>
          <w:szCs w:val="24"/>
        </w:rPr>
        <w:t>In the result the following order is made:</w:t>
      </w:r>
    </w:p>
    <w:p w:rsidR="00861159" w:rsidRPr="00D107FD" w:rsidRDefault="00861159" w:rsidP="00861159">
      <w:pPr>
        <w:pStyle w:val="ListBullet"/>
        <w:numPr>
          <w:ilvl w:val="0"/>
          <w:numId w:val="0"/>
        </w:numPr>
        <w:spacing w:before="240" w:line="240" w:lineRule="auto"/>
        <w:ind w:firstLine="720"/>
        <w:jc w:val="both"/>
        <w:rPr>
          <w:rFonts w:ascii="Tahoma" w:hAnsi="Tahoma" w:cs="Tahoma"/>
          <w:sz w:val="20"/>
          <w:szCs w:val="20"/>
        </w:rPr>
      </w:pPr>
    </w:p>
    <w:p w:rsidR="009F5837" w:rsidRDefault="00A52BD2" w:rsidP="00A33E4E">
      <w:pPr>
        <w:pStyle w:val="ListBullet"/>
        <w:numPr>
          <w:ilvl w:val="0"/>
          <w:numId w:val="6"/>
        </w:numPr>
        <w:spacing w:before="240" w:line="360" w:lineRule="auto"/>
        <w:jc w:val="both"/>
        <w:rPr>
          <w:rFonts w:ascii="Tahoma" w:hAnsi="Tahoma" w:cs="Tahoma"/>
          <w:sz w:val="24"/>
          <w:szCs w:val="24"/>
        </w:rPr>
      </w:pPr>
      <w:r>
        <w:rPr>
          <w:rFonts w:ascii="Tahoma" w:hAnsi="Tahoma" w:cs="Tahoma"/>
          <w:sz w:val="24"/>
          <w:szCs w:val="24"/>
        </w:rPr>
        <w:t>The application for leave to appeal judgment of this court judgment number LC/H/124/2021 handed down on 27</w:t>
      </w:r>
      <w:r w:rsidRPr="00A52BD2">
        <w:rPr>
          <w:rFonts w:ascii="Tahoma" w:hAnsi="Tahoma" w:cs="Tahoma"/>
          <w:sz w:val="24"/>
          <w:szCs w:val="24"/>
          <w:vertAlign w:val="superscript"/>
        </w:rPr>
        <w:t>th</w:t>
      </w:r>
      <w:r>
        <w:rPr>
          <w:rFonts w:ascii="Tahoma" w:hAnsi="Tahoma" w:cs="Tahoma"/>
          <w:sz w:val="24"/>
          <w:szCs w:val="24"/>
        </w:rPr>
        <w:t xml:space="preserve"> August 2021 be and is hereby granted.</w:t>
      </w:r>
    </w:p>
    <w:p w:rsidR="00A33E4E" w:rsidRPr="00A33E4E" w:rsidRDefault="00A33E4E" w:rsidP="00A33E4E">
      <w:pPr>
        <w:pStyle w:val="ListBullet"/>
        <w:numPr>
          <w:ilvl w:val="0"/>
          <w:numId w:val="0"/>
        </w:numPr>
        <w:spacing w:before="240" w:line="240" w:lineRule="auto"/>
        <w:ind w:left="720"/>
        <w:jc w:val="both"/>
        <w:rPr>
          <w:rFonts w:ascii="Tahoma" w:hAnsi="Tahoma" w:cs="Tahoma"/>
          <w:sz w:val="24"/>
          <w:szCs w:val="24"/>
        </w:rPr>
      </w:pPr>
    </w:p>
    <w:p w:rsidR="00A52BD2" w:rsidRDefault="00A52BD2" w:rsidP="00A67A76">
      <w:pPr>
        <w:pStyle w:val="ListBullet"/>
        <w:numPr>
          <w:ilvl w:val="0"/>
          <w:numId w:val="6"/>
        </w:numPr>
        <w:spacing w:before="240" w:line="360" w:lineRule="auto"/>
        <w:jc w:val="both"/>
        <w:rPr>
          <w:rFonts w:ascii="Tahoma" w:hAnsi="Tahoma" w:cs="Tahoma"/>
          <w:sz w:val="24"/>
          <w:szCs w:val="24"/>
        </w:rPr>
      </w:pPr>
      <w:r>
        <w:rPr>
          <w:rFonts w:ascii="Tahoma" w:hAnsi="Tahoma" w:cs="Tahoma"/>
          <w:sz w:val="24"/>
          <w:szCs w:val="24"/>
        </w:rPr>
        <w:t>The Applicant files the Notice of Appeal in the Supreme Court wit</w:t>
      </w:r>
      <w:r w:rsidR="00A67A76">
        <w:rPr>
          <w:rFonts w:ascii="Tahoma" w:hAnsi="Tahoma" w:cs="Tahoma"/>
          <w:sz w:val="24"/>
          <w:szCs w:val="24"/>
        </w:rPr>
        <w:t>hin ten (10) days of this Order.</w:t>
      </w:r>
    </w:p>
    <w:p w:rsidR="00A67A76" w:rsidRPr="00D107FD" w:rsidRDefault="00A67A76" w:rsidP="00A67A76">
      <w:pPr>
        <w:pStyle w:val="ListBullet"/>
        <w:numPr>
          <w:ilvl w:val="0"/>
          <w:numId w:val="0"/>
        </w:numPr>
        <w:spacing w:after="0" w:line="240" w:lineRule="auto"/>
        <w:jc w:val="both"/>
        <w:rPr>
          <w:rFonts w:ascii="Tahoma" w:hAnsi="Tahoma" w:cs="Tahoma"/>
          <w:sz w:val="20"/>
          <w:szCs w:val="20"/>
        </w:rPr>
      </w:pPr>
    </w:p>
    <w:p w:rsidR="00D107FD" w:rsidRDefault="00A67A76" w:rsidP="00D107FD">
      <w:pPr>
        <w:pStyle w:val="ListBullet"/>
        <w:numPr>
          <w:ilvl w:val="0"/>
          <w:numId w:val="6"/>
        </w:numPr>
        <w:spacing w:before="240" w:line="360" w:lineRule="auto"/>
        <w:jc w:val="both"/>
        <w:rPr>
          <w:rFonts w:ascii="Tahoma" w:hAnsi="Tahoma" w:cs="Tahoma"/>
          <w:sz w:val="24"/>
          <w:szCs w:val="24"/>
        </w:rPr>
      </w:pPr>
      <w:r>
        <w:rPr>
          <w:rFonts w:ascii="Tahoma" w:hAnsi="Tahoma" w:cs="Tahoma"/>
          <w:sz w:val="24"/>
          <w:szCs w:val="24"/>
        </w:rPr>
        <w:t>Costs shall be costs in the cause.</w:t>
      </w:r>
    </w:p>
    <w:p w:rsidR="00593781" w:rsidRPr="00D107FD" w:rsidRDefault="00593781" w:rsidP="00A33E4E">
      <w:pPr>
        <w:pStyle w:val="ListBullet"/>
        <w:numPr>
          <w:ilvl w:val="0"/>
          <w:numId w:val="0"/>
        </w:numPr>
        <w:spacing w:before="240" w:line="360" w:lineRule="auto"/>
        <w:ind w:left="360" w:hanging="360"/>
        <w:jc w:val="both"/>
        <w:rPr>
          <w:rFonts w:ascii="Tahoma" w:hAnsi="Tahoma" w:cs="Tahoma"/>
          <w:sz w:val="24"/>
          <w:szCs w:val="24"/>
        </w:rPr>
      </w:pPr>
    </w:p>
    <w:p w:rsidR="00B8682C" w:rsidRPr="00CC6F53" w:rsidRDefault="00644AA7" w:rsidP="00DB10C7">
      <w:pPr>
        <w:spacing w:after="0" w:line="360" w:lineRule="auto"/>
        <w:rPr>
          <w:rFonts w:ascii="Tahoma" w:hAnsi="Tahoma" w:cs="Tahoma"/>
          <w:b/>
          <w:i/>
          <w:sz w:val="24"/>
          <w:szCs w:val="24"/>
        </w:rPr>
      </w:pPr>
      <w:r w:rsidRPr="00CC6F53">
        <w:rPr>
          <w:rFonts w:ascii="Tahoma" w:hAnsi="Tahoma" w:cs="Tahoma"/>
          <w:b/>
          <w:i/>
          <w:sz w:val="24"/>
          <w:szCs w:val="24"/>
        </w:rPr>
        <w:t>MUTUMBWA, MUGABE &amp; P</w:t>
      </w:r>
      <w:r w:rsidR="00252475" w:rsidRPr="00CC6F53">
        <w:rPr>
          <w:rFonts w:ascii="Tahoma" w:hAnsi="Tahoma" w:cs="Tahoma"/>
          <w:b/>
          <w:i/>
          <w:sz w:val="24"/>
          <w:szCs w:val="24"/>
        </w:rPr>
        <w:t>A</w:t>
      </w:r>
      <w:r w:rsidRPr="00CC6F53">
        <w:rPr>
          <w:rFonts w:ascii="Tahoma" w:hAnsi="Tahoma" w:cs="Tahoma"/>
          <w:b/>
          <w:i/>
          <w:sz w:val="24"/>
          <w:szCs w:val="24"/>
        </w:rPr>
        <w:t>RTNERS – Applicant’s Legal Practitioners</w:t>
      </w:r>
    </w:p>
    <w:p w:rsidR="00CC6F53" w:rsidRPr="00CC6F53" w:rsidRDefault="00644AA7">
      <w:pPr>
        <w:spacing w:after="0" w:line="240" w:lineRule="auto"/>
        <w:rPr>
          <w:rFonts w:ascii="Tahoma" w:hAnsi="Tahoma" w:cs="Tahoma"/>
          <w:b/>
          <w:i/>
          <w:sz w:val="24"/>
          <w:szCs w:val="24"/>
        </w:rPr>
      </w:pPr>
      <w:r w:rsidRPr="00CC6F53">
        <w:rPr>
          <w:rFonts w:ascii="Tahoma" w:hAnsi="Tahoma" w:cs="Tahoma"/>
          <w:b/>
          <w:i/>
          <w:sz w:val="24"/>
          <w:szCs w:val="24"/>
        </w:rPr>
        <w:t>DUBE</w:t>
      </w:r>
      <w:r w:rsidR="00252475" w:rsidRPr="00CC6F53">
        <w:rPr>
          <w:rFonts w:ascii="Tahoma" w:hAnsi="Tahoma" w:cs="Tahoma"/>
          <w:b/>
          <w:i/>
          <w:sz w:val="24"/>
          <w:szCs w:val="24"/>
        </w:rPr>
        <w:t>,</w:t>
      </w:r>
      <w:r w:rsidRPr="00CC6F53">
        <w:rPr>
          <w:rFonts w:ascii="Tahoma" w:hAnsi="Tahoma" w:cs="Tahoma"/>
          <w:b/>
          <w:i/>
          <w:sz w:val="24"/>
          <w:szCs w:val="24"/>
        </w:rPr>
        <w:t xml:space="preserve"> MANIKAI &amp; HWACHA </w:t>
      </w:r>
      <w:r w:rsidR="00025B6C" w:rsidRPr="00CC6F53">
        <w:rPr>
          <w:rFonts w:ascii="Tahoma" w:hAnsi="Tahoma" w:cs="Tahoma"/>
          <w:b/>
          <w:i/>
          <w:sz w:val="24"/>
          <w:szCs w:val="24"/>
        </w:rPr>
        <w:t xml:space="preserve">– </w:t>
      </w:r>
      <w:r w:rsidR="007D717D" w:rsidRPr="00CC6F53">
        <w:rPr>
          <w:rFonts w:ascii="Tahoma" w:hAnsi="Tahoma" w:cs="Tahoma"/>
          <w:b/>
          <w:i/>
          <w:sz w:val="24"/>
          <w:szCs w:val="24"/>
        </w:rPr>
        <w:t>Respondent’s legal practitioners</w:t>
      </w:r>
    </w:p>
    <w:sectPr w:rsidR="00CC6F53" w:rsidRPr="00CC6F53"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264" w:rsidRDefault="00EF1264" w:rsidP="007C5CA3">
      <w:pPr>
        <w:spacing w:after="0" w:line="240" w:lineRule="auto"/>
      </w:pPr>
      <w:r>
        <w:separator/>
      </w:r>
    </w:p>
  </w:endnote>
  <w:endnote w:type="continuationSeparator" w:id="0">
    <w:p w:rsidR="00EF1264" w:rsidRDefault="00EF1264"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3A5F74">
          <w:rPr>
            <w:noProof/>
          </w:rPr>
          <w:t>5</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264" w:rsidRDefault="00EF1264" w:rsidP="007C5CA3">
      <w:pPr>
        <w:spacing w:after="0" w:line="240" w:lineRule="auto"/>
      </w:pPr>
      <w:r>
        <w:separator/>
      </w:r>
    </w:p>
  </w:footnote>
  <w:footnote w:type="continuationSeparator" w:id="0">
    <w:p w:rsidR="00EF1264" w:rsidRDefault="00EF1264"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159" w:rsidRDefault="00861159" w:rsidP="00861159">
    <w:pPr>
      <w:pStyle w:val="Header"/>
      <w:jc w:val="right"/>
    </w:pPr>
    <w:r>
      <w:t>JUDGMENT NO. LC/H/</w:t>
    </w:r>
    <w:r w:rsidR="00C71653">
      <w:t>31</w:t>
    </w:r>
    <w:r>
      <w:t>/2022</w:t>
    </w:r>
  </w:p>
  <w:p w:rsidR="00861159" w:rsidRPr="000C1BE5" w:rsidRDefault="00861159" w:rsidP="00861159">
    <w:pPr>
      <w:pStyle w:val="Header"/>
      <w:jc w:val="right"/>
    </w:pPr>
    <w:r>
      <w:t>CASE NO. LC/H/442/21</w:t>
    </w:r>
  </w:p>
  <w:p w:rsidR="007C5CA3" w:rsidRDefault="007C5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26CADC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5236ED3"/>
    <w:multiLevelType w:val="hybridMultilevel"/>
    <w:tmpl w:val="691CB2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37980C94"/>
    <w:multiLevelType w:val="hybridMultilevel"/>
    <w:tmpl w:val="144896F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5D003A9"/>
    <w:multiLevelType w:val="hybridMultilevel"/>
    <w:tmpl w:val="7E96B854"/>
    <w:lvl w:ilvl="0" w:tplc="1836476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4E183A35"/>
    <w:multiLevelType w:val="hybridMultilevel"/>
    <w:tmpl w:val="B77A3BC8"/>
    <w:lvl w:ilvl="0" w:tplc="3009000F">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C2D7551"/>
    <w:multiLevelType w:val="hybridMultilevel"/>
    <w:tmpl w:val="F6E0AFB8"/>
    <w:lvl w:ilvl="0" w:tplc="738077A8">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6"/>
  </w:num>
  <w:num w:numId="3">
    <w:abstractNumId w:val="1"/>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25B6C"/>
    <w:rsid w:val="000330C0"/>
    <w:rsid w:val="00040041"/>
    <w:rsid w:val="000501E6"/>
    <w:rsid w:val="00062DEC"/>
    <w:rsid w:val="00073B99"/>
    <w:rsid w:val="000A07BC"/>
    <w:rsid w:val="000E1D81"/>
    <w:rsid w:val="000F48AA"/>
    <w:rsid w:val="001059DC"/>
    <w:rsid w:val="0011530D"/>
    <w:rsid w:val="001A037B"/>
    <w:rsid w:val="001B520A"/>
    <w:rsid w:val="001D0925"/>
    <w:rsid w:val="001E59E3"/>
    <w:rsid w:val="001F2A28"/>
    <w:rsid w:val="00235B7D"/>
    <w:rsid w:val="00244C5B"/>
    <w:rsid w:val="00252475"/>
    <w:rsid w:val="00257D13"/>
    <w:rsid w:val="00257EAA"/>
    <w:rsid w:val="00274D23"/>
    <w:rsid w:val="002A3347"/>
    <w:rsid w:val="002A4EA4"/>
    <w:rsid w:val="002B042E"/>
    <w:rsid w:val="002C7EF3"/>
    <w:rsid w:val="002D0332"/>
    <w:rsid w:val="002E1FE1"/>
    <w:rsid w:val="00320D70"/>
    <w:rsid w:val="00333A04"/>
    <w:rsid w:val="0034354C"/>
    <w:rsid w:val="00345C9C"/>
    <w:rsid w:val="00352819"/>
    <w:rsid w:val="003571DC"/>
    <w:rsid w:val="00357C59"/>
    <w:rsid w:val="003626FF"/>
    <w:rsid w:val="003732BA"/>
    <w:rsid w:val="003744B2"/>
    <w:rsid w:val="00387BEB"/>
    <w:rsid w:val="003A3DB2"/>
    <w:rsid w:val="003A5F74"/>
    <w:rsid w:val="003B073C"/>
    <w:rsid w:val="003B2DAE"/>
    <w:rsid w:val="003C4704"/>
    <w:rsid w:val="003D0417"/>
    <w:rsid w:val="003E58BF"/>
    <w:rsid w:val="003E7494"/>
    <w:rsid w:val="00404269"/>
    <w:rsid w:val="00421D94"/>
    <w:rsid w:val="00430CA1"/>
    <w:rsid w:val="0043359D"/>
    <w:rsid w:val="00435CF9"/>
    <w:rsid w:val="004403C4"/>
    <w:rsid w:val="00443D09"/>
    <w:rsid w:val="00450F2A"/>
    <w:rsid w:val="00452BD6"/>
    <w:rsid w:val="00471F6B"/>
    <w:rsid w:val="004803EE"/>
    <w:rsid w:val="00485116"/>
    <w:rsid w:val="00485B86"/>
    <w:rsid w:val="004905CF"/>
    <w:rsid w:val="004927A7"/>
    <w:rsid w:val="00494178"/>
    <w:rsid w:val="004C0E8D"/>
    <w:rsid w:val="004C3334"/>
    <w:rsid w:val="004D303B"/>
    <w:rsid w:val="004E2B68"/>
    <w:rsid w:val="00521048"/>
    <w:rsid w:val="00533FB2"/>
    <w:rsid w:val="00542814"/>
    <w:rsid w:val="00593781"/>
    <w:rsid w:val="005B403F"/>
    <w:rsid w:val="005B6B07"/>
    <w:rsid w:val="005E1778"/>
    <w:rsid w:val="005E4CBF"/>
    <w:rsid w:val="005F3C09"/>
    <w:rsid w:val="005F6136"/>
    <w:rsid w:val="006010E6"/>
    <w:rsid w:val="00623675"/>
    <w:rsid w:val="00637CA0"/>
    <w:rsid w:val="00644AA7"/>
    <w:rsid w:val="006462FD"/>
    <w:rsid w:val="00680357"/>
    <w:rsid w:val="00694322"/>
    <w:rsid w:val="006C72AB"/>
    <w:rsid w:val="006E73F7"/>
    <w:rsid w:val="0071303A"/>
    <w:rsid w:val="007140D6"/>
    <w:rsid w:val="007144D4"/>
    <w:rsid w:val="00736501"/>
    <w:rsid w:val="00740E8A"/>
    <w:rsid w:val="007548C0"/>
    <w:rsid w:val="00761EF7"/>
    <w:rsid w:val="0077636F"/>
    <w:rsid w:val="00777CDC"/>
    <w:rsid w:val="007866AA"/>
    <w:rsid w:val="00792B78"/>
    <w:rsid w:val="007A10E9"/>
    <w:rsid w:val="007B3902"/>
    <w:rsid w:val="007B521F"/>
    <w:rsid w:val="007C3B6F"/>
    <w:rsid w:val="007C48CC"/>
    <w:rsid w:val="007C5CA3"/>
    <w:rsid w:val="007D717D"/>
    <w:rsid w:val="007F0108"/>
    <w:rsid w:val="007F16D4"/>
    <w:rsid w:val="007F7ECE"/>
    <w:rsid w:val="0083632A"/>
    <w:rsid w:val="00853204"/>
    <w:rsid w:val="00857174"/>
    <w:rsid w:val="00861159"/>
    <w:rsid w:val="00867C88"/>
    <w:rsid w:val="008759B5"/>
    <w:rsid w:val="00876084"/>
    <w:rsid w:val="008C57F8"/>
    <w:rsid w:val="008F1680"/>
    <w:rsid w:val="00912EF0"/>
    <w:rsid w:val="00914FC6"/>
    <w:rsid w:val="00917DB9"/>
    <w:rsid w:val="009377F4"/>
    <w:rsid w:val="00940DD4"/>
    <w:rsid w:val="0095112E"/>
    <w:rsid w:val="0095114C"/>
    <w:rsid w:val="00974217"/>
    <w:rsid w:val="0098286B"/>
    <w:rsid w:val="00983815"/>
    <w:rsid w:val="0098406A"/>
    <w:rsid w:val="009951A3"/>
    <w:rsid w:val="00996043"/>
    <w:rsid w:val="009A1F2F"/>
    <w:rsid w:val="009C6FD3"/>
    <w:rsid w:val="009D6239"/>
    <w:rsid w:val="009F5837"/>
    <w:rsid w:val="00A05445"/>
    <w:rsid w:val="00A33E4E"/>
    <w:rsid w:val="00A41498"/>
    <w:rsid w:val="00A42E04"/>
    <w:rsid w:val="00A45B88"/>
    <w:rsid w:val="00A52BD2"/>
    <w:rsid w:val="00A5591E"/>
    <w:rsid w:val="00A57122"/>
    <w:rsid w:val="00A67A76"/>
    <w:rsid w:val="00A91A79"/>
    <w:rsid w:val="00AA1557"/>
    <w:rsid w:val="00AA452E"/>
    <w:rsid w:val="00AD7621"/>
    <w:rsid w:val="00B03EED"/>
    <w:rsid w:val="00B10417"/>
    <w:rsid w:val="00B1158D"/>
    <w:rsid w:val="00B13D4D"/>
    <w:rsid w:val="00B2519C"/>
    <w:rsid w:val="00B40117"/>
    <w:rsid w:val="00B45562"/>
    <w:rsid w:val="00B56A25"/>
    <w:rsid w:val="00B621A5"/>
    <w:rsid w:val="00B630AF"/>
    <w:rsid w:val="00B819ED"/>
    <w:rsid w:val="00B8682C"/>
    <w:rsid w:val="00B8731A"/>
    <w:rsid w:val="00B91278"/>
    <w:rsid w:val="00BA5626"/>
    <w:rsid w:val="00BB6F20"/>
    <w:rsid w:val="00BE7503"/>
    <w:rsid w:val="00BE7B81"/>
    <w:rsid w:val="00C23E37"/>
    <w:rsid w:val="00C279F3"/>
    <w:rsid w:val="00C41ABD"/>
    <w:rsid w:val="00C66AD9"/>
    <w:rsid w:val="00C71653"/>
    <w:rsid w:val="00C72575"/>
    <w:rsid w:val="00C94AB3"/>
    <w:rsid w:val="00CB2223"/>
    <w:rsid w:val="00CC6F53"/>
    <w:rsid w:val="00CE61E0"/>
    <w:rsid w:val="00CF7FB6"/>
    <w:rsid w:val="00D107FD"/>
    <w:rsid w:val="00D11BF6"/>
    <w:rsid w:val="00D13C45"/>
    <w:rsid w:val="00D34EA0"/>
    <w:rsid w:val="00D35D61"/>
    <w:rsid w:val="00D5449C"/>
    <w:rsid w:val="00D55307"/>
    <w:rsid w:val="00D66B99"/>
    <w:rsid w:val="00D6717B"/>
    <w:rsid w:val="00DA5F18"/>
    <w:rsid w:val="00DB10C7"/>
    <w:rsid w:val="00DB111D"/>
    <w:rsid w:val="00DB60F6"/>
    <w:rsid w:val="00DD2EFF"/>
    <w:rsid w:val="00DD382D"/>
    <w:rsid w:val="00DD7258"/>
    <w:rsid w:val="00DE776E"/>
    <w:rsid w:val="00E04088"/>
    <w:rsid w:val="00E40848"/>
    <w:rsid w:val="00E5115D"/>
    <w:rsid w:val="00E914EE"/>
    <w:rsid w:val="00EA5CF8"/>
    <w:rsid w:val="00EB1F91"/>
    <w:rsid w:val="00EC3B90"/>
    <w:rsid w:val="00EC678A"/>
    <w:rsid w:val="00ED3B87"/>
    <w:rsid w:val="00EE2051"/>
    <w:rsid w:val="00EE43D8"/>
    <w:rsid w:val="00EF1264"/>
    <w:rsid w:val="00F00961"/>
    <w:rsid w:val="00F00AEC"/>
    <w:rsid w:val="00F034A3"/>
    <w:rsid w:val="00F2481E"/>
    <w:rsid w:val="00F2770F"/>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 w:type="paragraph" w:styleId="ListBullet">
    <w:name w:val="List Bullet"/>
    <w:basedOn w:val="Normal"/>
    <w:uiPriority w:val="99"/>
    <w:unhideWhenUsed/>
    <w:rsid w:val="007B521F"/>
    <w:pPr>
      <w:numPr>
        <w:numId w:val="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 w:type="paragraph" w:styleId="ListBullet">
    <w:name w:val="List Bullet"/>
    <w:basedOn w:val="Normal"/>
    <w:uiPriority w:val="99"/>
    <w:unhideWhenUsed/>
    <w:rsid w:val="007B521F"/>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5</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11</cp:revision>
  <cp:lastPrinted>2022-02-11T07:35:00Z</cp:lastPrinted>
  <dcterms:created xsi:type="dcterms:W3CDTF">2022-01-27T14:43:00Z</dcterms:created>
  <dcterms:modified xsi:type="dcterms:W3CDTF">2022-02-11T07:42:00Z</dcterms:modified>
</cp:coreProperties>
</file>