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JOHANE MASOWE CHISHANU APOSTLES</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JOHANE MASOWE APOSTOLIC CHURCH </w:t>
      </w:r>
    </w:p>
    <w:p w:rsidR="00C472AA" w:rsidRDefault="003D7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(also known as</w:t>
      </w:r>
      <w:bookmarkStart w:id="0" w:name="_GoBack"/>
      <w:bookmarkEnd w:id="0"/>
      <w:r w:rsidR="006F4E4A">
        <w:rPr>
          <w:rFonts w:ascii="Times New Roman" w:hAnsi="Times New Roman" w:cs="Times New Roman"/>
          <w:sz w:val="24"/>
          <w:szCs w:val="24"/>
        </w:rPr>
        <w:t>) JOHANE MASOWE CHISHANU APOSTLES</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(led by RABBI NHAMOYEBONDE)</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RABBI NHAMOYEBONDE</w:t>
      </w:r>
    </w:p>
    <w:p w:rsidR="00C472AA" w:rsidRDefault="00C472AA">
      <w:pPr>
        <w:spacing w:after="0" w:line="240" w:lineRule="auto"/>
        <w:jc w:val="both"/>
        <w:rPr>
          <w:rFonts w:ascii="Times New Roman" w:hAnsi="Times New Roman" w:cs="Times New Roman"/>
          <w:sz w:val="24"/>
          <w:szCs w:val="24"/>
        </w:rPr>
      </w:pP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DIVISION</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14 February, 4 </w:t>
      </w:r>
      <w:r>
        <w:rPr>
          <w:rFonts w:ascii="Times New Roman" w:hAnsi="Times New Roman" w:cs="Times New Roman"/>
          <w:sz w:val="24"/>
          <w:szCs w:val="24"/>
        </w:rPr>
        <w:t>March, 1 June and 2 June 2022 &amp; 5 November 2024</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Extempore ruling was delivered on 2 June 2022</w:t>
      </w:r>
    </w:p>
    <w:p w:rsidR="00C472AA" w:rsidRDefault="00C472AA">
      <w:pPr>
        <w:spacing w:after="0" w:line="240" w:lineRule="auto"/>
        <w:jc w:val="both"/>
        <w:rPr>
          <w:rFonts w:ascii="Times New Roman" w:hAnsi="Times New Roman" w:cs="Times New Roman"/>
          <w:sz w:val="24"/>
          <w:szCs w:val="24"/>
        </w:rPr>
      </w:pP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ABSOLUTION FROM THE INSTANCE</w:t>
      </w:r>
    </w:p>
    <w:p w:rsidR="00C472AA" w:rsidRDefault="00C472AA">
      <w:pPr>
        <w:spacing w:after="0" w:line="240" w:lineRule="auto"/>
        <w:jc w:val="both"/>
        <w:rPr>
          <w:rFonts w:ascii="Times New Roman" w:hAnsi="Times New Roman" w:cs="Times New Roman"/>
          <w:sz w:val="24"/>
          <w:szCs w:val="24"/>
        </w:rPr>
      </w:pP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F </w:t>
      </w:r>
      <w:proofErr w:type="spellStart"/>
      <w:r>
        <w:rPr>
          <w:rFonts w:ascii="Times New Roman" w:hAnsi="Times New Roman" w:cs="Times New Roman"/>
          <w:i/>
          <w:iCs/>
          <w:sz w:val="24"/>
          <w:szCs w:val="24"/>
        </w:rPr>
        <w:t>Siyakurima</w:t>
      </w:r>
      <w:proofErr w:type="spellEnd"/>
      <w:r>
        <w:rPr>
          <w:rFonts w:ascii="Times New Roman" w:hAnsi="Times New Roman" w:cs="Times New Roman"/>
          <w:sz w:val="24"/>
          <w:szCs w:val="24"/>
        </w:rPr>
        <w:t>, for the plaintiff</w:t>
      </w:r>
    </w:p>
    <w:p w:rsidR="00C472AA" w:rsidRDefault="006F4E4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T M </w:t>
      </w:r>
      <w:proofErr w:type="spellStart"/>
      <w:r>
        <w:rPr>
          <w:rFonts w:ascii="Times New Roman" w:hAnsi="Times New Roman" w:cs="Times New Roman"/>
          <w:i/>
          <w:iCs/>
          <w:sz w:val="24"/>
          <w:szCs w:val="24"/>
        </w:rPr>
        <w:t>Kanengoni</w:t>
      </w:r>
      <w:proofErr w:type="spellEnd"/>
      <w:r>
        <w:rPr>
          <w:rFonts w:ascii="Times New Roman" w:hAnsi="Times New Roman" w:cs="Times New Roman"/>
          <w:sz w:val="24"/>
          <w:szCs w:val="24"/>
        </w:rPr>
        <w:t>, for the defendants.</w:t>
      </w:r>
    </w:p>
    <w:p w:rsidR="00C472AA" w:rsidRDefault="00C472AA">
      <w:pPr>
        <w:spacing w:after="0" w:line="240" w:lineRule="auto"/>
        <w:jc w:val="both"/>
        <w:rPr>
          <w:rFonts w:ascii="Times New Roman" w:hAnsi="Times New Roman" w:cs="Times New Roman"/>
          <w:sz w:val="24"/>
          <w:szCs w:val="24"/>
        </w:rPr>
      </w:pPr>
    </w:p>
    <w:p w:rsidR="00C472AA" w:rsidRDefault="006F4E4A">
      <w:pPr>
        <w:ind w:firstLine="720"/>
        <w:jc w:val="both"/>
        <w:rPr>
          <w:rFonts w:ascii="Times New Roman" w:hAnsi="Times New Roman" w:cs="Times New Roman"/>
          <w:sz w:val="24"/>
          <w:szCs w:val="24"/>
        </w:rPr>
      </w:pPr>
      <w:r>
        <w:rPr>
          <w:rFonts w:ascii="Times New Roman" w:hAnsi="Times New Roman" w:cs="Times New Roman"/>
          <w:b/>
          <w:bCs/>
          <w:sz w:val="24"/>
          <w:szCs w:val="24"/>
        </w:rPr>
        <w:t>MANZUNZU J:</w:t>
      </w:r>
      <w:r>
        <w:rPr>
          <w:rFonts w:ascii="Times New Roman" w:hAnsi="Times New Roman" w:cs="Times New Roman"/>
          <w:sz w:val="24"/>
          <w:szCs w:val="24"/>
        </w:rPr>
        <w:t xml:space="preserve"> </w:t>
      </w:r>
    </w:p>
    <w:p w:rsidR="00C472AA" w:rsidRDefault="006F4E4A">
      <w:pPr>
        <w:ind w:firstLine="720"/>
        <w:jc w:val="both"/>
        <w:rPr>
          <w:rFonts w:ascii="Times New Roman" w:hAnsi="Times New Roman" w:cs="Times New Roman"/>
          <w:sz w:val="24"/>
          <w:szCs w:val="24"/>
        </w:rPr>
      </w:pPr>
      <w:r>
        <w:rPr>
          <w:rFonts w:ascii="Times New Roman" w:hAnsi="Times New Roman" w:cs="Times New Roman"/>
          <w:sz w:val="24"/>
          <w:szCs w:val="24"/>
        </w:rPr>
        <w:t>INTRODUCTION</w:t>
      </w:r>
    </w:p>
    <w:p w:rsidR="00C472AA" w:rsidRDefault="006F4E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 June 202</w:t>
      </w:r>
      <w:r>
        <w:rPr>
          <w:rFonts w:ascii="Times New Roman" w:hAnsi="Times New Roman" w:cs="Times New Roman"/>
          <w:sz w:val="24"/>
          <w:szCs w:val="24"/>
          <w:lang w:val="en-US"/>
        </w:rPr>
        <w:t>2</w:t>
      </w:r>
      <w:r>
        <w:rPr>
          <w:rFonts w:ascii="Times New Roman" w:hAnsi="Times New Roman" w:cs="Times New Roman"/>
          <w:sz w:val="24"/>
          <w:szCs w:val="24"/>
        </w:rPr>
        <w:t xml:space="preserve"> I granted an absoluti</w:t>
      </w:r>
      <w:r>
        <w:rPr>
          <w:rFonts w:ascii="Times New Roman" w:hAnsi="Times New Roman" w:cs="Times New Roman"/>
          <w:sz w:val="24"/>
          <w:szCs w:val="24"/>
        </w:rPr>
        <w:t xml:space="preserve">on from the instance at the close of the plaintiff’s case. The full reasons for the ruling were given extempore. The plaintiff has appealed against the decision and has asked for written reasons, </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are they:</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BACKGROUND</w:t>
      </w:r>
    </w:p>
    <w:p w:rsidR="00C472AA" w:rsidRDefault="006F4E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dispute between the </w:t>
      </w:r>
      <w:r>
        <w:rPr>
          <w:rFonts w:ascii="Times New Roman" w:hAnsi="Times New Roman" w:cs="Times New Roman"/>
          <w:sz w:val="24"/>
          <w:szCs w:val="24"/>
        </w:rPr>
        <w:t xml:space="preserve">plaintiff and the two defendants with the plaintiff seeking relief to interdict the defendants and their followers from using and/or interfering with plaintiff’s church services at stand 7087 Unit L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 </w:t>
      </w:r>
      <w:proofErr w:type="spellStart"/>
      <w:r>
        <w:rPr>
          <w:rFonts w:ascii="Times New Roman" w:hAnsi="Times New Roman" w:cs="Times New Roman"/>
          <w:sz w:val="24"/>
          <w:szCs w:val="24"/>
        </w:rPr>
        <w:t>Sandros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Nhamoyebonde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Sandros</w:t>
      </w:r>
      <w:proofErr w:type="spellEnd"/>
      <w:r>
        <w:rPr>
          <w:rFonts w:ascii="Times New Roman" w:hAnsi="Times New Roman" w:cs="Times New Roman"/>
          <w:sz w:val="24"/>
          <w:szCs w:val="24"/>
        </w:rPr>
        <w:t>) was the fou</w:t>
      </w:r>
      <w:r>
        <w:rPr>
          <w:rFonts w:ascii="Times New Roman" w:hAnsi="Times New Roman" w:cs="Times New Roman"/>
          <w:sz w:val="24"/>
          <w:szCs w:val="24"/>
        </w:rPr>
        <w:t xml:space="preserve">nder of the plaintiff. The second defendant was his wife. It is the plaintiff’s case, which position is disputed by the </w:t>
      </w:r>
      <w:proofErr w:type="gramStart"/>
      <w:r>
        <w:rPr>
          <w:rFonts w:ascii="Times New Roman" w:hAnsi="Times New Roman" w:cs="Times New Roman"/>
          <w:sz w:val="24"/>
          <w:szCs w:val="24"/>
        </w:rPr>
        <w:t>defendants,  that</w:t>
      </w:r>
      <w:proofErr w:type="gramEnd"/>
      <w:r>
        <w:rPr>
          <w:rFonts w:ascii="Times New Roman" w:hAnsi="Times New Roman" w:cs="Times New Roman"/>
          <w:sz w:val="24"/>
          <w:szCs w:val="24"/>
        </w:rPr>
        <w:t xml:space="preserve"> before his death, </w:t>
      </w:r>
      <w:proofErr w:type="spellStart"/>
      <w:r>
        <w:rPr>
          <w:rFonts w:ascii="Times New Roman" w:hAnsi="Times New Roman" w:cs="Times New Roman"/>
          <w:sz w:val="24"/>
          <w:szCs w:val="24"/>
        </w:rPr>
        <w:t>Sandros</w:t>
      </w:r>
      <w:proofErr w:type="spellEnd"/>
      <w:r>
        <w:rPr>
          <w:rFonts w:ascii="Times New Roman" w:hAnsi="Times New Roman" w:cs="Times New Roman"/>
          <w:sz w:val="24"/>
          <w:szCs w:val="24"/>
        </w:rPr>
        <w:t xml:space="preserve"> appointed three men to lead the church. Further, that the second defendant attempted to usur</w:t>
      </w:r>
      <w:r>
        <w:rPr>
          <w:rFonts w:ascii="Times New Roman" w:hAnsi="Times New Roman" w:cs="Times New Roman"/>
          <w:sz w:val="24"/>
          <w:szCs w:val="24"/>
        </w:rPr>
        <w:t>p the leadership of the plaintiff resulting in her forming the first defendant. There is a fight now over the use of the alleged leased property by the plaintiff. The true colour of the dispute is a fight for the leadership of the church which was left beh</w:t>
      </w:r>
      <w:r>
        <w:rPr>
          <w:rFonts w:ascii="Times New Roman" w:hAnsi="Times New Roman" w:cs="Times New Roman"/>
          <w:sz w:val="24"/>
          <w:szCs w:val="24"/>
        </w:rPr>
        <w:t xml:space="preserve">ind by </w:t>
      </w:r>
      <w:proofErr w:type="spellStart"/>
      <w:r>
        <w:rPr>
          <w:rFonts w:ascii="Times New Roman" w:hAnsi="Times New Roman" w:cs="Times New Roman"/>
          <w:sz w:val="24"/>
          <w:szCs w:val="24"/>
        </w:rPr>
        <w:t>Sandros</w:t>
      </w:r>
      <w:proofErr w:type="spellEnd"/>
      <w:r>
        <w:rPr>
          <w:rFonts w:ascii="Times New Roman" w:hAnsi="Times New Roman" w:cs="Times New Roman"/>
          <w:sz w:val="24"/>
          <w:szCs w:val="24"/>
        </w:rPr>
        <w:t>.</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close of the plaintiff’s case the defendants applied for absolution from the instance.</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LAW</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settled on the test for determining an application for absolution from the instance.  In </w:t>
      </w:r>
      <w:r>
        <w:rPr>
          <w:rFonts w:ascii="Times New Roman" w:hAnsi="Times New Roman" w:cs="Times New Roman"/>
          <w:i/>
          <w:sz w:val="24"/>
          <w:szCs w:val="24"/>
        </w:rPr>
        <w:t>Supreme Service Station (1969) (Pvt) L</w:t>
      </w:r>
      <w:r>
        <w:rPr>
          <w:rFonts w:ascii="Times New Roman" w:hAnsi="Times New Roman" w:cs="Times New Roman"/>
          <w:i/>
          <w:sz w:val="24"/>
          <w:szCs w:val="24"/>
        </w:rPr>
        <w:t xml:space="preserve">td </w:t>
      </w:r>
      <w:r>
        <w:rPr>
          <w:rFonts w:ascii="Times New Roman" w:hAnsi="Times New Roman" w:cs="Times New Roman"/>
          <w:iCs/>
          <w:sz w:val="24"/>
          <w:szCs w:val="24"/>
        </w:rPr>
        <w:t>v</w:t>
      </w:r>
      <w:r>
        <w:rPr>
          <w:rFonts w:ascii="Times New Roman" w:hAnsi="Times New Roman" w:cs="Times New Roman"/>
          <w:i/>
          <w:sz w:val="24"/>
          <w:szCs w:val="24"/>
        </w:rPr>
        <w:t xml:space="preserve"> Fox and </w:t>
      </w:r>
      <w:proofErr w:type="spellStart"/>
      <w:r>
        <w:rPr>
          <w:rFonts w:ascii="Times New Roman" w:hAnsi="Times New Roman" w:cs="Times New Roman"/>
          <w:i/>
          <w:sz w:val="24"/>
          <w:szCs w:val="24"/>
        </w:rPr>
        <w:t>Goodridge</w:t>
      </w:r>
      <w:proofErr w:type="spellEnd"/>
      <w:r>
        <w:rPr>
          <w:rFonts w:ascii="Times New Roman" w:hAnsi="Times New Roman" w:cs="Times New Roman"/>
          <w:i/>
          <w:sz w:val="24"/>
          <w:szCs w:val="24"/>
        </w:rPr>
        <w:t xml:space="preserve"> (Pvt) Ltd 1971 (1) RLR 1 (A) at 5 D –E,</w:t>
      </w:r>
      <w:r>
        <w:rPr>
          <w:rFonts w:ascii="Times New Roman" w:hAnsi="Times New Roman" w:cs="Times New Roman"/>
          <w:sz w:val="24"/>
          <w:szCs w:val="24"/>
        </w:rPr>
        <w:t xml:space="preserve"> the court pronounced with approval the principle enunciated in the </w:t>
      </w:r>
      <w:r>
        <w:rPr>
          <w:rFonts w:ascii="Times New Roman" w:hAnsi="Times New Roman" w:cs="Times New Roman"/>
          <w:color w:val="4A4A4A"/>
          <w:sz w:val="24"/>
          <w:szCs w:val="24"/>
        </w:rPr>
        <w:t>case of </w:t>
      </w:r>
      <w:r>
        <w:rPr>
          <w:rStyle w:val="Emphasis"/>
          <w:rFonts w:ascii="Times New Roman" w:hAnsi="Times New Roman" w:cs="Times New Roman"/>
          <w:color w:val="4A4A4A"/>
          <w:sz w:val="24"/>
          <w:szCs w:val="24"/>
        </w:rPr>
        <w:t>Gascoyne </w:t>
      </w:r>
      <w:r>
        <w:rPr>
          <w:rFonts w:ascii="Times New Roman" w:hAnsi="Times New Roman" w:cs="Times New Roman"/>
          <w:color w:val="4A4A4A"/>
          <w:sz w:val="24"/>
          <w:szCs w:val="24"/>
        </w:rPr>
        <w:t>v</w:t>
      </w:r>
      <w:r>
        <w:rPr>
          <w:rFonts w:ascii="Times New Roman" w:hAnsi="Times New Roman" w:cs="Times New Roman"/>
          <w:color w:val="4A4A4A"/>
          <w:sz w:val="24"/>
          <w:szCs w:val="24"/>
        </w:rPr>
        <w:t> </w:t>
      </w:r>
      <w:r>
        <w:rPr>
          <w:rStyle w:val="Emphasis"/>
          <w:rFonts w:ascii="Times New Roman" w:hAnsi="Times New Roman" w:cs="Times New Roman"/>
          <w:color w:val="4A4A4A"/>
          <w:sz w:val="24"/>
          <w:szCs w:val="24"/>
        </w:rPr>
        <w:t>Paul &amp; Hunter</w:t>
      </w:r>
      <w:r>
        <w:rPr>
          <w:rFonts w:ascii="Times New Roman" w:hAnsi="Times New Roman" w:cs="Times New Roman"/>
          <w:color w:val="4A4A4A"/>
          <w:sz w:val="24"/>
          <w:szCs w:val="24"/>
        </w:rPr>
        <w:t> 1917 TPD 170 at 173 as follows:</w:t>
      </w:r>
    </w:p>
    <w:p w:rsidR="00C472AA" w:rsidRDefault="006F4E4A">
      <w:pPr>
        <w:pStyle w:val="NormalWeb"/>
        <w:shd w:val="clear" w:color="auto" w:fill="FFFFFF"/>
        <w:spacing w:before="0" w:beforeAutospacing="0"/>
        <w:ind w:left="720" w:firstLine="720"/>
        <w:jc w:val="both"/>
        <w:rPr>
          <w:i/>
          <w:color w:val="4A4A4A"/>
          <w:sz w:val="22"/>
          <w:szCs w:val="22"/>
        </w:rPr>
      </w:pPr>
      <w:r>
        <w:rPr>
          <w:iCs/>
          <w:color w:val="4A4A4A"/>
          <w:sz w:val="22"/>
          <w:szCs w:val="22"/>
        </w:rPr>
        <w:t xml:space="preserve">“At the close of the case for the plaintiff, therefore, the </w:t>
      </w:r>
      <w:r>
        <w:rPr>
          <w:iCs/>
          <w:color w:val="4A4A4A"/>
          <w:sz w:val="22"/>
          <w:szCs w:val="22"/>
        </w:rPr>
        <w:t>question which arises for consideration of the court is, is there evidence upon which a reasonable man might find for the plaintiff? …  The question therefore is, at the close of the case for the plaintiff was there a</w:t>
      </w:r>
      <w:r>
        <w:rPr>
          <w:i/>
          <w:color w:val="4A4A4A"/>
          <w:sz w:val="22"/>
          <w:szCs w:val="22"/>
        </w:rPr>
        <w:t> </w:t>
      </w:r>
      <w:r>
        <w:rPr>
          <w:rStyle w:val="Emphasis"/>
          <w:iCs w:val="0"/>
          <w:color w:val="4A4A4A"/>
          <w:sz w:val="22"/>
          <w:szCs w:val="22"/>
        </w:rPr>
        <w:t>prima</w:t>
      </w:r>
      <w:r>
        <w:rPr>
          <w:rStyle w:val="Emphasis"/>
          <w:i w:val="0"/>
          <w:color w:val="4A4A4A"/>
          <w:sz w:val="22"/>
          <w:szCs w:val="22"/>
        </w:rPr>
        <w:t xml:space="preserve"> </w:t>
      </w:r>
      <w:r>
        <w:rPr>
          <w:rStyle w:val="Emphasis"/>
          <w:iCs w:val="0"/>
          <w:color w:val="4A4A4A"/>
          <w:sz w:val="22"/>
          <w:szCs w:val="22"/>
        </w:rPr>
        <w:t>facie</w:t>
      </w:r>
      <w:r>
        <w:rPr>
          <w:rStyle w:val="Emphasis"/>
          <w:i w:val="0"/>
          <w:color w:val="4A4A4A"/>
          <w:sz w:val="22"/>
          <w:szCs w:val="22"/>
        </w:rPr>
        <w:t> </w:t>
      </w:r>
      <w:r>
        <w:rPr>
          <w:iCs/>
          <w:color w:val="4A4A4A"/>
          <w:sz w:val="22"/>
          <w:szCs w:val="22"/>
        </w:rPr>
        <w:t>case against the defendant</w:t>
      </w:r>
      <w:r>
        <w:rPr>
          <w:iCs/>
          <w:color w:val="4A4A4A"/>
          <w:sz w:val="22"/>
          <w:szCs w:val="22"/>
        </w:rPr>
        <w:t xml:space="preserve"> …, in other words, was there such evidence before the court upon which a reasonable man might, not should, give judgment against (the defendant).”</w:t>
      </w:r>
    </w:p>
    <w:p w:rsidR="00C472AA" w:rsidRDefault="006F4E4A">
      <w:pPr>
        <w:pStyle w:val="NormalWeb"/>
        <w:shd w:val="clear" w:color="auto" w:fill="FFFFFF"/>
        <w:spacing w:before="0" w:beforeAutospacing="0" w:line="360" w:lineRule="auto"/>
        <w:ind w:firstLine="720"/>
        <w:jc w:val="both"/>
        <w:rPr>
          <w:color w:val="4A4A4A"/>
        </w:rPr>
      </w:pPr>
      <w:r>
        <w:rPr>
          <w:color w:val="4A4A4A"/>
        </w:rPr>
        <w:t xml:space="preserve">In </w:t>
      </w:r>
      <w:r>
        <w:rPr>
          <w:i/>
          <w:color w:val="4A4A4A"/>
        </w:rPr>
        <w:t xml:space="preserve">United Air Charters (Pvt) Ltd </w:t>
      </w:r>
      <w:r>
        <w:rPr>
          <w:iCs/>
          <w:color w:val="4A4A4A"/>
        </w:rPr>
        <w:t>v</w:t>
      </w:r>
      <w:r>
        <w:rPr>
          <w:i/>
          <w:color w:val="4A4A4A"/>
        </w:rPr>
        <w:t xml:space="preserve"> </w:t>
      </w:r>
      <w:proofErr w:type="spellStart"/>
      <w:r>
        <w:rPr>
          <w:i/>
          <w:color w:val="4A4A4A"/>
        </w:rPr>
        <w:t>Jarman</w:t>
      </w:r>
      <w:proofErr w:type="spellEnd"/>
      <w:r>
        <w:rPr>
          <w:i/>
          <w:color w:val="4A4A4A"/>
        </w:rPr>
        <w:t xml:space="preserve"> 1994 (2) ZLR 341 (SC) @ 341</w:t>
      </w:r>
      <w:r>
        <w:rPr>
          <w:color w:val="4A4A4A"/>
        </w:rPr>
        <w:t xml:space="preserve"> the court had this to say;</w:t>
      </w:r>
    </w:p>
    <w:p w:rsidR="00C472AA" w:rsidRDefault="006F4E4A">
      <w:pPr>
        <w:ind w:left="720" w:firstLine="720"/>
        <w:jc w:val="both"/>
        <w:rPr>
          <w:rFonts w:ascii="Times New Roman" w:hAnsi="Times New Roman" w:cs="Times New Roman"/>
          <w:iCs/>
        </w:rPr>
      </w:pPr>
      <w:r>
        <w:rPr>
          <w:rFonts w:ascii="Times New Roman" w:hAnsi="Times New Roman" w:cs="Times New Roman"/>
          <w:iCs/>
        </w:rPr>
        <w:t xml:space="preserve">“The test </w:t>
      </w:r>
      <w:r>
        <w:rPr>
          <w:rFonts w:ascii="Times New Roman" w:hAnsi="Times New Roman" w:cs="Times New Roman"/>
          <w:iCs/>
        </w:rPr>
        <w:t xml:space="preserve">in deciding an application for absolution from the instance is well settled in this jurisdiction. A plaintiff will successfully withstand such an application if, at the close of his case, there is evidence upon which a court, directing its mind reasonably </w:t>
      </w:r>
      <w:r>
        <w:rPr>
          <w:rFonts w:ascii="Times New Roman" w:hAnsi="Times New Roman" w:cs="Times New Roman"/>
          <w:iCs/>
        </w:rPr>
        <w:t>to such evidence, could or might (not should or ought to) find for him.”</w:t>
      </w:r>
    </w:p>
    <w:p w:rsidR="00C472AA" w:rsidRDefault="006F4E4A">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shd w:val="clear" w:color="auto" w:fill="F8F8F8"/>
        </w:rPr>
        <w:t xml:space="preserve"> </w:t>
      </w:r>
      <w:r>
        <w:rPr>
          <w:rFonts w:ascii="Times New Roman" w:hAnsi="Times New Roman" w:cs="Times New Roman"/>
          <w:sz w:val="24"/>
          <w:szCs w:val="24"/>
          <w:shd w:val="clear" w:color="auto" w:fill="F8F8F8"/>
          <w:lang w:val="en-US"/>
        </w:rPr>
        <w:tab/>
      </w:r>
      <w:r>
        <w:rPr>
          <w:rFonts w:ascii="Times New Roman" w:hAnsi="Times New Roman" w:cs="Times New Roman"/>
          <w:sz w:val="24"/>
          <w:szCs w:val="24"/>
          <w:shd w:val="clear" w:color="auto" w:fill="F8F8F8"/>
        </w:rPr>
        <w:t xml:space="preserve">One discerns from these two </w:t>
      </w:r>
      <w:proofErr w:type="gramStart"/>
      <w:r>
        <w:rPr>
          <w:rFonts w:ascii="Times New Roman" w:hAnsi="Times New Roman" w:cs="Times New Roman"/>
          <w:sz w:val="24"/>
          <w:szCs w:val="24"/>
          <w:shd w:val="clear" w:color="auto" w:fill="F8F8F8"/>
        </w:rPr>
        <w:t>precedents  that</w:t>
      </w:r>
      <w:proofErr w:type="gramEnd"/>
      <w:r>
        <w:rPr>
          <w:rFonts w:ascii="Times New Roman" w:hAnsi="Times New Roman" w:cs="Times New Roman"/>
          <w:sz w:val="24"/>
          <w:szCs w:val="24"/>
          <w:shd w:val="clear" w:color="auto" w:fill="F8F8F8"/>
        </w:rPr>
        <w:t>, the test for absolution from the instance is whether the plaintiff placed evidence upon which a court applying its mind reasonably to s</w:t>
      </w:r>
      <w:r>
        <w:rPr>
          <w:rFonts w:ascii="Times New Roman" w:hAnsi="Times New Roman" w:cs="Times New Roman"/>
          <w:sz w:val="24"/>
          <w:szCs w:val="24"/>
          <w:shd w:val="clear" w:color="auto" w:fill="F8F8F8"/>
        </w:rPr>
        <w:t>uch evidence, could find or might find in favour of the plaintiff.</w:t>
      </w:r>
      <w:r>
        <w:rPr>
          <w:rFonts w:ascii="Times New Roman" w:eastAsia="Times New Roman" w:hAnsi="Times New Roman" w:cs="Times New Roman"/>
          <w:color w:val="70AD47" w:themeColor="accent6"/>
          <w:sz w:val="24"/>
          <w:szCs w:val="24"/>
          <w:lang w:eastAsia="en-ZW"/>
        </w:rPr>
        <w:t xml:space="preserve">  </w:t>
      </w:r>
      <w:r>
        <w:rPr>
          <w:rFonts w:ascii="Times New Roman" w:eastAsia="Times New Roman" w:hAnsi="Times New Roman" w:cs="Times New Roman"/>
          <w:sz w:val="24"/>
          <w:szCs w:val="24"/>
          <w:lang w:eastAsia="en-ZW"/>
        </w:rPr>
        <w:t>In other words, absolution from the instance may be granted at the conclusion of the plaintiff’s case if the plaintiff has failed to adduce sufficient evidence upon which a reasonable cour</w:t>
      </w:r>
      <w:r>
        <w:rPr>
          <w:rFonts w:ascii="Times New Roman" w:eastAsia="Times New Roman" w:hAnsi="Times New Roman" w:cs="Times New Roman"/>
          <w:sz w:val="24"/>
          <w:szCs w:val="24"/>
          <w:lang w:eastAsia="en-ZW"/>
        </w:rPr>
        <w:t>t might grant judgment in favour of such plaintiff.  In short,</w:t>
      </w:r>
      <w:r>
        <w:rPr>
          <w:rFonts w:ascii="Times New Roman" w:eastAsia="Times New Roman" w:hAnsi="Times New Roman" w:cs="Times New Roman"/>
          <w:color w:val="70AD47" w:themeColor="accent6"/>
          <w:sz w:val="24"/>
          <w:szCs w:val="24"/>
          <w:lang w:eastAsia="en-ZW"/>
        </w:rPr>
        <w:t xml:space="preserve"> </w:t>
      </w:r>
      <w:r>
        <w:rPr>
          <w:rFonts w:ascii="Times New Roman" w:eastAsia="Times New Roman" w:hAnsi="Times New Roman" w:cs="Times New Roman"/>
          <w:sz w:val="24"/>
          <w:szCs w:val="24"/>
          <w:lang w:eastAsia="en-ZW"/>
        </w:rPr>
        <w:t>a plaintiff has to make out a </w:t>
      </w:r>
      <w:r>
        <w:rPr>
          <w:rFonts w:ascii="Times New Roman" w:eastAsia="Times New Roman" w:hAnsi="Times New Roman" w:cs="Times New Roman"/>
          <w:i/>
          <w:iCs/>
          <w:sz w:val="24"/>
          <w:szCs w:val="24"/>
          <w:lang w:eastAsia="en-ZW"/>
        </w:rPr>
        <w:t>prima facie </w:t>
      </w:r>
      <w:r>
        <w:rPr>
          <w:rFonts w:ascii="Times New Roman" w:eastAsia="Times New Roman" w:hAnsi="Times New Roman" w:cs="Times New Roman"/>
          <w:sz w:val="24"/>
          <w:szCs w:val="24"/>
          <w:lang w:eastAsia="en-ZW"/>
        </w:rPr>
        <w:t>case to survive absolution.</w:t>
      </w:r>
    </w:p>
    <w:p w:rsidR="00C472AA" w:rsidRDefault="006F4E4A">
      <w:pPr>
        <w:shd w:val="clear" w:color="auto" w:fill="FFFFFF"/>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In </w:t>
      </w:r>
      <w:proofErr w:type="spellStart"/>
      <w:r>
        <w:rPr>
          <w:rFonts w:ascii="Times New Roman" w:eastAsia="Times New Roman" w:hAnsi="Times New Roman" w:cs="Times New Roman"/>
          <w:sz w:val="24"/>
          <w:szCs w:val="24"/>
          <w:lang w:eastAsia="en-ZW"/>
        </w:rPr>
        <w:t>casu</w:t>
      </w:r>
      <w:proofErr w:type="spellEnd"/>
      <w:r>
        <w:rPr>
          <w:rFonts w:ascii="Times New Roman" w:eastAsia="Times New Roman" w:hAnsi="Times New Roman" w:cs="Times New Roman"/>
          <w:sz w:val="24"/>
          <w:szCs w:val="24"/>
          <w:lang w:eastAsia="en-ZW"/>
        </w:rPr>
        <w:t xml:space="preserve">, the court has to examine the plaintiff’s evidence to see if a </w:t>
      </w:r>
      <w:r>
        <w:rPr>
          <w:rFonts w:ascii="Times New Roman" w:eastAsia="Times New Roman" w:hAnsi="Times New Roman" w:cs="Times New Roman"/>
          <w:i/>
          <w:iCs/>
          <w:sz w:val="24"/>
          <w:szCs w:val="24"/>
          <w:lang w:eastAsia="en-ZW"/>
        </w:rPr>
        <w:t>prima facie</w:t>
      </w:r>
      <w:r>
        <w:rPr>
          <w:rFonts w:ascii="Times New Roman" w:eastAsia="Times New Roman" w:hAnsi="Times New Roman" w:cs="Times New Roman"/>
          <w:sz w:val="24"/>
          <w:szCs w:val="24"/>
          <w:lang w:eastAsia="en-ZW"/>
        </w:rPr>
        <w:t xml:space="preserve"> case was made.</w:t>
      </w:r>
    </w:p>
    <w:p w:rsidR="00C472AA" w:rsidRDefault="006F4E4A">
      <w:pPr>
        <w:shd w:val="clear" w:color="auto" w:fill="FFFFFF"/>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ANALYSIS </w:t>
      </w:r>
    </w:p>
    <w:p w:rsidR="00C472AA" w:rsidRDefault="006F4E4A">
      <w:pPr>
        <w:shd w:val="clear" w:color="auto" w:fill="FFFFFF"/>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issues that</w:t>
      </w:r>
      <w:r>
        <w:rPr>
          <w:rFonts w:ascii="Times New Roman" w:eastAsia="Times New Roman" w:hAnsi="Times New Roman" w:cs="Times New Roman"/>
          <w:sz w:val="24"/>
          <w:szCs w:val="24"/>
          <w:lang w:eastAsia="en-ZW"/>
        </w:rPr>
        <w:t xml:space="preserve"> were agreed to at the </w:t>
      </w:r>
      <w:proofErr w:type="spellStart"/>
      <w:r>
        <w:rPr>
          <w:rFonts w:ascii="Times New Roman" w:eastAsia="Times New Roman" w:hAnsi="Times New Roman" w:cs="Times New Roman"/>
          <w:sz w:val="24"/>
          <w:szCs w:val="24"/>
          <w:lang w:eastAsia="en-ZW"/>
        </w:rPr>
        <w:t>pretrial</w:t>
      </w:r>
      <w:proofErr w:type="spellEnd"/>
      <w:r>
        <w:rPr>
          <w:rFonts w:ascii="Times New Roman" w:eastAsia="Times New Roman" w:hAnsi="Times New Roman" w:cs="Times New Roman"/>
          <w:sz w:val="24"/>
          <w:szCs w:val="24"/>
          <w:lang w:eastAsia="en-ZW"/>
        </w:rPr>
        <w:t xml:space="preserve"> conference are whether the plaintiff is the lessee of stand number 7087 Unit L </w:t>
      </w:r>
      <w:proofErr w:type="spellStart"/>
      <w:r>
        <w:rPr>
          <w:rFonts w:ascii="Times New Roman" w:eastAsia="Times New Roman" w:hAnsi="Times New Roman" w:cs="Times New Roman"/>
          <w:sz w:val="24"/>
          <w:szCs w:val="24"/>
          <w:lang w:eastAsia="en-ZW"/>
        </w:rPr>
        <w:t>Seke</w:t>
      </w:r>
      <w:proofErr w:type="spellEnd"/>
      <w:r>
        <w:rPr>
          <w:rFonts w:ascii="Times New Roman" w:eastAsia="Times New Roman" w:hAnsi="Times New Roman" w:cs="Times New Roman"/>
          <w:sz w:val="24"/>
          <w:szCs w:val="24"/>
          <w:lang w:eastAsia="en-ZW"/>
        </w:rPr>
        <w:t xml:space="preserve">, also known as </w:t>
      </w:r>
      <w:proofErr w:type="spellStart"/>
      <w:r>
        <w:rPr>
          <w:rFonts w:ascii="Times New Roman" w:eastAsia="Times New Roman" w:hAnsi="Times New Roman" w:cs="Times New Roman"/>
          <w:sz w:val="24"/>
          <w:szCs w:val="24"/>
          <w:lang w:eastAsia="en-ZW"/>
        </w:rPr>
        <w:t>Nyatsime</w:t>
      </w:r>
      <w:proofErr w:type="spellEnd"/>
      <w:r>
        <w:rPr>
          <w:rFonts w:ascii="Times New Roman" w:eastAsia="Times New Roman" w:hAnsi="Times New Roman" w:cs="Times New Roman"/>
          <w:sz w:val="24"/>
          <w:szCs w:val="24"/>
          <w:lang w:eastAsia="en-ZW"/>
        </w:rPr>
        <w:t xml:space="preserve"> Shrine and whether the defendants should be interdicted from using or occupying the same premises.</w:t>
      </w:r>
    </w:p>
    <w:p w:rsidR="00C472AA" w:rsidRDefault="006F4E4A">
      <w:pPr>
        <w:shd w:val="clear" w:color="auto" w:fill="FFFFFF"/>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These are the iss</w:t>
      </w:r>
      <w:r>
        <w:rPr>
          <w:rFonts w:ascii="Times New Roman" w:eastAsia="Times New Roman" w:hAnsi="Times New Roman" w:cs="Times New Roman"/>
          <w:sz w:val="24"/>
          <w:szCs w:val="24"/>
          <w:lang w:eastAsia="en-ZW"/>
        </w:rPr>
        <w:t xml:space="preserve">ues </w:t>
      </w:r>
      <w:r>
        <w:rPr>
          <w:rFonts w:ascii="Times New Roman" w:eastAsia="Times New Roman" w:hAnsi="Times New Roman" w:cs="Times New Roman"/>
          <w:sz w:val="24"/>
          <w:szCs w:val="24"/>
          <w:lang w:val="en-US" w:eastAsia="en-ZW"/>
        </w:rPr>
        <w:t>that</w:t>
      </w:r>
      <w:r>
        <w:rPr>
          <w:rFonts w:ascii="Times New Roman" w:eastAsia="Times New Roman" w:hAnsi="Times New Roman" w:cs="Times New Roman"/>
          <w:sz w:val="24"/>
          <w:szCs w:val="24"/>
          <w:lang w:eastAsia="en-ZW"/>
        </w:rPr>
        <w:t xml:space="preserve"> guide the court in its effort to determine and resolve the dispute between the parties. The plaintiff relied on the evidence of four witnesses.</w:t>
      </w:r>
    </w:p>
    <w:p w:rsidR="00C472AA" w:rsidRDefault="006F4E4A">
      <w:pPr>
        <w:shd w:val="clear" w:color="auto" w:fill="FFFFFF"/>
        <w:spacing w:before="100" w:beforeAutospacing="1" w:after="100" w:afterAutospacing="1" w:line="360" w:lineRule="auto"/>
        <w:ind w:firstLine="720"/>
        <w:jc w:val="both"/>
        <w:rPr>
          <w:rFonts w:ascii="Times New Roman" w:eastAsia="Times New Roman" w:hAnsi="Times New Roman" w:cs="Times New Roman"/>
          <w:i/>
          <w:sz w:val="24"/>
          <w:szCs w:val="24"/>
          <w:lang w:eastAsia="en-ZW"/>
        </w:rPr>
      </w:pPr>
      <w:r>
        <w:rPr>
          <w:rFonts w:ascii="Times New Roman" w:eastAsia="Times New Roman" w:hAnsi="Times New Roman" w:cs="Times New Roman"/>
          <w:sz w:val="24"/>
          <w:szCs w:val="24"/>
          <w:lang w:eastAsia="en-ZW"/>
        </w:rPr>
        <w:lastRenderedPageBreak/>
        <w:t xml:space="preserve">At this stage the examination of the evidence is only limited to see if it covers all the elements of </w:t>
      </w:r>
      <w:r>
        <w:rPr>
          <w:rFonts w:ascii="Times New Roman" w:eastAsia="Times New Roman" w:hAnsi="Times New Roman" w:cs="Times New Roman"/>
          <w:sz w:val="24"/>
          <w:szCs w:val="24"/>
          <w:lang w:eastAsia="en-ZW"/>
        </w:rPr>
        <w:t>the claim and not whether the plaintiff establishes what would finally be required to be established at the end of the trial. This is the position of the law in both South African and Zimbabwean courts</w:t>
      </w:r>
      <w:r>
        <w:rPr>
          <w:rFonts w:ascii="Times New Roman" w:eastAsia="Times New Roman" w:hAnsi="Times New Roman" w:cs="Times New Roman"/>
          <w:i/>
          <w:sz w:val="24"/>
          <w:szCs w:val="24"/>
          <w:lang w:eastAsia="en-ZW"/>
        </w:rPr>
        <w:t>.  In </w:t>
      </w:r>
      <w:r>
        <w:rPr>
          <w:rFonts w:ascii="Times New Roman" w:eastAsia="Times New Roman" w:hAnsi="Times New Roman" w:cs="Times New Roman"/>
          <w:i/>
          <w:iCs/>
          <w:sz w:val="24"/>
          <w:szCs w:val="24"/>
          <w:lang w:eastAsia="en-ZW"/>
        </w:rPr>
        <w:t xml:space="preserve">Claude Neon Lights (SA) Ltd </w:t>
      </w:r>
      <w:r>
        <w:rPr>
          <w:rFonts w:ascii="Times New Roman" w:eastAsia="Times New Roman" w:hAnsi="Times New Roman" w:cs="Times New Roman"/>
          <w:sz w:val="24"/>
          <w:szCs w:val="24"/>
          <w:lang w:eastAsia="en-ZW"/>
        </w:rPr>
        <w:t>v</w:t>
      </w:r>
      <w:r>
        <w:rPr>
          <w:rFonts w:ascii="Times New Roman" w:eastAsia="Times New Roman" w:hAnsi="Times New Roman" w:cs="Times New Roman"/>
          <w:i/>
          <w:iCs/>
          <w:sz w:val="24"/>
          <w:szCs w:val="24"/>
          <w:lang w:eastAsia="en-ZW"/>
        </w:rPr>
        <w:t xml:space="preserve"> Daniel 1976 (4) SA </w:t>
      </w:r>
      <w:r>
        <w:rPr>
          <w:rFonts w:ascii="Times New Roman" w:eastAsia="Times New Roman" w:hAnsi="Times New Roman" w:cs="Times New Roman"/>
          <w:i/>
          <w:iCs/>
          <w:sz w:val="24"/>
          <w:szCs w:val="24"/>
          <w:lang w:eastAsia="en-ZW"/>
        </w:rPr>
        <w:t>403 (A) </w:t>
      </w:r>
      <w:r>
        <w:rPr>
          <w:rFonts w:ascii="Times New Roman" w:eastAsia="Times New Roman" w:hAnsi="Times New Roman" w:cs="Times New Roman"/>
          <w:sz w:val="24"/>
          <w:szCs w:val="24"/>
          <w:lang w:eastAsia="en-ZW"/>
        </w:rPr>
        <w:t>where the court stated the following</w:t>
      </w:r>
      <w:r>
        <w:rPr>
          <w:rFonts w:ascii="Times New Roman" w:eastAsia="Times New Roman" w:hAnsi="Times New Roman" w:cs="Times New Roman"/>
          <w:i/>
          <w:sz w:val="24"/>
          <w:szCs w:val="24"/>
          <w:lang w:eastAsia="en-ZW"/>
        </w:rPr>
        <w:t>:</w:t>
      </w:r>
    </w:p>
    <w:p w:rsidR="00C472AA" w:rsidRDefault="006F4E4A">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lang w:eastAsia="en-ZW"/>
        </w:rPr>
        <w:t xml:space="preserve">“…when absolution from the instance is sought at the close of plaintiff's case, </w:t>
      </w:r>
      <w:r>
        <w:rPr>
          <w:rFonts w:ascii="Times New Roman" w:eastAsia="Times New Roman" w:hAnsi="Times New Roman" w:cs="Times New Roman"/>
          <w:u w:val="single"/>
          <w:lang w:eastAsia="en-ZW"/>
        </w:rPr>
        <w:t>the test to be applied is not whether the evidence led by plaintiff establishes what would finally be required to be established</w:t>
      </w:r>
      <w:r>
        <w:rPr>
          <w:rFonts w:ascii="Times New Roman" w:eastAsia="Times New Roman" w:hAnsi="Times New Roman" w:cs="Times New Roman"/>
          <w:lang w:eastAsia="en-ZW"/>
        </w:rPr>
        <w:t xml:space="preserve">, but whether there is evidence upon which a Court, applying its mind reasonably to such evidence, could or might (not should, nor ought to) find for the plaintiff.” (emphasis is mine). </w:t>
      </w:r>
      <w:r>
        <w:rPr>
          <w:rFonts w:ascii="Times New Roman" w:eastAsia="Times New Roman" w:hAnsi="Times New Roman" w:cs="Times New Roman"/>
          <w:sz w:val="24"/>
          <w:szCs w:val="24"/>
          <w:lang w:eastAsia="en-ZW"/>
        </w:rPr>
        <w:t xml:space="preserve"> </w:t>
      </w:r>
    </w:p>
    <w:p w:rsidR="00C472AA" w:rsidRDefault="006F4E4A">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ZW"/>
        </w:rPr>
        <w:t xml:space="preserve">Back home in </w:t>
      </w:r>
      <w:proofErr w:type="spellStart"/>
      <w:r>
        <w:rPr>
          <w:rFonts w:ascii="Times New Roman" w:eastAsia="Times New Roman" w:hAnsi="Times New Roman" w:cs="Times New Roman"/>
          <w:i/>
          <w:sz w:val="24"/>
          <w:szCs w:val="24"/>
          <w:lang w:eastAsia="en-ZW"/>
        </w:rPr>
        <w:t>Chiswanda</w:t>
      </w:r>
      <w:proofErr w:type="spellEnd"/>
      <w:r>
        <w:rPr>
          <w:rFonts w:ascii="Times New Roman" w:eastAsia="Times New Roman" w:hAnsi="Times New Roman" w:cs="Times New Roman"/>
          <w:i/>
          <w:sz w:val="24"/>
          <w:szCs w:val="24"/>
          <w:lang w:eastAsia="en-ZW"/>
        </w:rPr>
        <w:t xml:space="preserve"> </w:t>
      </w:r>
      <w:r>
        <w:rPr>
          <w:rFonts w:ascii="Times New Roman" w:eastAsia="Times New Roman" w:hAnsi="Times New Roman" w:cs="Times New Roman"/>
          <w:iCs/>
          <w:sz w:val="24"/>
          <w:szCs w:val="24"/>
          <w:lang w:eastAsia="en-ZW"/>
        </w:rPr>
        <w:t>v</w:t>
      </w:r>
      <w:r>
        <w:rPr>
          <w:rFonts w:ascii="Times New Roman" w:eastAsia="Times New Roman" w:hAnsi="Times New Roman" w:cs="Times New Roman"/>
          <w:i/>
          <w:sz w:val="24"/>
          <w:szCs w:val="24"/>
          <w:lang w:eastAsia="en-ZW"/>
        </w:rPr>
        <w:t xml:space="preserve"> OK Zimbabwe Limited, SC 84/20</w:t>
      </w:r>
      <w:r>
        <w:rPr>
          <w:rFonts w:ascii="Times New Roman" w:eastAsia="Times New Roman" w:hAnsi="Times New Roman" w:cs="Times New Roman"/>
          <w:sz w:val="24"/>
          <w:szCs w:val="24"/>
          <w:lang w:eastAsia="en-ZW"/>
        </w:rPr>
        <w:t xml:space="preserve"> the court sta</w:t>
      </w:r>
      <w:r>
        <w:rPr>
          <w:rFonts w:ascii="Times New Roman" w:eastAsia="Times New Roman" w:hAnsi="Times New Roman" w:cs="Times New Roman"/>
          <w:sz w:val="24"/>
          <w:szCs w:val="24"/>
          <w:lang w:eastAsia="en-ZW"/>
        </w:rPr>
        <w:t>ted;</w:t>
      </w:r>
      <w:r>
        <w:rPr>
          <w:rFonts w:ascii="Times New Roman" w:hAnsi="Times New Roman" w:cs="Times New Roman"/>
          <w:sz w:val="24"/>
          <w:szCs w:val="24"/>
        </w:rPr>
        <w:t xml:space="preserve"> </w:t>
      </w:r>
    </w:p>
    <w:p w:rsidR="00C472AA" w:rsidRDefault="006F4E4A">
      <w:pPr>
        <w:shd w:val="clear" w:color="auto" w:fill="FFFFFF"/>
        <w:spacing w:before="100" w:beforeAutospacing="1" w:after="100" w:afterAutospacing="1" w:line="240" w:lineRule="auto"/>
        <w:ind w:left="720" w:firstLine="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“Crucially the </w:t>
      </w:r>
      <w:r>
        <w:rPr>
          <w:rFonts w:ascii="Times New Roman" w:hAnsi="Times New Roman" w:cs="Times New Roman"/>
          <w:u w:val="single"/>
        </w:rPr>
        <w:t>test to be applied is not whether or not the evidence for the plaintiff establishes what would finally be required to be established to obtain judgment</w:t>
      </w:r>
      <w:r>
        <w:rPr>
          <w:rFonts w:ascii="Times New Roman" w:hAnsi="Times New Roman" w:cs="Times New Roman"/>
        </w:rPr>
        <w:t xml:space="preserve">. The evidence required at this stage is whether or not the plaintiff has made out a </w:t>
      </w:r>
      <w:r>
        <w:rPr>
          <w:rFonts w:ascii="Times New Roman" w:hAnsi="Times New Roman" w:cs="Times New Roman"/>
          <w:i/>
          <w:iCs/>
        </w:rPr>
        <w:t>prima facie</w:t>
      </w:r>
      <w:r>
        <w:rPr>
          <w:rFonts w:ascii="Times New Roman" w:hAnsi="Times New Roman" w:cs="Times New Roman"/>
        </w:rPr>
        <w:t xml:space="preserve"> case to prove the claim…. This implies that </w:t>
      </w:r>
      <w:r>
        <w:rPr>
          <w:rFonts w:ascii="Times New Roman" w:hAnsi="Times New Roman" w:cs="Times New Roman"/>
          <w:u w:val="single"/>
        </w:rPr>
        <w:t xml:space="preserve">a plaintiff has to make out a </w:t>
      </w:r>
      <w:r>
        <w:rPr>
          <w:rFonts w:ascii="Times New Roman" w:hAnsi="Times New Roman" w:cs="Times New Roman"/>
          <w:i/>
          <w:iCs/>
          <w:u w:val="single"/>
        </w:rPr>
        <w:t>prima facie</w:t>
      </w:r>
      <w:r>
        <w:rPr>
          <w:rFonts w:ascii="Times New Roman" w:hAnsi="Times New Roman" w:cs="Times New Roman"/>
          <w:u w:val="single"/>
        </w:rPr>
        <w:t xml:space="preserve"> case-in the sense that there is evidence relating to all elements of the </w:t>
      </w:r>
      <w:r>
        <w:rPr>
          <w:rFonts w:ascii="Times New Roman" w:hAnsi="Times New Roman" w:cs="Times New Roman"/>
          <w:u w:val="single"/>
        </w:rPr>
        <w:t>claim</w:t>
      </w:r>
      <w:r>
        <w:rPr>
          <w:rFonts w:ascii="Times New Roman" w:hAnsi="Times New Roman" w:cs="Times New Roman"/>
        </w:rPr>
        <w:t xml:space="preserve"> – to survive absolution…” (emphasis is mine). </w:t>
      </w:r>
    </w:p>
    <w:p w:rsidR="00C472AA" w:rsidRDefault="006F4E4A">
      <w:pPr>
        <w:shd w:val="clear" w:color="auto" w:fill="FFFFFF"/>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application for absolution from the instance should be determined in the interests of justice.  See </w:t>
      </w:r>
      <w:proofErr w:type="spellStart"/>
      <w:r>
        <w:rPr>
          <w:rFonts w:ascii="Times New Roman" w:hAnsi="Times New Roman" w:cs="Times New Roman"/>
          <w:i/>
          <w:sz w:val="24"/>
          <w:szCs w:val="24"/>
        </w:rPr>
        <w:t>Carmichele</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v</w:t>
      </w:r>
      <w:r>
        <w:rPr>
          <w:rFonts w:ascii="Times New Roman" w:hAnsi="Times New Roman" w:cs="Times New Roman"/>
          <w:i/>
          <w:sz w:val="24"/>
          <w:szCs w:val="24"/>
        </w:rPr>
        <w:t xml:space="preserve"> Minister of Safety and Security 2001(4) SA 938 (CC</w:t>
      </w:r>
      <w:r>
        <w:rPr>
          <w:rFonts w:ascii="Times New Roman" w:hAnsi="Times New Roman" w:cs="Times New Roman"/>
          <w:sz w:val="24"/>
          <w:szCs w:val="24"/>
        </w:rPr>
        <w:t>). The order should be granted when t</w:t>
      </w:r>
      <w:r>
        <w:rPr>
          <w:rFonts w:ascii="Times New Roman" w:hAnsi="Times New Roman" w:cs="Times New Roman"/>
          <w:sz w:val="24"/>
          <w:szCs w:val="24"/>
        </w:rPr>
        <w:t xml:space="preserve">he plaintiff’s claim is hopeless at the close of the plaintiff’s case.  See also </w:t>
      </w:r>
      <w:r>
        <w:rPr>
          <w:rFonts w:ascii="Times New Roman" w:hAnsi="Times New Roman" w:cs="Times New Roman"/>
          <w:i/>
          <w:sz w:val="24"/>
          <w:szCs w:val="24"/>
        </w:rPr>
        <w:t xml:space="preserve">De </w:t>
      </w:r>
      <w:proofErr w:type="spellStart"/>
      <w:r>
        <w:rPr>
          <w:rFonts w:ascii="Times New Roman" w:hAnsi="Times New Roman" w:cs="Times New Roman"/>
          <w:i/>
          <w:sz w:val="24"/>
          <w:szCs w:val="24"/>
        </w:rPr>
        <w:t>Klerke</w:t>
      </w:r>
      <w:proofErr w:type="spellEnd"/>
      <w:r>
        <w:rPr>
          <w:rFonts w:ascii="Times New Roman" w:hAnsi="Times New Roman" w:cs="Times New Roman"/>
          <w:i/>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 xml:space="preserve"> </w:t>
      </w:r>
      <w:r>
        <w:rPr>
          <w:rFonts w:ascii="Times New Roman" w:hAnsi="Times New Roman" w:cs="Times New Roman"/>
          <w:i/>
          <w:sz w:val="24"/>
          <w:szCs w:val="24"/>
        </w:rPr>
        <w:t>Absa Bank</w:t>
      </w:r>
      <w:r>
        <w:rPr>
          <w:rFonts w:ascii="Times New Roman" w:hAnsi="Times New Roman" w:cs="Times New Roman"/>
          <w:sz w:val="24"/>
          <w:szCs w:val="24"/>
        </w:rPr>
        <w:t xml:space="preserve"> </w:t>
      </w:r>
      <w:r>
        <w:rPr>
          <w:rFonts w:ascii="Times New Roman" w:hAnsi="Times New Roman" w:cs="Times New Roman"/>
          <w:i/>
          <w:sz w:val="24"/>
          <w:szCs w:val="24"/>
        </w:rPr>
        <w:t xml:space="preserve">Ltd and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2003 (4) SA 315 (SCA), </w:t>
      </w:r>
      <w:proofErr w:type="spellStart"/>
      <w:r>
        <w:rPr>
          <w:rFonts w:ascii="Times New Roman" w:hAnsi="Times New Roman" w:cs="Times New Roman"/>
          <w:i/>
          <w:sz w:val="24"/>
          <w:szCs w:val="24"/>
        </w:rPr>
        <w:t>Madombwe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iCs/>
          <w:sz w:val="24"/>
          <w:szCs w:val="24"/>
        </w:rPr>
        <w:t>Rumbi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HH 354/15. </w:t>
      </w:r>
    </w:p>
    <w:p w:rsidR="00C472AA" w:rsidRDefault="006F4E4A">
      <w:pPr>
        <w:shd w:val="clear" w:color="auto" w:fill="FFFFFF"/>
        <w:spacing w:before="100" w:beforeAutospacing="1" w:after="100" w:afterAutospacing="1" w:line="360" w:lineRule="auto"/>
        <w:ind w:firstLine="720"/>
        <w:jc w:val="both"/>
        <w:rPr>
          <w:rFonts w:ascii="Times New Roman" w:hAnsi="Times New Roman" w:cs="Times New Roman"/>
          <w:color w:val="1F1F1F"/>
          <w:sz w:val="30"/>
          <w:szCs w:val="30"/>
          <w:shd w:val="clear" w:color="auto" w:fill="FFFFFF"/>
        </w:rPr>
      </w:pPr>
      <w:r>
        <w:rPr>
          <w:rFonts w:ascii="Times New Roman" w:hAnsi="Times New Roman" w:cs="Times New Roman"/>
          <w:sz w:val="24"/>
          <w:szCs w:val="24"/>
        </w:rPr>
        <w:t>The court must look at the evidence of the plaintiff to see if it covers all the elements</w:t>
      </w:r>
      <w:r>
        <w:rPr>
          <w:rFonts w:ascii="Times New Roman" w:hAnsi="Times New Roman" w:cs="Times New Roman"/>
          <w:sz w:val="24"/>
          <w:szCs w:val="24"/>
        </w:rPr>
        <w:t xml:space="preserve"> of the claim.</w:t>
      </w:r>
      <w:r>
        <w:rPr>
          <w:rFonts w:ascii="Times New Roman" w:hAnsi="Times New Roman" w:cs="Times New Roman"/>
          <w:color w:val="1F1F1F"/>
          <w:sz w:val="30"/>
          <w:szCs w:val="30"/>
          <w:shd w:val="clear" w:color="auto" w:fill="FFFFFF"/>
        </w:rPr>
        <w:t xml:space="preserve"> </w:t>
      </w:r>
    </w:p>
    <w:p w:rsidR="00C472AA" w:rsidRDefault="006F4E4A">
      <w:pPr>
        <w:shd w:val="clear" w:color="auto" w:fill="FFFFFF"/>
        <w:spacing w:before="100" w:beforeAutospacing="1" w:after="100" w:afterAutospacing="1" w:line="360" w:lineRule="auto"/>
        <w:ind w:firstLine="720"/>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In an application for a final interdict as the one sought by the plaintiff, the plaintiff has to establish </w:t>
      </w:r>
      <w:r>
        <w:rPr>
          <w:rFonts w:ascii="Times New Roman" w:hAnsi="Times New Roman" w:cs="Times New Roman"/>
          <w:color w:val="040C28"/>
          <w:sz w:val="24"/>
          <w:szCs w:val="24"/>
        </w:rPr>
        <w:t>firstly, a clear right, secondly, an actual or a reasonably apprehended injury and, thirdly, absence of any other remedy; see</w:t>
      </w:r>
      <w:r>
        <w:rPr>
          <w:rFonts w:ascii="Times New Roman" w:hAnsi="Times New Roman" w:cs="Times New Roman"/>
          <w:color w:val="1F1F1F"/>
          <w:sz w:val="24"/>
          <w:szCs w:val="24"/>
          <w:shd w:val="clear" w:color="auto" w:fill="FFFFFF"/>
        </w:rPr>
        <w:t> </w:t>
      </w:r>
      <w:proofErr w:type="spellStart"/>
      <w:r>
        <w:rPr>
          <w:rFonts w:ascii="Times New Roman" w:hAnsi="Times New Roman" w:cs="Times New Roman"/>
          <w:i/>
          <w:iCs/>
          <w:color w:val="1F1F1F"/>
          <w:sz w:val="24"/>
          <w:szCs w:val="24"/>
          <w:shd w:val="clear" w:color="auto" w:fill="FFFFFF"/>
        </w:rPr>
        <w:t>Setlogelo</w:t>
      </w:r>
      <w:proofErr w:type="spellEnd"/>
      <w:r>
        <w:rPr>
          <w:rFonts w:ascii="Times New Roman" w:hAnsi="Times New Roman" w:cs="Times New Roman"/>
          <w:color w:val="1F1F1F"/>
          <w:sz w:val="24"/>
          <w:szCs w:val="24"/>
          <w:shd w:val="clear" w:color="auto" w:fill="FFFFFF"/>
        </w:rPr>
        <w:t xml:space="preserve"> v </w:t>
      </w:r>
      <w:proofErr w:type="spellStart"/>
      <w:r>
        <w:rPr>
          <w:rFonts w:ascii="Times New Roman" w:hAnsi="Times New Roman" w:cs="Times New Roman"/>
          <w:i/>
          <w:iCs/>
          <w:color w:val="1F1F1F"/>
          <w:sz w:val="24"/>
          <w:szCs w:val="24"/>
          <w:shd w:val="clear" w:color="auto" w:fill="FFFFFF"/>
        </w:rPr>
        <w:t>Setlogelo</w:t>
      </w:r>
      <w:proofErr w:type="spellEnd"/>
      <w:r>
        <w:rPr>
          <w:rFonts w:ascii="Times New Roman" w:hAnsi="Times New Roman" w:cs="Times New Roman"/>
          <w:i/>
          <w:iCs/>
          <w:color w:val="1F1F1F"/>
          <w:sz w:val="24"/>
          <w:szCs w:val="24"/>
          <w:shd w:val="clear" w:color="auto" w:fill="FFFFFF"/>
        </w:rPr>
        <w:t xml:space="preserve"> </w:t>
      </w:r>
      <w:r>
        <w:rPr>
          <w:rFonts w:ascii="Times New Roman" w:hAnsi="Times New Roman" w:cs="Times New Roman"/>
          <w:color w:val="1F1F1F"/>
          <w:sz w:val="24"/>
          <w:szCs w:val="24"/>
          <w:shd w:val="clear" w:color="auto" w:fill="FFFFFF"/>
        </w:rPr>
        <w:t>1914 AD 221.</w:t>
      </w:r>
    </w:p>
    <w:p w:rsidR="00C472AA" w:rsidRDefault="006F4E4A">
      <w:pPr>
        <w:shd w:val="clear" w:color="auto" w:fill="FFFFFF"/>
        <w:spacing w:before="100" w:beforeAutospacing="1" w:after="100" w:afterAutospacing="1" w:line="360" w:lineRule="auto"/>
        <w:ind w:firstLine="720"/>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Mr</w:t>
      </w:r>
      <w:r>
        <w:rPr>
          <w:rFonts w:ascii="Times New Roman" w:hAnsi="Times New Roman" w:cs="Times New Roman"/>
          <w:i/>
          <w:iCs/>
          <w:color w:val="1F1F1F"/>
          <w:sz w:val="24"/>
          <w:szCs w:val="24"/>
          <w:shd w:val="clear" w:color="auto" w:fill="FFFFFF"/>
        </w:rPr>
        <w:t xml:space="preserve"> </w:t>
      </w:r>
      <w:proofErr w:type="spellStart"/>
      <w:r>
        <w:rPr>
          <w:rFonts w:ascii="Times New Roman" w:hAnsi="Times New Roman" w:cs="Times New Roman"/>
          <w:i/>
          <w:iCs/>
          <w:color w:val="1F1F1F"/>
          <w:sz w:val="24"/>
          <w:szCs w:val="24"/>
          <w:shd w:val="clear" w:color="auto" w:fill="FFFFFF"/>
        </w:rPr>
        <w:t>Kanengoni</w:t>
      </w:r>
      <w:proofErr w:type="spellEnd"/>
      <w:r>
        <w:rPr>
          <w:rFonts w:ascii="Times New Roman" w:hAnsi="Times New Roman" w:cs="Times New Roman"/>
          <w:color w:val="1F1F1F"/>
          <w:sz w:val="24"/>
          <w:szCs w:val="24"/>
          <w:shd w:val="clear" w:color="auto" w:fill="FFFFFF"/>
        </w:rPr>
        <w:t xml:space="preserve"> in the oral application for absolution from the instance argued that the evidence by the plaintiff fell short of proving these elements. </w:t>
      </w:r>
      <w:r>
        <w:rPr>
          <w:rFonts w:ascii="Times New Roman" w:hAnsi="Times New Roman" w:cs="Times New Roman"/>
          <w:color w:val="1F1F1F"/>
          <w:sz w:val="24"/>
          <w:szCs w:val="24"/>
          <w:shd w:val="clear" w:color="auto" w:fill="FFFFFF"/>
        </w:rPr>
        <w:t>Mr</w:t>
      </w:r>
      <w:r>
        <w:rPr>
          <w:rFonts w:ascii="Times New Roman" w:hAnsi="Times New Roman" w:cs="Times New Roman"/>
          <w:i/>
          <w:iCs/>
          <w:color w:val="1F1F1F"/>
          <w:sz w:val="24"/>
          <w:szCs w:val="24"/>
          <w:shd w:val="clear" w:color="auto" w:fill="FFFFFF"/>
        </w:rPr>
        <w:t xml:space="preserve"> </w:t>
      </w:r>
      <w:proofErr w:type="spellStart"/>
      <w:r>
        <w:rPr>
          <w:rFonts w:ascii="Times New Roman" w:hAnsi="Times New Roman" w:cs="Times New Roman"/>
          <w:i/>
          <w:iCs/>
          <w:color w:val="1F1F1F"/>
          <w:sz w:val="24"/>
          <w:szCs w:val="24"/>
          <w:shd w:val="clear" w:color="auto" w:fill="FFFFFF"/>
        </w:rPr>
        <w:t>Siyakurima</w:t>
      </w:r>
      <w:proofErr w:type="spellEnd"/>
      <w:r>
        <w:rPr>
          <w:rFonts w:ascii="Times New Roman" w:hAnsi="Times New Roman" w:cs="Times New Roman"/>
          <w:color w:val="1F1F1F"/>
          <w:sz w:val="24"/>
          <w:szCs w:val="24"/>
          <w:shd w:val="clear" w:color="auto" w:fill="FFFFFF"/>
        </w:rPr>
        <w:t xml:space="preserve"> argued otherwise.</w:t>
      </w:r>
    </w:p>
    <w:p w:rsidR="00C472AA" w:rsidRDefault="006F4E4A">
      <w:pPr>
        <w:shd w:val="clear" w:color="auto" w:fill="FFFFFF"/>
        <w:spacing w:before="100" w:beforeAutospacing="1" w:after="100" w:afterAutospacing="1" w:line="360" w:lineRule="auto"/>
        <w:ind w:firstLine="720"/>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Turning to the evidence lead from the p</w:t>
      </w:r>
      <w:r>
        <w:rPr>
          <w:rFonts w:ascii="Times New Roman" w:hAnsi="Times New Roman" w:cs="Times New Roman"/>
          <w:color w:val="1F1F1F"/>
          <w:sz w:val="24"/>
          <w:szCs w:val="24"/>
          <w:shd w:val="clear" w:color="auto" w:fill="FFFFFF"/>
        </w:rPr>
        <w:t xml:space="preserve">laintiff’s witnesses, on the requirement of a clear right, reliance was heavily put on the lease agreement with </w:t>
      </w:r>
      <w:proofErr w:type="spellStart"/>
      <w:r>
        <w:rPr>
          <w:rFonts w:ascii="Times New Roman" w:hAnsi="Times New Roman" w:cs="Times New Roman"/>
          <w:color w:val="1F1F1F"/>
          <w:sz w:val="24"/>
          <w:szCs w:val="24"/>
          <w:shd w:val="clear" w:color="auto" w:fill="FFFFFF"/>
        </w:rPr>
        <w:t>Chitungwiza</w:t>
      </w:r>
      <w:proofErr w:type="spellEnd"/>
      <w:r>
        <w:rPr>
          <w:rFonts w:ascii="Times New Roman" w:hAnsi="Times New Roman" w:cs="Times New Roman"/>
          <w:color w:val="1F1F1F"/>
          <w:sz w:val="24"/>
          <w:szCs w:val="24"/>
          <w:shd w:val="clear" w:color="auto" w:fill="FFFFFF"/>
        </w:rPr>
        <w:t xml:space="preserve"> Municipality which lease does not carry the plaintiff’s name as pleaded in this case. The witnesses who gave </w:t>
      </w:r>
      <w:r>
        <w:rPr>
          <w:rFonts w:ascii="Times New Roman" w:hAnsi="Times New Roman" w:cs="Times New Roman"/>
          <w:color w:val="1F1F1F"/>
          <w:sz w:val="24"/>
          <w:szCs w:val="24"/>
          <w:shd w:val="clear" w:color="auto" w:fill="FFFFFF"/>
        </w:rPr>
        <w:lastRenderedPageBreak/>
        <w:t>evidence had to explain</w:t>
      </w:r>
      <w:r>
        <w:rPr>
          <w:rFonts w:ascii="Times New Roman" w:hAnsi="Times New Roman" w:cs="Times New Roman"/>
          <w:color w:val="1F1F1F"/>
          <w:sz w:val="24"/>
          <w:szCs w:val="24"/>
          <w:shd w:val="clear" w:color="auto" w:fill="FFFFFF"/>
        </w:rPr>
        <w:t xml:space="preserve"> why this is so. They said despite this variance in names, the name on the lease agreement and the plaintiff are one and the same thing. Why they said so is because they claimed to be the legitimate successors of the church once led by </w:t>
      </w:r>
      <w:proofErr w:type="spellStart"/>
      <w:r>
        <w:rPr>
          <w:rFonts w:ascii="Times New Roman" w:hAnsi="Times New Roman" w:cs="Times New Roman"/>
          <w:color w:val="1F1F1F"/>
          <w:sz w:val="24"/>
          <w:szCs w:val="24"/>
          <w:shd w:val="clear" w:color="auto" w:fill="FFFFFF"/>
        </w:rPr>
        <w:t>Sandros</w:t>
      </w:r>
      <w:proofErr w:type="spellEnd"/>
      <w:r>
        <w:rPr>
          <w:rFonts w:ascii="Times New Roman" w:hAnsi="Times New Roman" w:cs="Times New Roman"/>
          <w:color w:val="1F1F1F"/>
          <w:sz w:val="24"/>
          <w:szCs w:val="24"/>
          <w:shd w:val="clear" w:color="auto" w:fill="FFFFFF"/>
        </w:rPr>
        <w:t>.</w:t>
      </w:r>
    </w:p>
    <w:p w:rsidR="00C472AA" w:rsidRDefault="006F4E4A">
      <w:pPr>
        <w:shd w:val="clear" w:color="auto" w:fill="FFFFFF"/>
        <w:spacing w:before="100" w:beforeAutospacing="1" w:after="100" w:afterAutospacing="1" w:line="360" w:lineRule="auto"/>
        <w:ind w:firstLine="720"/>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Despite the</w:t>
      </w:r>
      <w:r>
        <w:rPr>
          <w:rFonts w:ascii="Times New Roman" w:hAnsi="Times New Roman" w:cs="Times New Roman"/>
          <w:color w:val="1F1F1F"/>
          <w:sz w:val="24"/>
          <w:szCs w:val="24"/>
          <w:shd w:val="clear" w:color="auto" w:fill="FFFFFF"/>
        </w:rPr>
        <w:t>m having said so, the defendants on papers contest and also take a similar position. One can derive from the evidence of the plaintiff’s witnesses that this matter is beyond the mere question of an interdict. It has to do with who is the legitimate success</w:t>
      </w:r>
      <w:r>
        <w:rPr>
          <w:rFonts w:ascii="Times New Roman" w:hAnsi="Times New Roman" w:cs="Times New Roman"/>
          <w:color w:val="1F1F1F"/>
          <w:sz w:val="24"/>
          <w:szCs w:val="24"/>
          <w:shd w:val="clear" w:color="auto" w:fill="FFFFFF"/>
        </w:rPr>
        <w:t xml:space="preserve">or to the church which was led by </w:t>
      </w:r>
      <w:proofErr w:type="spellStart"/>
      <w:r>
        <w:rPr>
          <w:rFonts w:ascii="Times New Roman" w:hAnsi="Times New Roman" w:cs="Times New Roman"/>
          <w:color w:val="1F1F1F"/>
          <w:sz w:val="24"/>
          <w:szCs w:val="24"/>
          <w:shd w:val="clear" w:color="auto" w:fill="FFFFFF"/>
        </w:rPr>
        <w:t>Sandos</w:t>
      </w:r>
      <w:proofErr w:type="spellEnd"/>
      <w:r>
        <w:rPr>
          <w:rFonts w:ascii="Times New Roman" w:hAnsi="Times New Roman" w:cs="Times New Roman"/>
          <w:color w:val="1F1F1F"/>
          <w:sz w:val="24"/>
          <w:szCs w:val="24"/>
          <w:shd w:val="clear" w:color="auto" w:fill="FFFFFF"/>
        </w:rPr>
        <w:t>. In fact, in my view, this is the centre of the controversy. Who is the legitimate leader?</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have acted in the manner they did on the strength of the claim that they are the legitimate successors to </w:t>
      </w:r>
      <w:proofErr w:type="spellStart"/>
      <w:r>
        <w:rPr>
          <w:rFonts w:ascii="Times New Roman" w:hAnsi="Times New Roman" w:cs="Times New Roman"/>
          <w:sz w:val="24"/>
          <w:szCs w:val="24"/>
        </w:rPr>
        <w:t>San</w:t>
      </w:r>
      <w:r>
        <w:rPr>
          <w:rFonts w:ascii="Times New Roman" w:hAnsi="Times New Roman" w:cs="Times New Roman"/>
          <w:sz w:val="24"/>
          <w:szCs w:val="24"/>
        </w:rPr>
        <w:t>drosi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Nhamoyebonde’s</w:t>
      </w:r>
      <w:proofErr w:type="spellEnd"/>
      <w:r>
        <w:rPr>
          <w:rFonts w:ascii="Times New Roman" w:hAnsi="Times New Roman" w:cs="Times New Roman"/>
          <w:sz w:val="24"/>
          <w:szCs w:val="24"/>
        </w:rPr>
        <w:t xml:space="preserve"> church. The plaintiff equally claims to have the same rights. </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the issue of who is the rightful successor to the church and who is not is not one before this court. The court is merely asked by the plaintiff to interdict</w:t>
      </w:r>
      <w:r>
        <w:rPr>
          <w:rFonts w:ascii="Times New Roman" w:hAnsi="Times New Roman" w:cs="Times New Roman"/>
          <w:sz w:val="24"/>
          <w:szCs w:val="24"/>
        </w:rPr>
        <w:t xml:space="preserve"> the defendants. The evidence by the plaintiff goes towards the power struggle over leadership of the church and does not prove the requirement of a clear right on the part of the plaintiff.</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second requirement of an interdict, that of int</w:t>
      </w:r>
      <w:r>
        <w:rPr>
          <w:rFonts w:ascii="Times New Roman" w:hAnsi="Times New Roman" w:cs="Times New Roman"/>
          <w:sz w:val="24"/>
          <w:szCs w:val="24"/>
        </w:rPr>
        <w:t xml:space="preserve">erference, indeed the witnesses for the plaintiff have narrated events which they said were interference from the defendants at their crossover,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the allegations of cutting down of trees. The whole purpose of interdicting a party is on the assumption tha</w:t>
      </w:r>
      <w:r>
        <w:rPr>
          <w:rFonts w:ascii="Times New Roman" w:hAnsi="Times New Roman" w:cs="Times New Roman"/>
          <w:sz w:val="24"/>
          <w:szCs w:val="24"/>
        </w:rPr>
        <w:t>t there is continuity of the alleged unlawful act. It must be shown from the evidence that despite the acts not having continued, there is that propensity on the part of the defendant to further continue with the unlawful acts. The evidence from the witnes</w:t>
      </w:r>
      <w:r>
        <w:rPr>
          <w:rFonts w:ascii="Times New Roman" w:hAnsi="Times New Roman" w:cs="Times New Roman"/>
          <w:sz w:val="24"/>
          <w:szCs w:val="24"/>
        </w:rPr>
        <w:t>ses confirmed there has been a stoppage. In fact, the plaintiff has not had incidents of interference as far back as 2020 when those other events occurred. All the plaintiff’s witnesses have confirmed that the defendants are now conducting their business a</w:t>
      </w:r>
      <w:r>
        <w:rPr>
          <w:rFonts w:ascii="Times New Roman" w:hAnsi="Times New Roman" w:cs="Times New Roman"/>
          <w:sz w:val="24"/>
          <w:szCs w:val="24"/>
        </w:rPr>
        <w:t xml:space="preserve">way from the </w:t>
      </w:r>
      <w:proofErr w:type="spellStart"/>
      <w:r>
        <w:rPr>
          <w:rFonts w:ascii="Times New Roman" w:hAnsi="Times New Roman" w:cs="Times New Roman"/>
          <w:sz w:val="24"/>
          <w:szCs w:val="24"/>
        </w:rPr>
        <w:t>Nyatsine</w:t>
      </w:r>
      <w:proofErr w:type="spellEnd"/>
      <w:r>
        <w:rPr>
          <w:rFonts w:ascii="Times New Roman" w:hAnsi="Times New Roman" w:cs="Times New Roman"/>
          <w:sz w:val="24"/>
          <w:szCs w:val="24"/>
        </w:rPr>
        <w:t xml:space="preserve"> Shrine. If one were then to ask, what then is there to interdict if there is no continuity of the alleged unlawful act. Certainly, there is none.</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requirement is the absence of alternative remedy. It has neither been shown fr</w:t>
      </w:r>
      <w:r>
        <w:rPr>
          <w:rFonts w:ascii="Times New Roman" w:hAnsi="Times New Roman" w:cs="Times New Roman"/>
          <w:sz w:val="24"/>
          <w:szCs w:val="24"/>
        </w:rPr>
        <w:t xml:space="preserve">om the witness’s evidence nor submissions in respect of this application that there are no alternative remedies. In fact, in response </w:t>
      </w:r>
      <w:r>
        <w:rPr>
          <w:rFonts w:ascii="Times New Roman" w:hAnsi="Times New Roman" w:cs="Times New Roman"/>
          <w:sz w:val="24"/>
          <w:szCs w:val="24"/>
        </w:rPr>
        <w:t>Mr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Kanengoni</w:t>
      </w:r>
      <w:proofErr w:type="spellEnd"/>
      <w:r>
        <w:rPr>
          <w:rFonts w:ascii="Times New Roman" w:hAnsi="Times New Roman" w:cs="Times New Roman"/>
          <w:sz w:val="24"/>
          <w:szCs w:val="24"/>
        </w:rPr>
        <w:t xml:space="preserve"> was quick to address that aspect and </w:t>
      </w:r>
      <w:r>
        <w:rPr>
          <w:rFonts w:ascii="Times New Roman" w:hAnsi="Times New Roman" w:cs="Times New Roman"/>
          <w:sz w:val="24"/>
          <w:szCs w:val="24"/>
        </w:rPr>
        <w:lastRenderedPageBreak/>
        <w:t>show that in fact there are alternative remedies available to the plaintiff in the event the plaintiff acted in a similar way as earlier on complained.</w:t>
      </w:r>
    </w:p>
    <w:p w:rsidR="00C472AA" w:rsidRDefault="006F4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analysed the evidence of the plaintiff`s witnesses to this </w:t>
      </w:r>
      <w:r>
        <w:rPr>
          <w:rFonts w:ascii="Times New Roman" w:hAnsi="Times New Roman" w:cs="Times New Roman"/>
          <w:sz w:val="24"/>
          <w:szCs w:val="24"/>
        </w:rPr>
        <w:t>extend I see no point why the defendant must be placed on the witness stand to give evidence, because the evidence by the plaintiff itself falls short of covering the elements of an interdict. I found merit in the application for an absolution from the ins</w:t>
      </w:r>
      <w:r>
        <w:rPr>
          <w:rFonts w:ascii="Times New Roman" w:hAnsi="Times New Roman" w:cs="Times New Roman"/>
          <w:sz w:val="24"/>
          <w:szCs w:val="24"/>
        </w:rPr>
        <w:t xml:space="preserve">tance, which in my view, is properly taken as it does not in any way diminish or extinguish the rights of the parties to come back to this court if they are so advised. </w:t>
      </w:r>
    </w:p>
    <w:p w:rsidR="00C472AA" w:rsidRDefault="006F4E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In respect to the issue of costs, whilst the defendants asked for costs in this matt</w:t>
      </w:r>
      <w:r>
        <w:rPr>
          <w:rFonts w:ascii="Times New Roman" w:hAnsi="Times New Roman" w:cs="Times New Roman"/>
          <w:sz w:val="24"/>
          <w:szCs w:val="24"/>
        </w:rPr>
        <w:t xml:space="preserve">er, I did not think this was an appropriate case where either party should pay costs at all. Given the circumstances and nature of the kind of dispute between these two factions, there is no need for either party to pay costs.  </w:t>
      </w:r>
    </w:p>
    <w:p w:rsidR="00C472AA" w:rsidRDefault="00C472AA">
      <w:pPr>
        <w:shd w:val="clear" w:color="auto" w:fill="FFFFFF"/>
        <w:spacing w:before="100" w:beforeAutospacing="1" w:after="100" w:afterAutospacing="1" w:line="240" w:lineRule="auto"/>
        <w:ind w:firstLine="720"/>
        <w:jc w:val="both"/>
        <w:rPr>
          <w:rFonts w:ascii="Times New Roman" w:hAnsi="Times New Roman" w:cs="Times New Roman"/>
          <w:color w:val="1F1F1F"/>
          <w:shd w:val="clear" w:color="auto" w:fill="FFFFFF"/>
        </w:rPr>
      </w:pPr>
    </w:p>
    <w:p w:rsidR="00C472AA" w:rsidRDefault="00C472AA">
      <w:pPr>
        <w:shd w:val="clear" w:color="auto" w:fill="FFFFFF"/>
        <w:spacing w:before="100" w:beforeAutospacing="1" w:after="100" w:afterAutospacing="1" w:line="240" w:lineRule="auto"/>
        <w:ind w:firstLine="720"/>
        <w:jc w:val="both"/>
        <w:rPr>
          <w:rFonts w:ascii="Times New Roman" w:hAnsi="Times New Roman" w:cs="Times New Roman"/>
        </w:rPr>
      </w:pPr>
    </w:p>
    <w:p w:rsidR="00C472AA" w:rsidRDefault="00C472AA">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en-ZW"/>
        </w:rPr>
      </w:pPr>
    </w:p>
    <w:p w:rsidR="00C472AA" w:rsidRDefault="00C472A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ZW"/>
        </w:rPr>
      </w:pPr>
    </w:p>
    <w:p w:rsidR="00C472AA" w:rsidRDefault="006F4E4A">
      <w:pPr>
        <w:shd w:val="clear" w:color="auto" w:fill="FFFFFF"/>
        <w:spacing w:after="0" w:line="240" w:lineRule="auto"/>
        <w:jc w:val="both"/>
        <w:rPr>
          <w:rFonts w:ascii="Times New Roman" w:eastAsia="Times New Roman" w:hAnsi="Times New Roman" w:cs="Times New Roman"/>
          <w:sz w:val="24"/>
          <w:szCs w:val="24"/>
          <w:lang w:eastAsia="en-ZW"/>
        </w:rPr>
      </w:pPr>
      <w:proofErr w:type="spellStart"/>
      <w:r>
        <w:rPr>
          <w:rFonts w:ascii="Times New Roman" w:eastAsia="Times New Roman" w:hAnsi="Times New Roman" w:cs="Times New Roman"/>
          <w:i/>
          <w:iCs/>
          <w:sz w:val="24"/>
          <w:szCs w:val="24"/>
          <w:lang w:eastAsia="en-ZW"/>
        </w:rPr>
        <w:t>Chigwanda</w:t>
      </w:r>
      <w:proofErr w:type="spellEnd"/>
      <w:r>
        <w:rPr>
          <w:rFonts w:ascii="Times New Roman" w:eastAsia="Times New Roman" w:hAnsi="Times New Roman" w:cs="Times New Roman"/>
          <w:i/>
          <w:iCs/>
          <w:sz w:val="24"/>
          <w:szCs w:val="24"/>
          <w:lang w:eastAsia="en-ZW"/>
        </w:rPr>
        <w:t xml:space="preserve"> Legal </w:t>
      </w:r>
      <w:r>
        <w:rPr>
          <w:rFonts w:ascii="Times New Roman" w:eastAsia="Times New Roman" w:hAnsi="Times New Roman" w:cs="Times New Roman"/>
          <w:i/>
          <w:iCs/>
          <w:sz w:val="24"/>
          <w:szCs w:val="24"/>
          <w:lang w:eastAsia="en-ZW"/>
        </w:rPr>
        <w:t>Practitioners</w:t>
      </w:r>
      <w:r>
        <w:rPr>
          <w:rFonts w:ascii="Times New Roman" w:eastAsia="Times New Roman" w:hAnsi="Times New Roman" w:cs="Times New Roman"/>
          <w:sz w:val="24"/>
          <w:szCs w:val="24"/>
          <w:lang w:eastAsia="en-ZW"/>
        </w:rPr>
        <w:t>, the defendants’ legal practitioners</w:t>
      </w:r>
    </w:p>
    <w:p w:rsidR="00C472AA" w:rsidRDefault="006F4E4A">
      <w:pPr>
        <w:shd w:val="clear" w:color="auto" w:fill="FFFFFF"/>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i/>
          <w:iCs/>
          <w:sz w:val="24"/>
          <w:szCs w:val="24"/>
          <w:lang w:eastAsia="en-ZW"/>
        </w:rPr>
        <w:t xml:space="preserve">Sawyer and </w:t>
      </w:r>
      <w:proofErr w:type="spellStart"/>
      <w:r>
        <w:rPr>
          <w:rFonts w:ascii="Times New Roman" w:eastAsia="Times New Roman" w:hAnsi="Times New Roman" w:cs="Times New Roman"/>
          <w:i/>
          <w:iCs/>
          <w:sz w:val="24"/>
          <w:szCs w:val="24"/>
          <w:lang w:eastAsia="en-ZW"/>
        </w:rPr>
        <w:t>Mkushi</w:t>
      </w:r>
      <w:proofErr w:type="spellEnd"/>
      <w:r>
        <w:rPr>
          <w:rFonts w:ascii="Times New Roman" w:eastAsia="Times New Roman" w:hAnsi="Times New Roman" w:cs="Times New Roman"/>
          <w:sz w:val="24"/>
          <w:szCs w:val="24"/>
          <w:lang w:eastAsia="en-ZW"/>
        </w:rPr>
        <w:t>, the plaintiff’s legal practitioners</w:t>
      </w:r>
    </w:p>
    <w:p w:rsidR="00C472AA" w:rsidRDefault="00C472A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ZW"/>
        </w:rPr>
      </w:pPr>
    </w:p>
    <w:p w:rsidR="00C472AA" w:rsidRDefault="00C472A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ZW"/>
        </w:rPr>
      </w:pPr>
    </w:p>
    <w:p w:rsidR="00C472AA" w:rsidRDefault="00C472A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ZW"/>
        </w:rPr>
      </w:pPr>
    </w:p>
    <w:p w:rsidR="00C472AA" w:rsidRDefault="00C472AA">
      <w:pPr>
        <w:shd w:val="clear" w:color="auto" w:fill="FFFFFF"/>
        <w:spacing w:before="100" w:beforeAutospacing="1" w:after="100" w:afterAutospacing="1" w:line="240" w:lineRule="auto"/>
        <w:jc w:val="both"/>
        <w:rPr>
          <w:rFonts w:ascii="Times New Roman" w:hAnsi="Times New Roman" w:cs="Times New Roman"/>
          <w:sz w:val="24"/>
          <w:szCs w:val="24"/>
        </w:rPr>
      </w:pPr>
    </w:p>
    <w:p w:rsidR="00C472AA" w:rsidRDefault="00C472AA">
      <w:pPr>
        <w:shd w:val="clear" w:color="auto" w:fill="FFFFFF"/>
        <w:spacing w:before="100" w:beforeAutospacing="1" w:after="100" w:afterAutospacing="1" w:line="240" w:lineRule="auto"/>
        <w:jc w:val="both"/>
        <w:rPr>
          <w:rFonts w:ascii="Times New Roman" w:hAnsi="Times New Roman" w:cs="Times New Roman"/>
          <w:sz w:val="24"/>
          <w:szCs w:val="24"/>
        </w:rPr>
      </w:pPr>
    </w:p>
    <w:p w:rsidR="00C472AA" w:rsidRDefault="006F4E4A">
      <w:pPr>
        <w:shd w:val="clear" w:color="auto" w:fill="FFFFFF"/>
        <w:spacing w:before="100" w:beforeAutospacing="1" w:after="100" w:afterAutospacing="1" w:line="240" w:lineRule="auto"/>
        <w:jc w:val="both"/>
        <w:rPr>
          <w:rFonts w:ascii="Times New Roman" w:eastAsia="Times New Roman" w:hAnsi="Times New Roman" w:cs="Times New Roman"/>
          <w:color w:val="70AD47" w:themeColor="accent6"/>
          <w:sz w:val="24"/>
          <w:szCs w:val="24"/>
          <w:lang w:eastAsia="en-ZW"/>
        </w:rPr>
      </w:pPr>
      <w:r>
        <w:rPr>
          <w:rFonts w:ascii="Times New Roman" w:eastAsia="Times New Roman" w:hAnsi="Times New Roman" w:cs="Times New Roman"/>
          <w:color w:val="70AD47" w:themeColor="accent6"/>
          <w:sz w:val="24"/>
          <w:szCs w:val="24"/>
          <w:lang w:eastAsia="en-ZW"/>
        </w:rPr>
        <w:t> </w:t>
      </w:r>
    </w:p>
    <w:p w:rsidR="00C472AA" w:rsidRDefault="006F4E4A">
      <w:pPr>
        <w:shd w:val="clear" w:color="auto" w:fill="FFFFFF"/>
        <w:spacing w:after="150" w:line="240" w:lineRule="auto"/>
        <w:jc w:val="both"/>
        <w:rPr>
          <w:rFonts w:ascii="Times New Roman" w:eastAsia="Times New Roman" w:hAnsi="Times New Roman" w:cs="Times New Roman"/>
          <w:color w:val="70AD47" w:themeColor="accent6"/>
          <w:sz w:val="24"/>
          <w:szCs w:val="24"/>
          <w:lang w:eastAsia="en-ZW"/>
        </w:rPr>
      </w:pPr>
      <w:r>
        <w:rPr>
          <w:rFonts w:ascii="Times New Roman" w:eastAsia="Times New Roman" w:hAnsi="Times New Roman" w:cs="Times New Roman"/>
          <w:color w:val="70AD47" w:themeColor="accent6"/>
          <w:sz w:val="24"/>
          <w:szCs w:val="24"/>
          <w:lang w:eastAsia="en-ZW"/>
        </w:rPr>
        <w:t> </w:t>
      </w:r>
    </w:p>
    <w:sectPr w:rsidR="00C472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4A" w:rsidRDefault="006F4E4A">
      <w:pPr>
        <w:spacing w:line="240" w:lineRule="auto"/>
      </w:pPr>
      <w:r>
        <w:separator/>
      </w:r>
    </w:p>
  </w:endnote>
  <w:endnote w:type="continuationSeparator" w:id="0">
    <w:p w:rsidR="006F4E4A" w:rsidRDefault="006F4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4A" w:rsidRDefault="006F4E4A">
      <w:pPr>
        <w:spacing w:after="0"/>
      </w:pPr>
      <w:r>
        <w:separator/>
      </w:r>
    </w:p>
  </w:footnote>
  <w:footnote w:type="continuationSeparator" w:id="0">
    <w:p w:rsidR="006F4E4A" w:rsidRDefault="006F4E4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C472AA" w:rsidRDefault="006F4E4A">
        <w:pPr>
          <w:pStyle w:val="Header"/>
          <w:jc w:val="right"/>
        </w:pPr>
        <w:r>
          <w:fldChar w:fldCharType="begin"/>
        </w:r>
        <w:r>
          <w:instrText xml:space="preserve"> PAGE   \* MERGEFORMAT </w:instrText>
        </w:r>
        <w:r>
          <w:fldChar w:fldCharType="separate"/>
        </w:r>
        <w:r w:rsidR="003D7D1E">
          <w:rPr>
            <w:noProof/>
          </w:rPr>
          <w:t>5</w:t>
        </w:r>
        <w:r>
          <w:fldChar w:fldCharType="end"/>
        </w:r>
      </w:p>
      <w:p w:rsidR="00C472AA" w:rsidRDefault="008A3843">
        <w:pPr>
          <w:pStyle w:val="Header"/>
          <w:jc w:val="right"/>
          <w:rPr>
            <w:lang w:val="en-US"/>
          </w:rPr>
        </w:pPr>
        <w:r>
          <w:rPr>
            <w:lang w:val="en-US"/>
          </w:rPr>
          <w:t>HH 49</w:t>
        </w:r>
        <w:r w:rsidR="006F4E4A">
          <w:rPr>
            <w:lang w:val="en-US"/>
          </w:rPr>
          <w:t>9/24</w:t>
        </w:r>
      </w:p>
      <w:p w:rsidR="00C472AA" w:rsidRDefault="006F4E4A">
        <w:pPr>
          <w:pStyle w:val="Header"/>
          <w:jc w:val="right"/>
        </w:pPr>
        <w:r>
          <w:rPr>
            <w:lang w:val="en-US"/>
          </w:rPr>
          <w:t>HC 1365/18</w:t>
        </w:r>
      </w:p>
    </w:sdtContent>
  </w:sdt>
  <w:p w:rsidR="00C472AA" w:rsidRDefault="00C47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F3C73"/>
    <w:rsid w:val="00271C49"/>
    <w:rsid w:val="002C0F77"/>
    <w:rsid w:val="002D76E1"/>
    <w:rsid w:val="002E09A2"/>
    <w:rsid w:val="002F54D3"/>
    <w:rsid w:val="00357306"/>
    <w:rsid w:val="00375216"/>
    <w:rsid w:val="003763CE"/>
    <w:rsid w:val="003A2A15"/>
    <w:rsid w:val="003B4A3D"/>
    <w:rsid w:val="003D7D1E"/>
    <w:rsid w:val="00481232"/>
    <w:rsid w:val="00493685"/>
    <w:rsid w:val="004C490C"/>
    <w:rsid w:val="005568E2"/>
    <w:rsid w:val="005B5B9D"/>
    <w:rsid w:val="006010CB"/>
    <w:rsid w:val="00643FB9"/>
    <w:rsid w:val="00663A05"/>
    <w:rsid w:val="00675829"/>
    <w:rsid w:val="006C3BCE"/>
    <w:rsid w:val="006F4E4A"/>
    <w:rsid w:val="00737377"/>
    <w:rsid w:val="00757008"/>
    <w:rsid w:val="007C0491"/>
    <w:rsid w:val="007F3A72"/>
    <w:rsid w:val="008A3843"/>
    <w:rsid w:val="008C0E78"/>
    <w:rsid w:val="008E666E"/>
    <w:rsid w:val="008F6E30"/>
    <w:rsid w:val="009B0DD6"/>
    <w:rsid w:val="00A828D8"/>
    <w:rsid w:val="00AC7855"/>
    <w:rsid w:val="00B0398A"/>
    <w:rsid w:val="00B13083"/>
    <w:rsid w:val="00B14700"/>
    <w:rsid w:val="00B3430D"/>
    <w:rsid w:val="00C1652E"/>
    <w:rsid w:val="00C472AA"/>
    <w:rsid w:val="00CE629A"/>
    <w:rsid w:val="00D05ED9"/>
    <w:rsid w:val="00D35D0E"/>
    <w:rsid w:val="00D471E7"/>
    <w:rsid w:val="00D47AE4"/>
    <w:rsid w:val="00DB1F8B"/>
    <w:rsid w:val="00E13CF5"/>
    <w:rsid w:val="00E1411A"/>
    <w:rsid w:val="00F22B58"/>
    <w:rsid w:val="00F3203E"/>
    <w:rsid w:val="00F37034"/>
    <w:rsid w:val="00F54663"/>
    <w:rsid w:val="00F81351"/>
    <w:rsid w:val="00FB48C5"/>
    <w:rsid w:val="00FB72A6"/>
    <w:rsid w:val="021C6B5B"/>
    <w:rsid w:val="07215F41"/>
    <w:rsid w:val="087040DB"/>
    <w:rsid w:val="08AB5A48"/>
    <w:rsid w:val="11670D99"/>
    <w:rsid w:val="268009F9"/>
    <w:rsid w:val="26AC2D80"/>
    <w:rsid w:val="285A2EFD"/>
    <w:rsid w:val="2F3017FB"/>
    <w:rsid w:val="3D833971"/>
    <w:rsid w:val="50BB2D6C"/>
    <w:rsid w:val="6E0A574E"/>
    <w:rsid w:val="753C1C4E"/>
    <w:rsid w:val="765D5CB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721E"/>
  <w15:docId w15:val="{BEF5E42F-C3BB-447E-9A14-7DED09FC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208F1-D6E0-4FF5-BF4C-BA77CED0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3</cp:revision>
  <cp:lastPrinted>2024-11-06T09:12:00Z</cp:lastPrinted>
  <dcterms:created xsi:type="dcterms:W3CDTF">2024-11-08T09:18:00Z</dcterms:created>
  <dcterms:modified xsi:type="dcterms:W3CDTF">2024-11-08T09:18:00Z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6341220A2E0F4FDCB256AA914C43E7CF_13</vt:lpwstr>
  </property>
</Properties>
</file>