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132" w:rsidRDefault="00680132" w:rsidP="0080134A">
      <w:pPr>
        <w:pStyle w:val="NoSpacing"/>
        <w:jc w:val="both"/>
        <w:rPr>
          <w:b/>
        </w:rPr>
      </w:pPr>
      <w:r>
        <w:rPr>
          <w:b/>
        </w:rPr>
        <w:t>JIN YANG AFRICA (PRIVATE) LIMITED</w:t>
      </w:r>
    </w:p>
    <w:p w:rsidR="00680132" w:rsidRDefault="00680132" w:rsidP="0080134A">
      <w:pPr>
        <w:pStyle w:val="NoSpacing"/>
        <w:jc w:val="both"/>
        <w:rPr>
          <w:b/>
        </w:rPr>
      </w:pPr>
    </w:p>
    <w:p w:rsidR="00680132" w:rsidRDefault="00680132" w:rsidP="0080134A">
      <w:pPr>
        <w:pStyle w:val="NoSpacing"/>
        <w:jc w:val="both"/>
        <w:rPr>
          <w:b/>
        </w:rPr>
      </w:pPr>
      <w:r>
        <w:rPr>
          <w:b/>
        </w:rPr>
        <w:t>Versus</w:t>
      </w:r>
    </w:p>
    <w:p w:rsidR="00680132" w:rsidRDefault="00680132" w:rsidP="0080134A">
      <w:pPr>
        <w:pStyle w:val="NoSpacing"/>
        <w:jc w:val="both"/>
        <w:rPr>
          <w:b/>
        </w:rPr>
      </w:pPr>
    </w:p>
    <w:p w:rsidR="00680132" w:rsidRDefault="00680132" w:rsidP="0080134A">
      <w:pPr>
        <w:pStyle w:val="NoSpacing"/>
        <w:jc w:val="both"/>
        <w:rPr>
          <w:b/>
        </w:rPr>
      </w:pPr>
      <w:r>
        <w:rPr>
          <w:b/>
        </w:rPr>
        <w:t>ANGELA CHANDAENGERWA (N.O)</w:t>
      </w:r>
    </w:p>
    <w:p w:rsidR="00680132" w:rsidRDefault="00680132" w:rsidP="0080134A">
      <w:pPr>
        <w:pStyle w:val="NoSpacing"/>
        <w:jc w:val="both"/>
        <w:rPr>
          <w:b/>
        </w:rPr>
      </w:pPr>
      <w:r>
        <w:rPr>
          <w:b/>
        </w:rPr>
        <w:t>(In her capacity as the Executrix Dative for Estate Late</w:t>
      </w:r>
    </w:p>
    <w:p w:rsidR="00680132" w:rsidRDefault="00680132" w:rsidP="0080134A">
      <w:pPr>
        <w:pStyle w:val="NoSpacing"/>
        <w:jc w:val="both"/>
        <w:rPr>
          <w:b/>
        </w:rPr>
      </w:pPr>
      <w:r>
        <w:rPr>
          <w:b/>
        </w:rPr>
        <w:t xml:space="preserve">George </w:t>
      </w:r>
      <w:proofErr w:type="spellStart"/>
      <w:r>
        <w:rPr>
          <w:b/>
        </w:rPr>
        <w:t>Makurira</w:t>
      </w:r>
      <w:proofErr w:type="spellEnd"/>
      <w:r>
        <w:rPr>
          <w:b/>
        </w:rPr>
        <w:t>)</w:t>
      </w:r>
    </w:p>
    <w:p w:rsidR="00680132" w:rsidRDefault="00680132" w:rsidP="0080134A">
      <w:pPr>
        <w:pStyle w:val="NoSpacing"/>
        <w:jc w:val="both"/>
        <w:rPr>
          <w:b/>
        </w:rPr>
      </w:pPr>
    </w:p>
    <w:p w:rsidR="00680132" w:rsidRDefault="00680132" w:rsidP="0080134A">
      <w:pPr>
        <w:pStyle w:val="NoSpacing"/>
        <w:jc w:val="both"/>
        <w:rPr>
          <w:b/>
        </w:rPr>
      </w:pPr>
      <w:r>
        <w:rPr>
          <w:b/>
        </w:rPr>
        <w:t>And</w:t>
      </w:r>
    </w:p>
    <w:p w:rsidR="00680132" w:rsidRDefault="00680132" w:rsidP="0080134A">
      <w:pPr>
        <w:pStyle w:val="NoSpacing"/>
        <w:jc w:val="both"/>
        <w:rPr>
          <w:b/>
        </w:rPr>
      </w:pPr>
    </w:p>
    <w:p w:rsidR="00680132" w:rsidRDefault="00680132" w:rsidP="0080134A">
      <w:pPr>
        <w:pStyle w:val="NoSpacing"/>
        <w:jc w:val="both"/>
        <w:rPr>
          <w:b/>
        </w:rPr>
      </w:pPr>
      <w:r>
        <w:rPr>
          <w:b/>
        </w:rPr>
        <w:t>THE PROVINCIAL MINING DIRECTOR, MIDLANDS</w:t>
      </w:r>
    </w:p>
    <w:p w:rsidR="00680132" w:rsidRDefault="00680132" w:rsidP="0080134A">
      <w:pPr>
        <w:pStyle w:val="NoSpacing"/>
        <w:jc w:val="both"/>
        <w:rPr>
          <w:b/>
        </w:rPr>
      </w:pPr>
    </w:p>
    <w:p w:rsidR="00680132" w:rsidRDefault="00680132" w:rsidP="0080134A">
      <w:pPr>
        <w:pStyle w:val="NoSpacing"/>
        <w:jc w:val="both"/>
        <w:rPr>
          <w:b/>
        </w:rPr>
      </w:pPr>
      <w:r>
        <w:rPr>
          <w:b/>
        </w:rPr>
        <w:t>And</w:t>
      </w:r>
    </w:p>
    <w:p w:rsidR="00680132" w:rsidRDefault="00680132" w:rsidP="0080134A">
      <w:pPr>
        <w:pStyle w:val="NoSpacing"/>
        <w:jc w:val="both"/>
        <w:rPr>
          <w:b/>
        </w:rPr>
      </w:pPr>
    </w:p>
    <w:p w:rsidR="00680132" w:rsidRDefault="00680132" w:rsidP="0080134A">
      <w:pPr>
        <w:pStyle w:val="NoSpacing"/>
        <w:jc w:val="both"/>
        <w:rPr>
          <w:b/>
        </w:rPr>
      </w:pPr>
      <w:r>
        <w:rPr>
          <w:b/>
        </w:rPr>
        <w:t>THE MINISTER OF MINES AND MINING</w:t>
      </w:r>
    </w:p>
    <w:p w:rsidR="00680132" w:rsidRDefault="00680132" w:rsidP="0080134A">
      <w:pPr>
        <w:pStyle w:val="NoSpacing"/>
        <w:jc w:val="both"/>
        <w:rPr>
          <w:b/>
        </w:rPr>
      </w:pPr>
      <w:r>
        <w:rPr>
          <w:b/>
        </w:rPr>
        <w:t>DEVELOPMENT (N.O)</w:t>
      </w:r>
    </w:p>
    <w:p w:rsidR="00680132" w:rsidRDefault="00680132" w:rsidP="0080134A">
      <w:pPr>
        <w:jc w:val="both"/>
        <w:rPr>
          <w:rFonts w:ascii="Times New Roman" w:hAnsi="Times New Roman" w:cs="Times New Roman"/>
          <w:sz w:val="24"/>
          <w:szCs w:val="24"/>
          <w:lang w:val="en-US"/>
        </w:rPr>
      </w:pPr>
    </w:p>
    <w:p w:rsidR="00680132" w:rsidRDefault="00680132" w:rsidP="0080134A">
      <w:pPr>
        <w:pStyle w:val="NoSpacing"/>
        <w:jc w:val="both"/>
      </w:pPr>
      <w:r>
        <w:t>IN THE HIGH COURT OF ZIMBABWE</w:t>
      </w:r>
    </w:p>
    <w:p w:rsidR="00680132" w:rsidRDefault="00680132" w:rsidP="0080134A">
      <w:pPr>
        <w:pStyle w:val="NoSpacing"/>
        <w:jc w:val="both"/>
      </w:pPr>
      <w:r>
        <w:t>MAKONESE J</w:t>
      </w:r>
    </w:p>
    <w:p w:rsidR="00680132" w:rsidRDefault="00680132" w:rsidP="0080134A">
      <w:pPr>
        <w:pStyle w:val="NoSpacing"/>
        <w:jc w:val="both"/>
      </w:pPr>
      <w:r>
        <w:t xml:space="preserve">BULAWAYO 6 AUGUST AND </w:t>
      </w:r>
      <w:r w:rsidR="0076367E">
        <w:t>6 SEPTEMBER 2021</w:t>
      </w:r>
    </w:p>
    <w:p w:rsidR="00680132" w:rsidRDefault="00680132" w:rsidP="0080134A">
      <w:pPr>
        <w:pStyle w:val="NoSpacing"/>
        <w:jc w:val="both"/>
      </w:pPr>
    </w:p>
    <w:p w:rsidR="00680132" w:rsidRDefault="00680132" w:rsidP="0080134A">
      <w:pPr>
        <w:pStyle w:val="NoSpacing"/>
        <w:jc w:val="both"/>
        <w:rPr>
          <w:b/>
        </w:rPr>
      </w:pPr>
      <w:r>
        <w:rPr>
          <w:b/>
        </w:rPr>
        <w:t>Urgent Chamber Application</w:t>
      </w:r>
    </w:p>
    <w:p w:rsidR="00680132" w:rsidRDefault="00680132" w:rsidP="0080134A">
      <w:pPr>
        <w:pStyle w:val="NoSpacing"/>
        <w:jc w:val="both"/>
      </w:pPr>
    </w:p>
    <w:p w:rsidR="00680132" w:rsidRDefault="00680132" w:rsidP="0080134A">
      <w:pPr>
        <w:pStyle w:val="NoSpacing"/>
        <w:jc w:val="both"/>
      </w:pPr>
      <w:r>
        <w:rPr>
          <w:i/>
        </w:rPr>
        <w:t xml:space="preserve">C. </w:t>
      </w:r>
      <w:proofErr w:type="spellStart"/>
      <w:r>
        <w:rPr>
          <w:i/>
        </w:rPr>
        <w:t>Makwara</w:t>
      </w:r>
      <w:proofErr w:type="spellEnd"/>
      <w:r>
        <w:rPr>
          <w:i/>
        </w:rPr>
        <w:t xml:space="preserve"> with R. </w:t>
      </w:r>
      <w:proofErr w:type="spellStart"/>
      <w:r>
        <w:rPr>
          <w:i/>
        </w:rPr>
        <w:t>Sithombe</w:t>
      </w:r>
      <w:proofErr w:type="spellEnd"/>
      <w:r>
        <w:rPr>
          <w:i/>
        </w:rPr>
        <w:t>,</w:t>
      </w:r>
      <w:r>
        <w:t xml:space="preserve"> for the applicant</w:t>
      </w:r>
    </w:p>
    <w:p w:rsidR="00680132" w:rsidRDefault="00680132" w:rsidP="0080134A">
      <w:pPr>
        <w:pStyle w:val="NoSpacing"/>
        <w:jc w:val="both"/>
      </w:pPr>
      <w:r>
        <w:rPr>
          <w:i/>
        </w:rPr>
        <w:t xml:space="preserve">J. </w:t>
      </w:r>
      <w:proofErr w:type="spellStart"/>
      <w:r>
        <w:rPr>
          <w:i/>
        </w:rPr>
        <w:t>Madotsa</w:t>
      </w:r>
      <w:proofErr w:type="spellEnd"/>
      <w:r>
        <w:rPr>
          <w:i/>
        </w:rPr>
        <w:t xml:space="preserve">, </w:t>
      </w:r>
      <w:r>
        <w:t xml:space="preserve">for the </w:t>
      </w:r>
      <w:r w:rsidR="008A1F41">
        <w:t>1</w:t>
      </w:r>
      <w:r w:rsidR="008A1F41" w:rsidRPr="008A1F41">
        <w:rPr>
          <w:vertAlign w:val="superscript"/>
        </w:rPr>
        <w:t>st</w:t>
      </w:r>
      <w:r w:rsidR="008A1F41">
        <w:t xml:space="preserve"> </w:t>
      </w:r>
      <w:r>
        <w:t>respondent</w:t>
      </w:r>
    </w:p>
    <w:p w:rsidR="00680132" w:rsidRDefault="00680132" w:rsidP="0080134A">
      <w:pPr>
        <w:autoSpaceDE w:val="0"/>
        <w:autoSpaceDN w:val="0"/>
        <w:adjustRightInd w:val="0"/>
        <w:spacing w:after="0" w:line="360" w:lineRule="auto"/>
        <w:ind w:firstLine="720"/>
        <w:jc w:val="both"/>
        <w:rPr>
          <w:rFonts w:ascii="Times New Roman" w:hAnsi="Times New Roman" w:cs="Times New Roman"/>
          <w:sz w:val="24"/>
          <w:szCs w:val="24"/>
        </w:rPr>
      </w:pPr>
    </w:p>
    <w:p w:rsidR="00223694" w:rsidRDefault="00680132" w:rsidP="0080134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 xml:space="preserve"> </w:t>
      </w:r>
      <w:r>
        <w:rPr>
          <w:rFonts w:ascii="Times New Roman" w:hAnsi="Times New Roman" w:cs="Times New Roman"/>
          <w:sz w:val="24"/>
          <w:szCs w:val="24"/>
        </w:rPr>
        <w:tab/>
        <w:t>This is an urgent chamber application framed by the applicant as an urgent chamber application for a temporary interdict and consequential relief on the return date.  The draft order is for the following relief:-</w:t>
      </w:r>
    </w:p>
    <w:p w:rsidR="00680132" w:rsidRPr="008A1F41" w:rsidRDefault="00680132" w:rsidP="008A1F41">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8A1F41">
        <w:rPr>
          <w:rFonts w:ascii="Times New Roman" w:hAnsi="Times New Roman" w:cs="Times New Roman"/>
          <w:b/>
          <w:sz w:val="24"/>
          <w:szCs w:val="24"/>
        </w:rPr>
        <w:t>TERMS OF INTERIM RELIEF</w:t>
      </w:r>
    </w:p>
    <w:p w:rsidR="00680132" w:rsidRDefault="00680132" w:rsidP="008A1F4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finalisation of this matter, the applicant is granted the following interim relief:-</w:t>
      </w:r>
    </w:p>
    <w:p w:rsidR="00962638" w:rsidRDefault="00962638"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That the first respondent and all those claiming occupation through her be and are hereby interdicted from conducting any mining operations and/or collecting any mining ores from </w:t>
      </w:r>
      <w:proofErr w:type="spellStart"/>
      <w:r>
        <w:rPr>
          <w:rFonts w:ascii="Times New Roman" w:hAnsi="Times New Roman" w:cs="Times New Roman"/>
          <w:sz w:val="24"/>
          <w:szCs w:val="24"/>
        </w:rPr>
        <w:t>Bonsor</w:t>
      </w:r>
      <w:proofErr w:type="spellEnd"/>
      <w:r>
        <w:rPr>
          <w:rFonts w:ascii="Times New Roman" w:hAnsi="Times New Roman" w:cs="Times New Roman"/>
          <w:sz w:val="24"/>
          <w:szCs w:val="24"/>
        </w:rPr>
        <w:t xml:space="preserve"> SW mine and/or Olympia 7 mine forthwith. </w:t>
      </w:r>
    </w:p>
    <w:p w:rsidR="003C0C7A" w:rsidRDefault="00962638"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second and third respondents be and are hereby ordered to </w:t>
      </w:r>
      <w:r w:rsidR="003C0C7A">
        <w:rPr>
          <w:rFonts w:ascii="Times New Roman" w:hAnsi="Times New Roman" w:cs="Times New Roman"/>
          <w:sz w:val="24"/>
          <w:szCs w:val="24"/>
        </w:rPr>
        <w:t xml:space="preserve">enlist the services of the Chief Mining Surveyor and for the Chief Government Engineer, and/or their lawful assigns, to go to a ground verification exercise and define the rights of both the applicant and first respondent with regards their mining claims being </w:t>
      </w:r>
      <w:proofErr w:type="spellStart"/>
      <w:r w:rsidR="003C0C7A">
        <w:rPr>
          <w:rFonts w:ascii="Times New Roman" w:hAnsi="Times New Roman" w:cs="Times New Roman"/>
          <w:sz w:val="24"/>
          <w:szCs w:val="24"/>
        </w:rPr>
        <w:t>Bonsor</w:t>
      </w:r>
      <w:proofErr w:type="spellEnd"/>
      <w:r w:rsidR="003C0C7A">
        <w:rPr>
          <w:rFonts w:ascii="Times New Roman" w:hAnsi="Times New Roman" w:cs="Times New Roman"/>
          <w:sz w:val="24"/>
          <w:szCs w:val="24"/>
        </w:rPr>
        <w:t xml:space="preserve"> N, </w:t>
      </w:r>
      <w:proofErr w:type="spellStart"/>
      <w:r w:rsidR="003C0C7A">
        <w:rPr>
          <w:rFonts w:ascii="Times New Roman" w:hAnsi="Times New Roman" w:cs="Times New Roman"/>
          <w:sz w:val="24"/>
          <w:szCs w:val="24"/>
        </w:rPr>
        <w:t>Bonsor</w:t>
      </w:r>
      <w:proofErr w:type="spellEnd"/>
      <w:r w:rsidR="003C0C7A">
        <w:rPr>
          <w:rFonts w:ascii="Times New Roman" w:hAnsi="Times New Roman" w:cs="Times New Roman"/>
          <w:sz w:val="24"/>
          <w:szCs w:val="24"/>
        </w:rPr>
        <w:t xml:space="preserve"> SW, </w:t>
      </w:r>
      <w:proofErr w:type="spellStart"/>
      <w:r w:rsidR="003C0C7A">
        <w:rPr>
          <w:rFonts w:ascii="Times New Roman" w:hAnsi="Times New Roman" w:cs="Times New Roman"/>
          <w:sz w:val="24"/>
          <w:szCs w:val="24"/>
        </w:rPr>
        <w:t>Bonsor</w:t>
      </w:r>
      <w:proofErr w:type="spellEnd"/>
      <w:r w:rsidR="003C0C7A">
        <w:rPr>
          <w:rFonts w:ascii="Times New Roman" w:hAnsi="Times New Roman" w:cs="Times New Roman"/>
          <w:sz w:val="24"/>
          <w:szCs w:val="24"/>
        </w:rPr>
        <w:t xml:space="preserve"> S and Olympia 7 mine </w:t>
      </w:r>
      <w:r w:rsidR="003C0C7A" w:rsidRPr="008A1F41">
        <w:rPr>
          <w:rFonts w:ascii="Times New Roman" w:hAnsi="Times New Roman" w:cs="Times New Roman"/>
          <w:i/>
          <w:sz w:val="24"/>
          <w:szCs w:val="24"/>
        </w:rPr>
        <w:t>vis-à-vis</w:t>
      </w:r>
      <w:r w:rsidR="003C0C7A">
        <w:rPr>
          <w:rFonts w:ascii="Times New Roman" w:hAnsi="Times New Roman" w:cs="Times New Roman"/>
          <w:sz w:val="24"/>
          <w:szCs w:val="24"/>
        </w:rPr>
        <w:t xml:space="preserve"> their respective locations.  Thereafter, they will have to compile a detailed report </w:t>
      </w:r>
      <w:r w:rsidR="003C0C7A">
        <w:rPr>
          <w:rFonts w:ascii="Times New Roman" w:hAnsi="Times New Roman" w:cs="Times New Roman"/>
          <w:sz w:val="24"/>
          <w:szCs w:val="24"/>
        </w:rPr>
        <w:lastRenderedPageBreak/>
        <w:t>of their findings.  This should be done within seven (7) days of the granting of this order.</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second respondent is hereby ordered to then file the detailed report with this court within three (3) days of receiving the report in (b) above.</w:t>
      </w:r>
    </w:p>
    <w:p w:rsidR="00962638"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Thereafter, parties will come back to the court for a decision to be made with regards the alleged encroachment. </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gramStart"/>
      <w:r>
        <w:rPr>
          <w:rFonts w:ascii="Times New Roman" w:hAnsi="Times New Roman" w:cs="Times New Roman"/>
          <w:sz w:val="24"/>
          <w:szCs w:val="24"/>
        </w:rPr>
        <w:t>costs</w:t>
      </w:r>
      <w:proofErr w:type="gramEnd"/>
      <w:r>
        <w:rPr>
          <w:rFonts w:ascii="Times New Roman" w:hAnsi="Times New Roman" w:cs="Times New Roman"/>
          <w:sz w:val="24"/>
          <w:szCs w:val="24"/>
        </w:rPr>
        <w:t xml:space="preserve"> of this order to be in the main cause.</w:t>
      </w:r>
    </w:p>
    <w:p w:rsidR="003C0C7A" w:rsidRPr="008A1F41" w:rsidRDefault="003C0C7A" w:rsidP="008A1F41">
      <w:pPr>
        <w:spacing w:line="240" w:lineRule="auto"/>
        <w:ind w:left="1440" w:hanging="720"/>
        <w:jc w:val="both"/>
        <w:rPr>
          <w:rFonts w:ascii="Times New Roman" w:hAnsi="Times New Roman" w:cs="Times New Roman"/>
          <w:b/>
          <w:sz w:val="24"/>
          <w:szCs w:val="24"/>
        </w:rPr>
      </w:pPr>
      <w:r w:rsidRPr="008A1F41">
        <w:rPr>
          <w:rFonts w:ascii="Times New Roman" w:hAnsi="Times New Roman" w:cs="Times New Roman"/>
          <w:b/>
          <w:sz w:val="24"/>
          <w:szCs w:val="24"/>
        </w:rPr>
        <w:t>TERMS OF FINAL ORDER SOUGHT</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the provisional order be and is hereby confirmed.</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first respondent be and is hereby found to have encroached into applicant’s mining claim.</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That the first respondent’s registration certificate in respect to Olympia 7 mine, registration number 24678 be and is hereby cancelled.</w:t>
      </w:r>
    </w:p>
    <w:p w:rsidR="003C0C7A" w:rsidRDefault="003C0C7A"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first respondent and all those claiming occupation through her, be and</w:t>
      </w:r>
      <w:r w:rsidR="0060754B">
        <w:rPr>
          <w:rFonts w:ascii="Times New Roman" w:hAnsi="Times New Roman" w:cs="Times New Roman"/>
          <w:sz w:val="24"/>
          <w:szCs w:val="24"/>
        </w:rPr>
        <w:t xml:space="preserve"> are hereby permanently interdicted from accessing, entering into, conducting any mining activities within/ and or interfere in any way with applicant’s mining claims without applicant’s authority.</w:t>
      </w:r>
    </w:p>
    <w:p w:rsidR="0060754B" w:rsidRDefault="0060754B" w:rsidP="008A1F4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That the respondent be ordered to pay costs of suit on an attorney and client scale if opposed to the granting of the order.”</w:t>
      </w:r>
    </w:p>
    <w:p w:rsidR="0060754B" w:rsidRDefault="0060754B" w:rsidP="0080134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w:t>
      </w:r>
      <w:r w:rsidR="008A1F41">
        <w:rPr>
          <w:rFonts w:ascii="Times New Roman" w:hAnsi="Times New Roman" w:cs="Times New Roman"/>
          <w:sz w:val="24"/>
          <w:szCs w:val="24"/>
        </w:rPr>
        <w:t>h</w:t>
      </w:r>
      <w:r>
        <w:rPr>
          <w:rFonts w:ascii="Times New Roman" w:hAnsi="Times New Roman" w:cs="Times New Roman"/>
          <w:sz w:val="24"/>
          <w:szCs w:val="24"/>
        </w:rPr>
        <w:t>is application is opposed by the 1</w:t>
      </w:r>
      <w:r w:rsidRPr="006075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0754B" w:rsidRPr="000402BA" w:rsidRDefault="0060754B" w:rsidP="0080134A">
      <w:pPr>
        <w:spacing w:line="360" w:lineRule="auto"/>
        <w:ind w:left="1440" w:hanging="720"/>
        <w:jc w:val="both"/>
        <w:rPr>
          <w:rFonts w:ascii="Times New Roman" w:hAnsi="Times New Roman" w:cs="Times New Roman"/>
          <w:b/>
          <w:sz w:val="24"/>
          <w:szCs w:val="24"/>
        </w:rPr>
      </w:pPr>
      <w:r w:rsidRPr="000402BA">
        <w:rPr>
          <w:rFonts w:ascii="Times New Roman" w:hAnsi="Times New Roman" w:cs="Times New Roman"/>
          <w:b/>
          <w:sz w:val="24"/>
          <w:szCs w:val="24"/>
        </w:rPr>
        <w:t>FACTUAL BACKGROUND</w:t>
      </w:r>
    </w:p>
    <w:p w:rsidR="0060754B" w:rsidRDefault="0060754B"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the 1</w:t>
      </w:r>
      <w:r w:rsidRPr="006075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have filed numerous applications in this court relating to the same dispute.  Essentially applicant and 1</w:t>
      </w:r>
      <w:r w:rsidRPr="006075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own mining claims adjacent to each other.  Applicant owns </w:t>
      </w:r>
      <w:proofErr w:type="spellStart"/>
      <w:r>
        <w:rPr>
          <w:rFonts w:ascii="Times New Roman" w:hAnsi="Times New Roman" w:cs="Times New Roman"/>
          <w:sz w:val="24"/>
          <w:szCs w:val="24"/>
        </w:rPr>
        <w:t>Bonsor</w:t>
      </w:r>
      <w:proofErr w:type="spellEnd"/>
      <w:r>
        <w:rPr>
          <w:rFonts w:ascii="Times New Roman" w:hAnsi="Times New Roman" w:cs="Times New Roman"/>
          <w:sz w:val="24"/>
          <w:szCs w:val="24"/>
        </w:rPr>
        <w:t xml:space="preserve"> South and </w:t>
      </w:r>
      <w:proofErr w:type="spellStart"/>
      <w:r>
        <w:rPr>
          <w:rFonts w:ascii="Times New Roman" w:hAnsi="Times New Roman" w:cs="Times New Roman"/>
          <w:sz w:val="24"/>
          <w:szCs w:val="24"/>
        </w:rPr>
        <w:t>Bonsor</w:t>
      </w:r>
      <w:proofErr w:type="spellEnd"/>
      <w:r>
        <w:rPr>
          <w:rFonts w:ascii="Times New Roman" w:hAnsi="Times New Roman" w:cs="Times New Roman"/>
          <w:sz w:val="24"/>
          <w:szCs w:val="24"/>
        </w:rPr>
        <w:t xml:space="preserve"> South West mines.  1</w:t>
      </w:r>
      <w:r w:rsidRPr="006075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 holder of mining claims known as Olympia 7 mine.  This mining dispute has been raging since September 2015.  Recent disputes have</w:t>
      </w:r>
      <w:r w:rsidR="00387805">
        <w:rPr>
          <w:rFonts w:ascii="Times New Roman" w:hAnsi="Times New Roman" w:cs="Times New Roman"/>
          <w:sz w:val="24"/>
          <w:szCs w:val="24"/>
        </w:rPr>
        <w:t xml:space="preserve"> led to applications</w:t>
      </w:r>
      <w:r>
        <w:rPr>
          <w:rFonts w:ascii="Times New Roman" w:hAnsi="Times New Roman" w:cs="Times New Roman"/>
          <w:sz w:val="24"/>
          <w:szCs w:val="24"/>
        </w:rPr>
        <w:t xml:space="preserve"> been brought to this court from June 2020.  On 22</w:t>
      </w:r>
      <w:r w:rsidRPr="0060754B">
        <w:rPr>
          <w:rFonts w:ascii="Times New Roman" w:hAnsi="Times New Roman" w:cs="Times New Roman"/>
          <w:sz w:val="24"/>
          <w:szCs w:val="24"/>
          <w:vertAlign w:val="superscript"/>
        </w:rPr>
        <w:t>nd</w:t>
      </w:r>
      <w:r>
        <w:rPr>
          <w:rFonts w:ascii="Times New Roman" w:hAnsi="Times New Roman" w:cs="Times New Roman"/>
          <w:sz w:val="24"/>
          <w:szCs w:val="24"/>
        </w:rPr>
        <w:t xml:space="preserve"> June 2020 applicant filed an urgent chamber application under case number HC 961/2020.  An order by consent was entered on the 7</w:t>
      </w:r>
      <w:r w:rsidRPr="0060754B">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  On 18</w:t>
      </w:r>
      <w:r w:rsidRPr="0060754B">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2020 applicant filed yet another urgent application under case number HC 1355/20.  On 8</w:t>
      </w:r>
      <w:r w:rsidRPr="0060754B">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2020 a provisional order was granted in favour of the applicant interdicting 1</w:t>
      </w:r>
      <w:r w:rsidRPr="006075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conducting mining operations at </w:t>
      </w:r>
      <w:proofErr w:type="spellStart"/>
      <w:r>
        <w:rPr>
          <w:rFonts w:ascii="Times New Roman" w:hAnsi="Times New Roman" w:cs="Times New Roman"/>
          <w:sz w:val="24"/>
          <w:szCs w:val="24"/>
        </w:rPr>
        <w:t>Bonsor</w:t>
      </w:r>
      <w:proofErr w:type="spellEnd"/>
      <w:r>
        <w:rPr>
          <w:rFonts w:ascii="Times New Roman" w:hAnsi="Times New Roman" w:cs="Times New Roman"/>
          <w:sz w:val="24"/>
          <w:szCs w:val="24"/>
        </w:rPr>
        <w:t xml:space="preserve"> South and </w:t>
      </w:r>
      <w:proofErr w:type="spellStart"/>
      <w:r>
        <w:rPr>
          <w:rFonts w:ascii="Times New Roman" w:hAnsi="Times New Roman" w:cs="Times New Roman"/>
          <w:sz w:val="24"/>
          <w:szCs w:val="24"/>
        </w:rPr>
        <w:t>Bonsor</w:t>
      </w:r>
      <w:proofErr w:type="spellEnd"/>
      <w:r>
        <w:rPr>
          <w:rFonts w:ascii="Times New Roman" w:hAnsi="Times New Roman" w:cs="Times New Roman"/>
          <w:sz w:val="24"/>
          <w:szCs w:val="24"/>
        </w:rPr>
        <w:t xml:space="preserve"> South West mine.  It</w:t>
      </w:r>
      <w:r w:rsidR="004A602B">
        <w:rPr>
          <w:rFonts w:ascii="Times New Roman" w:hAnsi="Times New Roman" w:cs="Times New Roman"/>
          <w:sz w:val="24"/>
          <w:szCs w:val="24"/>
        </w:rPr>
        <w:t xml:space="preserve"> is apparent</w:t>
      </w:r>
      <w:r>
        <w:rPr>
          <w:rFonts w:ascii="Times New Roman" w:hAnsi="Times New Roman" w:cs="Times New Roman"/>
          <w:sz w:val="24"/>
          <w:szCs w:val="24"/>
        </w:rPr>
        <w:t xml:space="preserve"> from a perusal of the record in these proceedings that no attempt was made </w:t>
      </w:r>
      <w:r w:rsidR="00FC5935">
        <w:rPr>
          <w:rFonts w:ascii="Times New Roman" w:hAnsi="Times New Roman" w:cs="Times New Roman"/>
          <w:sz w:val="24"/>
          <w:szCs w:val="24"/>
        </w:rPr>
        <w:lastRenderedPageBreak/>
        <w:t>to have the provisional order confirmed.  The dis</w:t>
      </w:r>
      <w:r w:rsidR="004A602B">
        <w:rPr>
          <w:rFonts w:ascii="Times New Roman" w:hAnsi="Times New Roman" w:cs="Times New Roman"/>
          <w:sz w:val="24"/>
          <w:szCs w:val="24"/>
        </w:rPr>
        <w:t>pute between the parties continu</w:t>
      </w:r>
      <w:r w:rsidR="00FC5935">
        <w:rPr>
          <w:rFonts w:ascii="Times New Roman" w:hAnsi="Times New Roman" w:cs="Times New Roman"/>
          <w:sz w:val="24"/>
          <w:szCs w:val="24"/>
        </w:rPr>
        <w:t>ed to rage on with accusations and</w:t>
      </w:r>
      <w:r w:rsidR="007E4C91">
        <w:rPr>
          <w:rFonts w:ascii="Times New Roman" w:hAnsi="Times New Roman" w:cs="Times New Roman"/>
          <w:sz w:val="24"/>
          <w:szCs w:val="24"/>
        </w:rPr>
        <w:t xml:space="preserve"> counter-</w:t>
      </w:r>
      <w:r w:rsidR="00FC5935">
        <w:rPr>
          <w:rFonts w:ascii="Times New Roman" w:hAnsi="Times New Roman" w:cs="Times New Roman"/>
          <w:sz w:val="24"/>
          <w:szCs w:val="24"/>
        </w:rPr>
        <w:t xml:space="preserve"> allegations</w:t>
      </w:r>
      <w:r w:rsidR="007E4C91">
        <w:rPr>
          <w:rFonts w:ascii="Times New Roman" w:hAnsi="Times New Roman" w:cs="Times New Roman"/>
          <w:sz w:val="24"/>
          <w:szCs w:val="24"/>
        </w:rPr>
        <w:t xml:space="preserve"> of encroachment by the parties.</w:t>
      </w:r>
      <w:r w:rsidR="00FC5935">
        <w:rPr>
          <w:rFonts w:ascii="Times New Roman" w:hAnsi="Times New Roman" w:cs="Times New Roman"/>
          <w:sz w:val="24"/>
          <w:szCs w:val="24"/>
        </w:rPr>
        <w:t xml:space="preserve">  On 17</w:t>
      </w:r>
      <w:r w:rsidR="00FC5935" w:rsidRPr="00FC5935">
        <w:rPr>
          <w:rFonts w:ascii="Times New Roman" w:hAnsi="Times New Roman" w:cs="Times New Roman"/>
          <w:sz w:val="24"/>
          <w:szCs w:val="24"/>
          <w:vertAlign w:val="superscript"/>
        </w:rPr>
        <w:t>th</w:t>
      </w:r>
      <w:r w:rsidR="0093091B">
        <w:rPr>
          <w:rFonts w:ascii="Times New Roman" w:hAnsi="Times New Roman" w:cs="Times New Roman"/>
          <w:sz w:val="24"/>
          <w:szCs w:val="24"/>
        </w:rPr>
        <w:t xml:space="preserve"> September 2020, </w:t>
      </w:r>
      <w:r w:rsidR="00FC5935">
        <w:rPr>
          <w:rFonts w:ascii="Times New Roman" w:hAnsi="Times New Roman" w:cs="Times New Roman"/>
          <w:sz w:val="24"/>
          <w:szCs w:val="24"/>
        </w:rPr>
        <w:t>applicant filed yet another urgent chamber application under case number HC 1599/20.  This court made yet another order on 8</w:t>
      </w:r>
      <w:r w:rsidR="00FC5935" w:rsidRPr="00FC5935">
        <w:rPr>
          <w:rFonts w:ascii="Times New Roman" w:hAnsi="Times New Roman" w:cs="Times New Roman"/>
          <w:sz w:val="24"/>
          <w:szCs w:val="24"/>
          <w:vertAlign w:val="superscript"/>
        </w:rPr>
        <w:t>th</w:t>
      </w:r>
      <w:r w:rsidR="00FC5935">
        <w:rPr>
          <w:rFonts w:ascii="Times New Roman" w:hAnsi="Times New Roman" w:cs="Times New Roman"/>
          <w:sz w:val="24"/>
          <w:szCs w:val="24"/>
        </w:rPr>
        <w:t xml:space="preserve"> October 2020 under HB 218-20.  The same issue</w:t>
      </w:r>
      <w:r w:rsidR="00FF3D92">
        <w:rPr>
          <w:rFonts w:ascii="Times New Roman" w:hAnsi="Times New Roman" w:cs="Times New Roman"/>
          <w:sz w:val="24"/>
          <w:szCs w:val="24"/>
        </w:rPr>
        <w:t>s</w:t>
      </w:r>
      <w:r w:rsidR="00FC5935">
        <w:rPr>
          <w:rFonts w:ascii="Times New Roman" w:hAnsi="Times New Roman" w:cs="Times New Roman"/>
          <w:sz w:val="24"/>
          <w:szCs w:val="24"/>
        </w:rPr>
        <w:t xml:space="preserve"> were ventilated by this court.  The order of the court is still extant and has not been set aside.  At some stage the Provincial Mining Director who is cited as 2</w:t>
      </w:r>
      <w:r w:rsidR="00FC5935" w:rsidRPr="00FC5935">
        <w:rPr>
          <w:rFonts w:ascii="Times New Roman" w:hAnsi="Times New Roman" w:cs="Times New Roman"/>
          <w:sz w:val="24"/>
          <w:szCs w:val="24"/>
          <w:vertAlign w:val="superscript"/>
        </w:rPr>
        <w:t>nd</w:t>
      </w:r>
      <w:r w:rsidR="00FC5935">
        <w:rPr>
          <w:rFonts w:ascii="Times New Roman" w:hAnsi="Times New Roman" w:cs="Times New Roman"/>
          <w:sz w:val="24"/>
          <w:szCs w:val="24"/>
        </w:rPr>
        <w:t xml:space="preserve"> respondent</w:t>
      </w:r>
      <w:r w:rsidR="00FF3D92">
        <w:rPr>
          <w:rFonts w:ascii="Times New Roman" w:hAnsi="Times New Roman" w:cs="Times New Roman"/>
          <w:sz w:val="24"/>
          <w:szCs w:val="24"/>
        </w:rPr>
        <w:t xml:space="preserve"> ordered and</w:t>
      </w:r>
      <w:r w:rsidR="00FC5935">
        <w:rPr>
          <w:rFonts w:ascii="Times New Roman" w:hAnsi="Times New Roman" w:cs="Times New Roman"/>
          <w:sz w:val="24"/>
          <w:szCs w:val="24"/>
        </w:rPr>
        <w:t xml:space="preserve"> directed that the parties should confine th</w:t>
      </w:r>
      <w:r w:rsidR="00FF3D92">
        <w:rPr>
          <w:rFonts w:ascii="Times New Roman" w:hAnsi="Times New Roman" w:cs="Times New Roman"/>
          <w:sz w:val="24"/>
          <w:szCs w:val="24"/>
        </w:rPr>
        <w:t>emselves to their mining claims and boundaries.</w:t>
      </w:r>
      <w:r w:rsidR="00FC5935">
        <w:rPr>
          <w:rFonts w:ascii="Times New Roman" w:hAnsi="Times New Roman" w:cs="Times New Roman"/>
          <w:sz w:val="24"/>
          <w:szCs w:val="24"/>
        </w:rPr>
        <w:t xml:space="preserve">  The problem was not resolved.</w:t>
      </w:r>
    </w:p>
    <w:p w:rsidR="00905870" w:rsidRDefault="00905870"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same dispute has been brought to court, albeit with a new set of circumstances</w:t>
      </w:r>
      <w:r w:rsidR="000653E2">
        <w:rPr>
          <w:rFonts w:ascii="Times New Roman" w:hAnsi="Times New Roman" w:cs="Times New Roman"/>
          <w:sz w:val="24"/>
          <w:szCs w:val="24"/>
        </w:rPr>
        <w:t xml:space="preserve"> as</w:t>
      </w:r>
      <w:r>
        <w:rPr>
          <w:rFonts w:ascii="Times New Roman" w:hAnsi="Times New Roman" w:cs="Times New Roman"/>
          <w:sz w:val="24"/>
          <w:szCs w:val="24"/>
        </w:rPr>
        <w:t xml:space="preserve"> perceived by the applicant</w:t>
      </w:r>
      <w:r w:rsidR="000653E2">
        <w:rPr>
          <w:rFonts w:ascii="Times New Roman" w:hAnsi="Times New Roman" w:cs="Times New Roman"/>
          <w:sz w:val="24"/>
          <w:szCs w:val="24"/>
        </w:rPr>
        <w:t>,</w:t>
      </w:r>
      <w:r>
        <w:rPr>
          <w:rFonts w:ascii="Times New Roman" w:hAnsi="Times New Roman" w:cs="Times New Roman"/>
          <w:sz w:val="24"/>
          <w:szCs w:val="24"/>
        </w:rPr>
        <w:t xml:space="preserve"> to warrant the intervention of the court on an urgent basis.</w:t>
      </w:r>
    </w:p>
    <w:p w:rsidR="00905870" w:rsidRPr="000402BA" w:rsidRDefault="00905870" w:rsidP="0080134A">
      <w:pPr>
        <w:spacing w:line="360" w:lineRule="auto"/>
        <w:ind w:firstLine="720"/>
        <w:jc w:val="both"/>
        <w:rPr>
          <w:rFonts w:ascii="Times New Roman" w:hAnsi="Times New Roman" w:cs="Times New Roman"/>
          <w:b/>
          <w:sz w:val="24"/>
          <w:szCs w:val="24"/>
        </w:rPr>
      </w:pPr>
      <w:r w:rsidRPr="000402BA">
        <w:rPr>
          <w:rFonts w:ascii="Times New Roman" w:hAnsi="Times New Roman" w:cs="Times New Roman"/>
          <w:b/>
          <w:sz w:val="24"/>
          <w:szCs w:val="24"/>
        </w:rPr>
        <w:t>WHETHER THE MATTER IS URGENT</w:t>
      </w:r>
    </w:p>
    <w:p w:rsidR="002768A0" w:rsidRDefault="00905870"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dealing with the merits of the application</w:t>
      </w:r>
      <w:r w:rsidR="001C45E1">
        <w:rPr>
          <w:rFonts w:ascii="Times New Roman" w:hAnsi="Times New Roman" w:cs="Times New Roman"/>
          <w:sz w:val="24"/>
          <w:szCs w:val="24"/>
        </w:rPr>
        <w:t>,</w:t>
      </w:r>
      <w:r>
        <w:rPr>
          <w:rFonts w:ascii="Times New Roman" w:hAnsi="Times New Roman" w:cs="Times New Roman"/>
          <w:sz w:val="24"/>
          <w:szCs w:val="24"/>
        </w:rPr>
        <w:t xml:space="preserve"> this court must determine</w:t>
      </w:r>
      <w:r w:rsidR="001C45E1">
        <w:rPr>
          <w:rFonts w:ascii="Times New Roman" w:hAnsi="Times New Roman" w:cs="Times New Roman"/>
          <w:sz w:val="24"/>
          <w:szCs w:val="24"/>
        </w:rPr>
        <w:t>,</w:t>
      </w:r>
      <w:r>
        <w:rPr>
          <w:rFonts w:ascii="Times New Roman" w:hAnsi="Times New Roman" w:cs="Times New Roman"/>
          <w:sz w:val="24"/>
          <w:szCs w:val="24"/>
        </w:rPr>
        <w:t xml:space="preserve"> whether there is any merit in the preliminary point raised by the 1</w:t>
      </w:r>
      <w:r w:rsidRPr="009058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essence, 1</w:t>
      </w:r>
      <w:r w:rsidRPr="0090587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contends that this application is not urgent at all and should be removed from the roll of urgent matters.  In order to a</w:t>
      </w:r>
      <w:r w:rsidR="002768A0">
        <w:rPr>
          <w:rFonts w:ascii="Times New Roman" w:hAnsi="Times New Roman" w:cs="Times New Roman"/>
          <w:sz w:val="24"/>
          <w:szCs w:val="24"/>
        </w:rPr>
        <w:t>scertain whether the matter is urgent</w:t>
      </w:r>
      <w:r w:rsidR="001C45E1">
        <w:rPr>
          <w:rFonts w:ascii="Times New Roman" w:hAnsi="Times New Roman" w:cs="Times New Roman"/>
          <w:sz w:val="24"/>
          <w:szCs w:val="24"/>
        </w:rPr>
        <w:t>,</w:t>
      </w:r>
      <w:r w:rsidR="002768A0">
        <w:rPr>
          <w:rFonts w:ascii="Times New Roman" w:hAnsi="Times New Roman" w:cs="Times New Roman"/>
          <w:sz w:val="24"/>
          <w:szCs w:val="24"/>
        </w:rPr>
        <w:t xml:space="preserve"> the court must determine, firstly</w:t>
      </w:r>
      <w:r w:rsidR="00883281">
        <w:rPr>
          <w:rFonts w:ascii="Times New Roman" w:hAnsi="Times New Roman" w:cs="Times New Roman"/>
          <w:sz w:val="24"/>
          <w:szCs w:val="24"/>
        </w:rPr>
        <w:t>,</w:t>
      </w:r>
      <w:r w:rsidR="002768A0">
        <w:rPr>
          <w:rFonts w:ascii="Times New Roman" w:hAnsi="Times New Roman" w:cs="Times New Roman"/>
          <w:sz w:val="24"/>
          <w:szCs w:val="24"/>
        </w:rPr>
        <w:t xml:space="preserve"> when the applicant became aware of the facts that gave rise to the need to act.  Secondly, the court must determine when the need to act arose relative to th</w:t>
      </w:r>
      <w:r w:rsidR="00883281">
        <w:rPr>
          <w:rFonts w:ascii="Times New Roman" w:hAnsi="Times New Roman" w:cs="Times New Roman"/>
          <w:sz w:val="24"/>
          <w:szCs w:val="24"/>
        </w:rPr>
        <w:t>e facts and circumstances of this</w:t>
      </w:r>
      <w:r w:rsidR="002768A0">
        <w:rPr>
          <w:rFonts w:ascii="Times New Roman" w:hAnsi="Times New Roman" w:cs="Times New Roman"/>
          <w:sz w:val="24"/>
          <w:szCs w:val="24"/>
        </w:rPr>
        <w:t xml:space="preserve"> matter.  Applicant avers that the need to act arose on 30</w:t>
      </w:r>
      <w:r w:rsidR="002768A0" w:rsidRPr="002768A0">
        <w:rPr>
          <w:rFonts w:ascii="Times New Roman" w:hAnsi="Times New Roman" w:cs="Times New Roman"/>
          <w:sz w:val="24"/>
          <w:szCs w:val="24"/>
          <w:vertAlign w:val="superscript"/>
        </w:rPr>
        <w:t>th</w:t>
      </w:r>
      <w:r w:rsidR="002768A0">
        <w:rPr>
          <w:rFonts w:ascii="Times New Roman" w:hAnsi="Times New Roman" w:cs="Times New Roman"/>
          <w:sz w:val="24"/>
          <w:szCs w:val="24"/>
        </w:rPr>
        <w:t xml:space="preserve"> July 2021 when 1</w:t>
      </w:r>
      <w:r w:rsidR="002768A0" w:rsidRPr="002768A0">
        <w:rPr>
          <w:rFonts w:ascii="Times New Roman" w:hAnsi="Times New Roman" w:cs="Times New Roman"/>
          <w:sz w:val="24"/>
          <w:szCs w:val="24"/>
          <w:vertAlign w:val="superscript"/>
        </w:rPr>
        <w:t>st</w:t>
      </w:r>
      <w:r w:rsidR="002768A0">
        <w:rPr>
          <w:rFonts w:ascii="Times New Roman" w:hAnsi="Times New Roman" w:cs="Times New Roman"/>
          <w:sz w:val="24"/>
          <w:szCs w:val="24"/>
        </w:rPr>
        <w:t xml:space="preserve"> respondent resumed mining operations on the disputed claim.  This factual </w:t>
      </w:r>
      <w:r w:rsidR="00834A09">
        <w:rPr>
          <w:rFonts w:ascii="Times New Roman" w:hAnsi="Times New Roman" w:cs="Times New Roman"/>
          <w:sz w:val="24"/>
          <w:szCs w:val="24"/>
        </w:rPr>
        <w:t>averment</w:t>
      </w:r>
      <w:r w:rsidR="002768A0">
        <w:rPr>
          <w:rFonts w:ascii="Times New Roman" w:hAnsi="Times New Roman" w:cs="Times New Roman"/>
          <w:sz w:val="24"/>
          <w:szCs w:val="24"/>
        </w:rPr>
        <w:t xml:space="preserve"> is denied by the 1</w:t>
      </w:r>
      <w:r w:rsidR="002768A0" w:rsidRPr="002768A0">
        <w:rPr>
          <w:rFonts w:ascii="Times New Roman" w:hAnsi="Times New Roman" w:cs="Times New Roman"/>
          <w:sz w:val="24"/>
          <w:szCs w:val="24"/>
          <w:vertAlign w:val="superscript"/>
        </w:rPr>
        <w:t>st</w:t>
      </w:r>
      <w:r w:rsidR="002768A0">
        <w:rPr>
          <w:rFonts w:ascii="Times New Roman" w:hAnsi="Times New Roman" w:cs="Times New Roman"/>
          <w:sz w:val="24"/>
          <w:szCs w:val="24"/>
        </w:rPr>
        <w:t xml:space="preserve"> respondent who contends that operations commenced in January 2021 after obtaining judgment in this court on 17</w:t>
      </w:r>
      <w:r w:rsidR="002768A0" w:rsidRPr="002768A0">
        <w:rPr>
          <w:rFonts w:ascii="Times New Roman" w:hAnsi="Times New Roman" w:cs="Times New Roman"/>
          <w:sz w:val="24"/>
          <w:szCs w:val="24"/>
          <w:vertAlign w:val="superscript"/>
        </w:rPr>
        <w:t>th</w:t>
      </w:r>
      <w:r w:rsidR="002768A0">
        <w:rPr>
          <w:rFonts w:ascii="Times New Roman" w:hAnsi="Times New Roman" w:cs="Times New Roman"/>
          <w:sz w:val="24"/>
          <w:szCs w:val="24"/>
        </w:rPr>
        <w:t xml:space="preserve"> December 2020.</w:t>
      </w:r>
    </w:p>
    <w:p w:rsidR="00DD1CF0" w:rsidRDefault="002768A0"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applicant’s </w:t>
      </w:r>
      <w:r w:rsidR="006A25F0">
        <w:rPr>
          <w:rFonts w:ascii="Times New Roman" w:hAnsi="Times New Roman" w:cs="Times New Roman"/>
          <w:sz w:val="24"/>
          <w:szCs w:val="24"/>
        </w:rPr>
        <w:t>averment</w:t>
      </w:r>
      <w:r>
        <w:rPr>
          <w:rFonts w:ascii="Times New Roman" w:hAnsi="Times New Roman" w:cs="Times New Roman"/>
          <w:sz w:val="24"/>
          <w:szCs w:val="24"/>
        </w:rPr>
        <w:t xml:space="preserve"> that chaos at the mining location ensued when applicant attempted to prevent mining activities, 1</w:t>
      </w:r>
      <w:r w:rsidRPr="002768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states that this occurred in January 2021.  1</w:t>
      </w:r>
      <w:r w:rsidRPr="002768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if applicant intended to institute legal proceedings on an urgent basis, this should have been done way back in January 2021.  At the hearing of this matter, I enquired from the parties’ legal practitioners whether any effort had been made to resolve the dispute prior to these proceedings.</w:t>
      </w:r>
      <w:r w:rsidR="0014729F">
        <w:rPr>
          <w:rFonts w:ascii="Times New Roman" w:hAnsi="Times New Roman" w:cs="Times New Roman"/>
          <w:sz w:val="24"/>
          <w:szCs w:val="24"/>
        </w:rPr>
        <w:t xml:space="preserve">  The legal practitioners confirm</w:t>
      </w:r>
      <w:r>
        <w:rPr>
          <w:rFonts w:ascii="Times New Roman" w:hAnsi="Times New Roman" w:cs="Times New Roman"/>
          <w:sz w:val="24"/>
          <w:szCs w:val="24"/>
        </w:rPr>
        <w:t>ed that discussions had been ongoing but that there was no</w:t>
      </w:r>
      <w:r w:rsidR="00FA044A">
        <w:rPr>
          <w:rFonts w:ascii="Times New Roman" w:hAnsi="Times New Roman" w:cs="Times New Roman"/>
          <w:sz w:val="24"/>
          <w:szCs w:val="24"/>
        </w:rPr>
        <w:t xml:space="preserve"> genuine</w:t>
      </w:r>
      <w:r>
        <w:rPr>
          <w:rFonts w:ascii="Times New Roman" w:hAnsi="Times New Roman" w:cs="Times New Roman"/>
          <w:sz w:val="24"/>
          <w:szCs w:val="24"/>
        </w:rPr>
        <w:t xml:space="preserve"> commitment by one of the parties </w:t>
      </w:r>
      <w:r>
        <w:rPr>
          <w:rFonts w:ascii="Times New Roman" w:hAnsi="Times New Roman" w:cs="Times New Roman"/>
          <w:sz w:val="24"/>
          <w:szCs w:val="24"/>
        </w:rPr>
        <w:lastRenderedPageBreak/>
        <w:t xml:space="preserve">to a resolution of the dispute.  The </w:t>
      </w:r>
      <w:r w:rsidR="00DD1CF0">
        <w:rPr>
          <w:rFonts w:ascii="Times New Roman" w:hAnsi="Times New Roman" w:cs="Times New Roman"/>
          <w:sz w:val="24"/>
          <w:szCs w:val="24"/>
        </w:rPr>
        <w:t>impression one gleans from the founding affidavit of the applicant is that this dispute is being litigated on the same facts over and over.  The relief being sought by the applicant has been sought before.  The provisional orders that have been granted have not been confirmed.</w:t>
      </w:r>
    </w:p>
    <w:p w:rsidR="00905870" w:rsidRDefault="00DD1CF0"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alive to the fact that gold is a finite resource and that there is need for the rights of the contesting parties to be settled and resolved with finality.  The history of the dispute dates back to the year 2015.  The parties have been in this court with the same facts and the same d</w:t>
      </w:r>
      <w:r w:rsidR="00350C2A">
        <w:rPr>
          <w:rFonts w:ascii="Times New Roman" w:hAnsi="Times New Roman" w:cs="Times New Roman"/>
          <w:sz w:val="24"/>
          <w:szCs w:val="24"/>
        </w:rPr>
        <w:t>ispute on numerous occasions.</w:t>
      </w:r>
      <w:r>
        <w:rPr>
          <w:rFonts w:ascii="Times New Roman" w:hAnsi="Times New Roman" w:cs="Times New Roman"/>
          <w:sz w:val="24"/>
          <w:szCs w:val="24"/>
        </w:rPr>
        <w:t xml:space="preserve">  The applicant has not established the urgency that is contemplated by the rules.  A matter is urgent when the party invoking urgency takes action when the need to act arises.  In this matter it seems to me that the urgency alleged by the applicant has been contrived.  The relief sought by the applicant in this matter substantially mirrors the relief granted to it under HC 663/20.  As I have </w:t>
      </w:r>
      <w:r w:rsidR="00350C2A">
        <w:rPr>
          <w:rFonts w:ascii="Times New Roman" w:hAnsi="Times New Roman" w:cs="Times New Roman"/>
          <w:sz w:val="24"/>
          <w:szCs w:val="24"/>
        </w:rPr>
        <w:t>pointed out,</w:t>
      </w:r>
      <w:r w:rsidR="00E06202">
        <w:rPr>
          <w:rFonts w:ascii="Times New Roman" w:hAnsi="Times New Roman" w:cs="Times New Roman"/>
          <w:sz w:val="24"/>
          <w:szCs w:val="24"/>
        </w:rPr>
        <w:t xml:space="preserve"> the provisional orders granted have not been set down for confirmation.  Applicant may not pursue the same issue and the same relief over and over again.  This is not the kind of urgency that warrants this court to drop everything else to deal with the application.  See:</w:t>
      </w:r>
      <w:r w:rsidR="008623DE">
        <w:rPr>
          <w:rFonts w:ascii="Times New Roman" w:hAnsi="Times New Roman" w:cs="Times New Roman"/>
          <w:sz w:val="24"/>
          <w:szCs w:val="24"/>
        </w:rPr>
        <w:t xml:space="preserve"> </w:t>
      </w:r>
      <w:proofErr w:type="spellStart"/>
      <w:r w:rsidR="00E06202" w:rsidRPr="008623DE">
        <w:rPr>
          <w:rFonts w:ascii="Times New Roman" w:hAnsi="Times New Roman" w:cs="Times New Roman"/>
          <w:i/>
          <w:sz w:val="24"/>
          <w:szCs w:val="24"/>
        </w:rPr>
        <w:t>Kuvarega</w:t>
      </w:r>
      <w:proofErr w:type="spellEnd"/>
      <w:r w:rsidR="00E06202">
        <w:rPr>
          <w:rFonts w:ascii="Times New Roman" w:hAnsi="Times New Roman" w:cs="Times New Roman"/>
          <w:sz w:val="24"/>
          <w:szCs w:val="24"/>
        </w:rPr>
        <w:t xml:space="preserve"> v </w:t>
      </w:r>
      <w:r w:rsidR="00E06202" w:rsidRPr="008623DE">
        <w:rPr>
          <w:rFonts w:ascii="Times New Roman" w:hAnsi="Times New Roman" w:cs="Times New Roman"/>
          <w:i/>
          <w:sz w:val="24"/>
          <w:szCs w:val="24"/>
        </w:rPr>
        <w:t>Registrar General &amp; Anor</w:t>
      </w:r>
      <w:r w:rsidR="00E06202">
        <w:rPr>
          <w:rFonts w:ascii="Times New Roman" w:hAnsi="Times New Roman" w:cs="Times New Roman"/>
          <w:sz w:val="24"/>
          <w:szCs w:val="24"/>
        </w:rPr>
        <w:t xml:space="preserve"> 1998 (1) ZLR 188 (H) and </w:t>
      </w:r>
      <w:r w:rsidR="00E06202" w:rsidRPr="008623DE">
        <w:rPr>
          <w:rFonts w:ascii="Times New Roman" w:hAnsi="Times New Roman" w:cs="Times New Roman"/>
          <w:i/>
          <w:sz w:val="24"/>
          <w:szCs w:val="24"/>
        </w:rPr>
        <w:t xml:space="preserve">Gumbo </w:t>
      </w:r>
      <w:r w:rsidR="00E06202">
        <w:rPr>
          <w:rFonts w:ascii="Times New Roman" w:hAnsi="Times New Roman" w:cs="Times New Roman"/>
          <w:sz w:val="24"/>
          <w:szCs w:val="24"/>
        </w:rPr>
        <w:t xml:space="preserve">v </w:t>
      </w:r>
      <w:proofErr w:type="spellStart"/>
      <w:r w:rsidR="00E06202" w:rsidRPr="008623DE">
        <w:rPr>
          <w:rFonts w:ascii="Times New Roman" w:hAnsi="Times New Roman" w:cs="Times New Roman"/>
          <w:i/>
          <w:sz w:val="24"/>
          <w:szCs w:val="24"/>
        </w:rPr>
        <w:t>Porticullis</w:t>
      </w:r>
      <w:proofErr w:type="spellEnd"/>
      <w:r w:rsidR="00E06202" w:rsidRPr="008623DE">
        <w:rPr>
          <w:rFonts w:ascii="Times New Roman" w:hAnsi="Times New Roman" w:cs="Times New Roman"/>
          <w:i/>
          <w:sz w:val="24"/>
          <w:szCs w:val="24"/>
        </w:rPr>
        <w:t xml:space="preserve"> (Pvt) Ltd t/a Financial </w:t>
      </w:r>
      <w:r w:rsidR="00F245C6" w:rsidRPr="008623DE">
        <w:rPr>
          <w:rFonts w:ascii="Times New Roman" w:hAnsi="Times New Roman" w:cs="Times New Roman"/>
          <w:i/>
          <w:sz w:val="24"/>
          <w:szCs w:val="24"/>
        </w:rPr>
        <w:t>Clearing Bureau</w:t>
      </w:r>
      <w:r w:rsidR="00F245C6">
        <w:rPr>
          <w:rFonts w:ascii="Times New Roman" w:hAnsi="Times New Roman" w:cs="Times New Roman"/>
          <w:sz w:val="24"/>
          <w:szCs w:val="24"/>
        </w:rPr>
        <w:t xml:space="preserve"> SC 28-14.  I conclude that the preliminary point raised by the 1</w:t>
      </w:r>
      <w:r w:rsidR="00F245C6" w:rsidRPr="00F245C6">
        <w:rPr>
          <w:rFonts w:ascii="Times New Roman" w:hAnsi="Times New Roman" w:cs="Times New Roman"/>
          <w:sz w:val="24"/>
          <w:szCs w:val="24"/>
          <w:vertAlign w:val="superscript"/>
        </w:rPr>
        <w:t>st</w:t>
      </w:r>
      <w:r w:rsidR="00F245C6">
        <w:rPr>
          <w:rFonts w:ascii="Times New Roman" w:hAnsi="Times New Roman" w:cs="Times New Roman"/>
          <w:sz w:val="24"/>
          <w:szCs w:val="24"/>
        </w:rPr>
        <w:t xml:space="preserve"> respondent has merit.  The matter is not urgent at all.</w:t>
      </w:r>
    </w:p>
    <w:p w:rsidR="00F245C6" w:rsidRPr="008623DE" w:rsidRDefault="00F245C6" w:rsidP="0080134A">
      <w:pPr>
        <w:spacing w:line="360" w:lineRule="auto"/>
        <w:ind w:firstLine="720"/>
        <w:jc w:val="both"/>
        <w:rPr>
          <w:rFonts w:ascii="Times New Roman" w:hAnsi="Times New Roman" w:cs="Times New Roman"/>
          <w:b/>
          <w:sz w:val="24"/>
          <w:szCs w:val="24"/>
        </w:rPr>
      </w:pPr>
      <w:r w:rsidRPr="008623DE">
        <w:rPr>
          <w:rFonts w:ascii="Times New Roman" w:hAnsi="Times New Roman" w:cs="Times New Roman"/>
          <w:b/>
          <w:sz w:val="24"/>
          <w:szCs w:val="24"/>
        </w:rPr>
        <w:t>DISPOSITION</w:t>
      </w:r>
    </w:p>
    <w:p w:rsidR="00F245C6" w:rsidRDefault="00F245C6"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observe that the issue</w:t>
      </w:r>
      <w:r w:rsidR="00621446">
        <w:rPr>
          <w:rFonts w:ascii="Times New Roman" w:hAnsi="Times New Roman" w:cs="Times New Roman"/>
          <w:sz w:val="24"/>
          <w:szCs w:val="24"/>
        </w:rPr>
        <w:t>s</w:t>
      </w:r>
      <w:r>
        <w:rPr>
          <w:rFonts w:ascii="Times New Roman" w:hAnsi="Times New Roman" w:cs="Times New Roman"/>
          <w:sz w:val="24"/>
          <w:szCs w:val="24"/>
        </w:rPr>
        <w:t xml:space="preserve"> raised by the parties must be </w:t>
      </w:r>
      <w:r w:rsidR="00621446">
        <w:rPr>
          <w:rFonts w:ascii="Times New Roman" w:hAnsi="Times New Roman" w:cs="Times New Roman"/>
          <w:sz w:val="24"/>
          <w:szCs w:val="24"/>
        </w:rPr>
        <w:t>resolved by way of</w:t>
      </w:r>
      <w:r>
        <w:rPr>
          <w:rFonts w:ascii="Times New Roman" w:hAnsi="Times New Roman" w:cs="Times New Roman"/>
          <w:sz w:val="24"/>
          <w:szCs w:val="24"/>
        </w:rPr>
        <w:t xml:space="preserve"> court application.  The applicant has not set out sufficient facts to establish urgency.  There is no need in my view, to deal with the merits.</w:t>
      </w:r>
    </w:p>
    <w:p w:rsidR="00F245C6" w:rsidRDefault="00F245C6" w:rsidP="008013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the application is dismissed with costs.</w:t>
      </w:r>
    </w:p>
    <w:p w:rsidR="00F245C6" w:rsidRDefault="00F245C6" w:rsidP="0080134A">
      <w:pPr>
        <w:spacing w:line="360" w:lineRule="auto"/>
        <w:jc w:val="both"/>
        <w:rPr>
          <w:rFonts w:ascii="Times New Roman" w:hAnsi="Times New Roman" w:cs="Times New Roman"/>
          <w:sz w:val="24"/>
          <w:szCs w:val="24"/>
        </w:rPr>
      </w:pPr>
    </w:p>
    <w:p w:rsidR="00F245C6" w:rsidRDefault="00F245C6" w:rsidP="0080134A">
      <w:pPr>
        <w:pStyle w:val="NoSpacing"/>
        <w:jc w:val="both"/>
      </w:pPr>
      <w:proofErr w:type="spellStart"/>
      <w:r w:rsidRPr="0080134A">
        <w:rPr>
          <w:i/>
        </w:rPr>
        <w:t>Mutatu</w:t>
      </w:r>
      <w:proofErr w:type="spellEnd"/>
      <w:r w:rsidRPr="0080134A">
        <w:rPr>
          <w:i/>
        </w:rPr>
        <w:t xml:space="preserve"> &amp; </w:t>
      </w:r>
      <w:proofErr w:type="spellStart"/>
      <w:r w:rsidRPr="0080134A">
        <w:rPr>
          <w:i/>
        </w:rPr>
        <w:t>Mandipa</w:t>
      </w:r>
      <w:proofErr w:type="spellEnd"/>
      <w:r w:rsidRPr="0080134A">
        <w:rPr>
          <w:i/>
        </w:rPr>
        <w:t xml:space="preserve"> Legal Practice c/o </w:t>
      </w:r>
      <w:proofErr w:type="spellStart"/>
      <w:r w:rsidRPr="0080134A">
        <w:rPr>
          <w:i/>
        </w:rPr>
        <w:t>Mutatu</w:t>
      </w:r>
      <w:proofErr w:type="spellEnd"/>
      <w:r w:rsidRPr="0080134A">
        <w:rPr>
          <w:i/>
        </w:rPr>
        <w:t xml:space="preserve">, </w:t>
      </w:r>
      <w:proofErr w:type="spellStart"/>
      <w:r w:rsidRPr="0080134A">
        <w:rPr>
          <w:i/>
        </w:rPr>
        <w:t>Masamvu</w:t>
      </w:r>
      <w:proofErr w:type="spellEnd"/>
      <w:r w:rsidRPr="0080134A">
        <w:rPr>
          <w:i/>
        </w:rPr>
        <w:t xml:space="preserve"> &amp; Da Silva-Gustavo</w:t>
      </w:r>
      <w:r>
        <w:t xml:space="preserve">, applicant’s legal </w:t>
      </w:r>
      <w:proofErr w:type="spellStart"/>
      <w:r>
        <w:t>practioners</w:t>
      </w:r>
      <w:proofErr w:type="spellEnd"/>
    </w:p>
    <w:p w:rsidR="00F245C6" w:rsidRPr="00962638" w:rsidRDefault="0080134A" w:rsidP="0080134A">
      <w:pPr>
        <w:pStyle w:val="NoSpacing"/>
        <w:jc w:val="both"/>
      </w:pPr>
      <w:proofErr w:type="spellStart"/>
      <w:r w:rsidRPr="0080134A">
        <w:rPr>
          <w:i/>
        </w:rPr>
        <w:t>Madotsa</w:t>
      </w:r>
      <w:proofErr w:type="spellEnd"/>
      <w:r w:rsidRPr="0080134A">
        <w:rPr>
          <w:i/>
        </w:rPr>
        <w:t xml:space="preserve"> &amp; Partners c/o </w:t>
      </w:r>
      <w:proofErr w:type="spellStart"/>
      <w:r w:rsidRPr="0080134A">
        <w:rPr>
          <w:i/>
        </w:rPr>
        <w:t>Mutuso</w:t>
      </w:r>
      <w:proofErr w:type="spellEnd"/>
      <w:r w:rsidRPr="0080134A">
        <w:rPr>
          <w:i/>
        </w:rPr>
        <w:t xml:space="preserve">, </w:t>
      </w:r>
      <w:proofErr w:type="spellStart"/>
      <w:r w:rsidRPr="0080134A">
        <w:rPr>
          <w:i/>
        </w:rPr>
        <w:t>Taruvinga</w:t>
      </w:r>
      <w:proofErr w:type="spellEnd"/>
      <w:r w:rsidRPr="0080134A">
        <w:rPr>
          <w:i/>
        </w:rPr>
        <w:t xml:space="preserve"> &amp; </w:t>
      </w:r>
      <w:proofErr w:type="spellStart"/>
      <w:r w:rsidRPr="0080134A">
        <w:rPr>
          <w:i/>
        </w:rPr>
        <w:t>Mhiribidi</w:t>
      </w:r>
      <w:proofErr w:type="spellEnd"/>
      <w:r w:rsidRPr="0080134A">
        <w:rPr>
          <w:i/>
        </w:rPr>
        <w:t xml:space="preserve"> Attorneys</w:t>
      </w:r>
      <w:r>
        <w:t>, 1</w:t>
      </w:r>
      <w:r w:rsidRPr="0080134A">
        <w:rPr>
          <w:vertAlign w:val="superscript"/>
        </w:rPr>
        <w:t>st</w:t>
      </w:r>
      <w:r>
        <w:t xml:space="preserve"> respondent’s legal practitioners</w:t>
      </w:r>
    </w:p>
    <w:sectPr w:rsidR="00F245C6" w:rsidRPr="0096263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16" w:rsidRDefault="00200316" w:rsidP="0080134A">
      <w:pPr>
        <w:spacing w:after="0" w:line="240" w:lineRule="auto"/>
      </w:pPr>
      <w:r>
        <w:separator/>
      </w:r>
    </w:p>
  </w:endnote>
  <w:endnote w:type="continuationSeparator" w:id="0">
    <w:p w:rsidR="00200316" w:rsidRDefault="00200316" w:rsidP="0080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FD" w:rsidRDefault="003E1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FD" w:rsidRDefault="003E1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FD" w:rsidRDefault="003E1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16" w:rsidRDefault="00200316" w:rsidP="0080134A">
      <w:pPr>
        <w:spacing w:after="0" w:line="240" w:lineRule="auto"/>
      </w:pPr>
      <w:r>
        <w:separator/>
      </w:r>
    </w:p>
  </w:footnote>
  <w:footnote w:type="continuationSeparator" w:id="0">
    <w:p w:rsidR="00200316" w:rsidRDefault="00200316" w:rsidP="0080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FD" w:rsidRDefault="003E1B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608844"/>
      <w:docPartObj>
        <w:docPartGallery w:val="Page Numbers (Top of Page)"/>
        <w:docPartUnique/>
      </w:docPartObj>
    </w:sdtPr>
    <w:sdtEndPr>
      <w:rPr>
        <w:rFonts w:ascii="Times New Roman" w:hAnsi="Times New Roman" w:cs="Times New Roman"/>
        <w:noProof/>
        <w:sz w:val="24"/>
        <w:szCs w:val="24"/>
      </w:rPr>
    </w:sdtEndPr>
    <w:sdtContent>
      <w:p w:rsidR="0080134A" w:rsidRPr="0080134A" w:rsidRDefault="0080134A">
        <w:pPr>
          <w:pStyle w:val="Header"/>
          <w:jc w:val="right"/>
          <w:rPr>
            <w:rFonts w:ascii="Times New Roman" w:hAnsi="Times New Roman" w:cs="Times New Roman"/>
            <w:noProof/>
            <w:sz w:val="24"/>
            <w:szCs w:val="24"/>
          </w:rPr>
        </w:pPr>
        <w:r w:rsidRPr="0080134A">
          <w:rPr>
            <w:rFonts w:ascii="Times New Roman" w:hAnsi="Times New Roman" w:cs="Times New Roman"/>
            <w:sz w:val="24"/>
            <w:szCs w:val="24"/>
          </w:rPr>
          <w:fldChar w:fldCharType="begin"/>
        </w:r>
        <w:r w:rsidRPr="0080134A">
          <w:rPr>
            <w:rFonts w:ascii="Times New Roman" w:hAnsi="Times New Roman" w:cs="Times New Roman"/>
            <w:sz w:val="24"/>
            <w:szCs w:val="24"/>
          </w:rPr>
          <w:instrText xml:space="preserve"> PAGE   \* MERGEFORMAT </w:instrText>
        </w:r>
        <w:r w:rsidRPr="0080134A">
          <w:rPr>
            <w:rFonts w:ascii="Times New Roman" w:hAnsi="Times New Roman" w:cs="Times New Roman"/>
            <w:sz w:val="24"/>
            <w:szCs w:val="24"/>
          </w:rPr>
          <w:fldChar w:fldCharType="separate"/>
        </w:r>
        <w:r w:rsidR="003E1BFD">
          <w:rPr>
            <w:rFonts w:ascii="Times New Roman" w:hAnsi="Times New Roman" w:cs="Times New Roman"/>
            <w:noProof/>
            <w:sz w:val="24"/>
            <w:szCs w:val="24"/>
          </w:rPr>
          <w:t>1</w:t>
        </w:r>
        <w:r w:rsidRPr="0080134A">
          <w:rPr>
            <w:rFonts w:ascii="Times New Roman" w:hAnsi="Times New Roman" w:cs="Times New Roman"/>
            <w:noProof/>
            <w:sz w:val="24"/>
            <w:szCs w:val="24"/>
          </w:rPr>
          <w:fldChar w:fldCharType="end"/>
        </w:r>
      </w:p>
      <w:p w:rsidR="0080134A" w:rsidRPr="0080134A" w:rsidRDefault="0080134A">
        <w:pPr>
          <w:pStyle w:val="Header"/>
          <w:jc w:val="right"/>
          <w:rPr>
            <w:rFonts w:ascii="Times New Roman" w:hAnsi="Times New Roman" w:cs="Times New Roman"/>
            <w:noProof/>
            <w:sz w:val="24"/>
            <w:szCs w:val="24"/>
          </w:rPr>
        </w:pPr>
        <w:r w:rsidRPr="0080134A">
          <w:rPr>
            <w:rFonts w:ascii="Times New Roman" w:hAnsi="Times New Roman" w:cs="Times New Roman"/>
            <w:noProof/>
            <w:sz w:val="24"/>
            <w:szCs w:val="24"/>
          </w:rPr>
          <w:t>HB</w:t>
        </w:r>
        <w:r w:rsidR="003E1BFD">
          <w:rPr>
            <w:rFonts w:ascii="Times New Roman" w:hAnsi="Times New Roman" w:cs="Times New Roman"/>
            <w:noProof/>
            <w:sz w:val="24"/>
            <w:szCs w:val="24"/>
          </w:rPr>
          <w:t xml:space="preserve"> </w:t>
        </w:r>
        <w:r w:rsidR="003E1BFD">
          <w:rPr>
            <w:rFonts w:ascii="Times New Roman" w:hAnsi="Times New Roman" w:cs="Times New Roman"/>
            <w:noProof/>
            <w:sz w:val="24"/>
            <w:szCs w:val="24"/>
          </w:rPr>
          <w:t>165/21</w:t>
        </w:r>
        <w:bookmarkStart w:id="0" w:name="_GoBack"/>
        <w:bookmarkEnd w:id="0"/>
      </w:p>
      <w:p w:rsidR="0080134A" w:rsidRPr="0080134A" w:rsidRDefault="0080134A">
        <w:pPr>
          <w:pStyle w:val="Header"/>
          <w:jc w:val="right"/>
          <w:rPr>
            <w:rFonts w:ascii="Times New Roman" w:hAnsi="Times New Roman" w:cs="Times New Roman"/>
            <w:noProof/>
            <w:sz w:val="24"/>
            <w:szCs w:val="24"/>
          </w:rPr>
        </w:pPr>
        <w:r w:rsidRPr="0080134A">
          <w:rPr>
            <w:rFonts w:ascii="Times New Roman" w:hAnsi="Times New Roman" w:cs="Times New Roman"/>
            <w:noProof/>
            <w:sz w:val="24"/>
            <w:szCs w:val="24"/>
          </w:rPr>
          <w:t>HC 1093/21</w:t>
        </w:r>
      </w:p>
      <w:p w:rsidR="0080134A" w:rsidRPr="0080134A" w:rsidRDefault="0080134A">
        <w:pPr>
          <w:pStyle w:val="Header"/>
          <w:jc w:val="right"/>
          <w:rPr>
            <w:rFonts w:ascii="Times New Roman" w:hAnsi="Times New Roman" w:cs="Times New Roman"/>
            <w:noProof/>
            <w:sz w:val="24"/>
            <w:szCs w:val="24"/>
          </w:rPr>
        </w:pPr>
        <w:r w:rsidRPr="0080134A">
          <w:rPr>
            <w:rFonts w:ascii="Times New Roman" w:hAnsi="Times New Roman" w:cs="Times New Roman"/>
            <w:noProof/>
            <w:sz w:val="24"/>
            <w:szCs w:val="24"/>
          </w:rPr>
          <w:t>XREF HC 961/20</w:t>
        </w:r>
      </w:p>
      <w:p w:rsidR="0080134A" w:rsidRPr="0080134A" w:rsidRDefault="0080134A">
        <w:pPr>
          <w:pStyle w:val="Header"/>
          <w:jc w:val="right"/>
          <w:rPr>
            <w:rFonts w:ascii="Times New Roman" w:hAnsi="Times New Roman" w:cs="Times New Roman"/>
            <w:noProof/>
            <w:sz w:val="24"/>
            <w:szCs w:val="24"/>
          </w:rPr>
        </w:pPr>
        <w:r w:rsidRPr="0080134A">
          <w:rPr>
            <w:rFonts w:ascii="Times New Roman" w:hAnsi="Times New Roman" w:cs="Times New Roman"/>
            <w:noProof/>
            <w:sz w:val="24"/>
            <w:szCs w:val="24"/>
          </w:rPr>
          <w:t>XREF HC 1355/20</w:t>
        </w:r>
      </w:p>
      <w:p w:rsidR="0080134A" w:rsidRPr="0080134A" w:rsidRDefault="0080134A">
        <w:pPr>
          <w:pStyle w:val="Header"/>
          <w:jc w:val="right"/>
          <w:rPr>
            <w:rFonts w:ascii="Times New Roman" w:hAnsi="Times New Roman" w:cs="Times New Roman"/>
            <w:sz w:val="24"/>
            <w:szCs w:val="24"/>
          </w:rPr>
        </w:pPr>
        <w:r w:rsidRPr="0080134A">
          <w:rPr>
            <w:rFonts w:ascii="Times New Roman" w:hAnsi="Times New Roman" w:cs="Times New Roman"/>
            <w:noProof/>
            <w:sz w:val="24"/>
            <w:szCs w:val="24"/>
          </w:rPr>
          <w:t>XREF HC 1599/20</w:t>
        </w:r>
      </w:p>
    </w:sdtContent>
  </w:sdt>
  <w:p w:rsidR="0080134A" w:rsidRPr="0080134A" w:rsidRDefault="0080134A">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BFD" w:rsidRDefault="003E1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32"/>
    <w:rsid w:val="000402BA"/>
    <w:rsid w:val="000623FC"/>
    <w:rsid w:val="000653E2"/>
    <w:rsid w:val="0014729F"/>
    <w:rsid w:val="001C45E1"/>
    <w:rsid w:val="00200316"/>
    <w:rsid w:val="00223694"/>
    <w:rsid w:val="002768A0"/>
    <w:rsid w:val="00350C2A"/>
    <w:rsid w:val="00387805"/>
    <w:rsid w:val="003C0C7A"/>
    <w:rsid w:val="003E1BFD"/>
    <w:rsid w:val="004A602B"/>
    <w:rsid w:val="004D2CEA"/>
    <w:rsid w:val="00557E0A"/>
    <w:rsid w:val="0060754B"/>
    <w:rsid w:val="00621446"/>
    <w:rsid w:val="00664A5B"/>
    <w:rsid w:val="00680132"/>
    <w:rsid w:val="006A25F0"/>
    <w:rsid w:val="006D7F02"/>
    <w:rsid w:val="0076367E"/>
    <w:rsid w:val="007E4C91"/>
    <w:rsid w:val="007F0332"/>
    <w:rsid w:val="0080134A"/>
    <w:rsid w:val="00834A09"/>
    <w:rsid w:val="008623DE"/>
    <w:rsid w:val="00883281"/>
    <w:rsid w:val="008A1F41"/>
    <w:rsid w:val="00905870"/>
    <w:rsid w:val="0093091B"/>
    <w:rsid w:val="00962638"/>
    <w:rsid w:val="009A497F"/>
    <w:rsid w:val="00B22AD0"/>
    <w:rsid w:val="00DD1CF0"/>
    <w:rsid w:val="00E06202"/>
    <w:rsid w:val="00E15394"/>
    <w:rsid w:val="00F245C6"/>
    <w:rsid w:val="00FA044A"/>
    <w:rsid w:val="00FC5935"/>
    <w:rsid w:val="00FF3D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93C44-18B2-450B-AF18-D0632EFD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1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013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962638"/>
    <w:pPr>
      <w:ind w:left="720"/>
      <w:contextualSpacing/>
    </w:pPr>
  </w:style>
  <w:style w:type="paragraph" w:styleId="Header">
    <w:name w:val="header"/>
    <w:basedOn w:val="Normal"/>
    <w:link w:val="HeaderChar"/>
    <w:uiPriority w:val="99"/>
    <w:unhideWhenUsed/>
    <w:rsid w:val="0080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34A"/>
  </w:style>
  <w:style w:type="paragraph" w:styleId="Footer">
    <w:name w:val="footer"/>
    <w:basedOn w:val="Normal"/>
    <w:link w:val="FooterChar"/>
    <w:uiPriority w:val="99"/>
    <w:unhideWhenUsed/>
    <w:rsid w:val="0080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90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2021-09-06T05:07:00Z</dcterms:created>
  <dcterms:modified xsi:type="dcterms:W3CDTF">2021-09-06T07:23:00Z</dcterms:modified>
</cp:coreProperties>
</file>