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67C" w:rsidRPr="00135C7F" w:rsidRDefault="00D9367C" w:rsidP="00135C7F">
      <w:pPr>
        <w:pStyle w:val="ListParagraph"/>
        <w:numPr>
          <w:ilvl w:val="0"/>
          <w:numId w:val="3"/>
        </w:numPr>
        <w:spacing w:after="0" w:line="360" w:lineRule="auto"/>
        <w:jc w:val="both"/>
        <w:rPr>
          <w:rFonts w:ascii="Times New Roman" w:hAnsi="Times New Roman" w:cs="Times New Roman"/>
          <w:sz w:val="24"/>
          <w:szCs w:val="24"/>
        </w:rPr>
      </w:pPr>
      <w:r w:rsidRPr="00135C7F">
        <w:rPr>
          <w:rFonts w:ascii="Times New Roman" w:hAnsi="Times New Roman" w:cs="Times New Roman"/>
          <w:sz w:val="24"/>
          <w:szCs w:val="24"/>
        </w:rPr>
        <w:t>JIMSON GUDO</w:t>
      </w:r>
    </w:p>
    <w:p w:rsidR="00D9367C" w:rsidRDefault="00D9367C" w:rsidP="00135C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Versus</w:t>
      </w:r>
    </w:p>
    <w:p w:rsidR="00D9367C" w:rsidRDefault="00D9367C" w:rsidP="00135C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STATE</w:t>
      </w:r>
    </w:p>
    <w:p w:rsidR="00135C7F" w:rsidRDefault="00135C7F" w:rsidP="00135C7F">
      <w:pPr>
        <w:spacing w:after="0" w:line="360" w:lineRule="auto"/>
        <w:ind w:firstLine="360"/>
        <w:jc w:val="both"/>
        <w:rPr>
          <w:rFonts w:ascii="Times New Roman" w:hAnsi="Times New Roman" w:cs="Times New Roman"/>
          <w:sz w:val="24"/>
          <w:szCs w:val="24"/>
        </w:rPr>
      </w:pPr>
    </w:p>
    <w:p w:rsidR="00135C7F" w:rsidRPr="00135C7F" w:rsidRDefault="00135C7F" w:rsidP="00135C7F">
      <w:pPr>
        <w:pStyle w:val="ListParagraph"/>
        <w:numPr>
          <w:ilvl w:val="0"/>
          <w:numId w:val="3"/>
        </w:numPr>
        <w:spacing w:after="0" w:line="360" w:lineRule="auto"/>
        <w:jc w:val="both"/>
        <w:rPr>
          <w:rFonts w:ascii="Times New Roman" w:hAnsi="Times New Roman" w:cs="Times New Roman"/>
          <w:sz w:val="24"/>
          <w:szCs w:val="24"/>
        </w:rPr>
      </w:pPr>
      <w:r w:rsidRPr="00135C7F">
        <w:rPr>
          <w:rFonts w:ascii="Times New Roman" w:hAnsi="Times New Roman" w:cs="Times New Roman"/>
          <w:sz w:val="24"/>
          <w:szCs w:val="24"/>
        </w:rPr>
        <w:t>JIMSON GUDO</w:t>
      </w:r>
    </w:p>
    <w:p w:rsidR="00135C7F" w:rsidRDefault="00135C7F" w:rsidP="00135C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Versus</w:t>
      </w:r>
    </w:p>
    <w:p w:rsidR="00135C7F" w:rsidRDefault="00135C7F" w:rsidP="00135C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STATE</w:t>
      </w:r>
    </w:p>
    <w:p w:rsidR="00135C7F" w:rsidRPr="00135C7F" w:rsidRDefault="00135C7F" w:rsidP="00135C7F">
      <w:pPr>
        <w:pStyle w:val="ListParagraph"/>
        <w:spacing w:after="0" w:line="360" w:lineRule="auto"/>
        <w:ind w:left="360"/>
        <w:jc w:val="both"/>
        <w:rPr>
          <w:rFonts w:ascii="Times New Roman" w:hAnsi="Times New Roman" w:cs="Times New Roman"/>
          <w:sz w:val="24"/>
          <w:szCs w:val="24"/>
        </w:rPr>
      </w:pPr>
    </w:p>
    <w:p w:rsidR="00D9367C" w:rsidRDefault="00D9367C" w:rsidP="00D9367C">
      <w:pPr>
        <w:spacing w:after="0" w:line="360" w:lineRule="auto"/>
        <w:jc w:val="both"/>
        <w:rPr>
          <w:rFonts w:ascii="Times New Roman" w:hAnsi="Times New Roman" w:cs="Times New Roman"/>
          <w:sz w:val="24"/>
          <w:szCs w:val="24"/>
        </w:rPr>
      </w:pPr>
    </w:p>
    <w:p w:rsidR="00D9367C" w:rsidRDefault="00D9367C" w:rsidP="00D9367C">
      <w:pPr>
        <w:spacing w:after="0" w:line="360" w:lineRule="auto"/>
        <w:jc w:val="both"/>
        <w:rPr>
          <w:rFonts w:ascii="Times New Roman" w:hAnsi="Times New Roman" w:cs="Times New Roman"/>
          <w:sz w:val="24"/>
          <w:szCs w:val="24"/>
        </w:rPr>
      </w:pPr>
    </w:p>
    <w:p w:rsidR="00D9367C" w:rsidRDefault="00D9367C" w:rsidP="00D93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9367C" w:rsidRDefault="005205D5" w:rsidP="00D93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w:t>
      </w:r>
      <w:r w:rsidR="00941C2E">
        <w:rPr>
          <w:rFonts w:ascii="Times New Roman" w:hAnsi="Times New Roman" w:cs="Times New Roman"/>
          <w:sz w:val="24"/>
          <w:szCs w:val="24"/>
        </w:rPr>
        <w:t>DZE J &amp;</w:t>
      </w:r>
      <w:r w:rsidR="00D9367C">
        <w:rPr>
          <w:rFonts w:ascii="Times New Roman" w:hAnsi="Times New Roman" w:cs="Times New Roman"/>
          <w:sz w:val="24"/>
          <w:szCs w:val="24"/>
        </w:rPr>
        <w:t xml:space="preserve">WAMAMBO J </w:t>
      </w:r>
    </w:p>
    <w:p w:rsidR="00D9367C" w:rsidRDefault="00D9367C" w:rsidP="00D93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941C2E">
        <w:rPr>
          <w:rFonts w:ascii="Times New Roman" w:hAnsi="Times New Roman" w:cs="Times New Roman"/>
          <w:sz w:val="24"/>
          <w:szCs w:val="24"/>
        </w:rPr>
        <w:t xml:space="preserve">10 </w:t>
      </w:r>
      <w:r>
        <w:rPr>
          <w:rFonts w:ascii="Times New Roman" w:hAnsi="Times New Roman" w:cs="Times New Roman"/>
          <w:sz w:val="24"/>
          <w:szCs w:val="24"/>
        </w:rPr>
        <w:t>September, 2021</w:t>
      </w:r>
    </w:p>
    <w:p w:rsidR="00D9367C" w:rsidRDefault="00D9367C" w:rsidP="00D9367C">
      <w:pPr>
        <w:spacing w:after="0" w:line="360" w:lineRule="auto"/>
        <w:jc w:val="both"/>
        <w:rPr>
          <w:rFonts w:ascii="Times New Roman" w:hAnsi="Times New Roman" w:cs="Times New Roman"/>
          <w:sz w:val="24"/>
          <w:szCs w:val="24"/>
        </w:rPr>
      </w:pPr>
    </w:p>
    <w:p w:rsidR="00D9367C" w:rsidRDefault="00D9367C" w:rsidP="00D9367C">
      <w:pPr>
        <w:spacing w:after="0" w:line="360" w:lineRule="auto"/>
        <w:jc w:val="both"/>
        <w:rPr>
          <w:rFonts w:ascii="Times New Roman" w:hAnsi="Times New Roman" w:cs="Times New Roman"/>
          <w:sz w:val="24"/>
          <w:szCs w:val="24"/>
        </w:rPr>
      </w:pPr>
    </w:p>
    <w:p w:rsidR="00D9367C" w:rsidRDefault="00D9367C" w:rsidP="00D9367C">
      <w:pPr>
        <w:spacing w:after="0" w:line="240" w:lineRule="auto"/>
        <w:jc w:val="both"/>
        <w:rPr>
          <w:rFonts w:ascii="Times New Roman" w:hAnsi="Times New Roman" w:cs="Times New Roman"/>
          <w:sz w:val="24"/>
          <w:szCs w:val="24"/>
        </w:rPr>
      </w:pPr>
      <w:r w:rsidRPr="00F42937">
        <w:rPr>
          <w:rFonts w:ascii="Times New Roman" w:hAnsi="Times New Roman" w:cs="Times New Roman"/>
          <w:i/>
          <w:sz w:val="24"/>
          <w:szCs w:val="24"/>
        </w:rPr>
        <w:t>M</w:t>
      </w:r>
      <w:r w:rsidR="00C75CAB">
        <w:rPr>
          <w:rFonts w:ascii="Times New Roman" w:hAnsi="Times New Roman" w:cs="Times New Roman"/>
          <w:i/>
          <w:sz w:val="24"/>
          <w:szCs w:val="24"/>
        </w:rPr>
        <w:t>s</w:t>
      </w:r>
      <w:r w:rsidRPr="00F42937">
        <w:rPr>
          <w:rFonts w:ascii="Times New Roman" w:hAnsi="Times New Roman" w:cs="Times New Roman"/>
          <w:i/>
          <w:sz w:val="24"/>
          <w:szCs w:val="24"/>
        </w:rPr>
        <w:t xml:space="preserve">. </w:t>
      </w:r>
      <w:r w:rsidR="00C75CAB">
        <w:rPr>
          <w:rFonts w:ascii="Times New Roman" w:hAnsi="Times New Roman" w:cs="Times New Roman"/>
          <w:i/>
          <w:sz w:val="24"/>
          <w:szCs w:val="24"/>
        </w:rPr>
        <w:t>I</w:t>
      </w:r>
      <w:r w:rsidRPr="00F42937">
        <w:rPr>
          <w:rFonts w:ascii="Times New Roman" w:hAnsi="Times New Roman" w:cs="Times New Roman"/>
          <w:i/>
          <w:sz w:val="24"/>
          <w:szCs w:val="24"/>
        </w:rPr>
        <w:t xml:space="preserve">. </w:t>
      </w:r>
      <w:r>
        <w:rPr>
          <w:rFonts w:ascii="Times New Roman" w:hAnsi="Times New Roman" w:cs="Times New Roman"/>
          <w:i/>
          <w:sz w:val="24"/>
          <w:szCs w:val="24"/>
        </w:rPr>
        <w:t>M</w:t>
      </w:r>
      <w:r w:rsidR="00C75CAB">
        <w:rPr>
          <w:rFonts w:ascii="Times New Roman" w:hAnsi="Times New Roman" w:cs="Times New Roman"/>
          <w:i/>
          <w:sz w:val="24"/>
          <w:szCs w:val="24"/>
        </w:rPr>
        <w:t>oyo</w:t>
      </w:r>
      <w:r>
        <w:rPr>
          <w:rFonts w:ascii="Times New Roman" w:hAnsi="Times New Roman" w:cs="Times New Roman"/>
          <w:sz w:val="24"/>
          <w:szCs w:val="24"/>
        </w:rPr>
        <w:t xml:space="preserve"> for the Appellant</w:t>
      </w:r>
    </w:p>
    <w:p w:rsidR="00D9367C" w:rsidRDefault="00D9367C" w:rsidP="00D9367C">
      <w:pPr>
        <w:spacing w:after="0" w:line="240" w:lineRule="auto"/>
        <w:jc w:val="both"/>
        <w:rPr>
          <w:rFonts w:ascii="Times New Roman" w:hAnsi="Times New Roman" w:cs="Times New Roman"/>
          <w:sz w:val="24"/>
          <w:szCs w:val="24"/>
        </w:rPr>
      </w:pPr>
      <w:r w:rsidRPr="00F42937">
        <w:rPr>
          <w:rFonts w:ascii="Times New Roman" w:hAnsi="Times New Roman" w:cs="Times New Roman"/>
          <w:i/>
          <w:sz w:val="24"/>
          <w:szCs w:val="24"/>
        </w:rPr>
        <w:t>M</w:t>
      </w:r>
      <w:r w:rsidR="00C75CAB">
        <w:rPr>
          <w:rFonts w:ascii="Times New Roman" w:hAnsi="Times New Roman" w:cs="Times New Roman"/>
          <w:i/>
          <w:sz w:val="24"/>
          <w:szCs w:val="24"/>
        </w:rPr>
        <w:t>sM</w:t>
      </w:r>
      <w:r>
        <w:rPr>
          <w:rFonts w:ascii="Times New Roman" w:hAnsi="Times New Roman" w:cs="Times New Roman"/>
          <w:i/>
          <w:sz w:val="24"/>
          <w:szCs w:val="24"/>
        </w:rPr>
        <w:t>.</w:t>
      </w:r>
      <w:r w:rsidR="00C75CAB">
        <w:rPr>
          <w:rFonts w:ascii="Times New Roman" w:hAnsi="Times New Roman" w:cs="Times New Roman"/>
          <w:i/>
          <w:sz w:val="24"/>
          <w:szCs w:val="24"/>
        </w:rPr>
        <w:t>Mutumhe</w:t>
      </w:r>
      <w:r w:rsidR="00896023">
        <w:rPr>
          <w:rFonts w:ascii="Times New Roman" w:hAnsi="Times New Roman" w:cs="Times New Roman"/>
          <w:i/>
          <w:sz w:val="24"/>
          <w:szCs w:val="24"/>
        </w:rPr>
        <w:t xml:space="preserve"> </w:t>
      </w:r>
      <w:r>
        <w:rPr>
          <w:rFonts w:ascii="Times New Roman" w:hAnsi="Times New Roman" w:cs="Times New Roman"/>
          <w:sz w:val="24"/>
          <w:szCs w:val="24"/>
        </w:rPr>
        <w:t>for the Respondent</w:t>
      </w:r>
    </w:p>
    <w:p w:rsidR="00D9367C" w:rsidRDefault="00D9367C" w:rsidP="00D9367C">
      <w:pPr>
        <w:spacing w:after="0" w:line="360" w:lineRule="auto"/>
        <w:jc w:val="both"/>
        <w:rPr>
          <w:rFonts w:ascii="Times New Roman" w:hAnsi="Times New Roman" w:cs="Times New Roman"/>
          <w:sz w:val="24"/>
          <w:szCs w:val="24"/>
        </w:rPr>
      </w:pPr>
    </w:p>
    <w:p w:rsidR="00D9367C" w:rsidRDefault="00D9367C" w:rsidP="00D9367C">
      <w:pPr>
        <w:spacing w:after="0" w:line="360" w:lineRule="auto"/>
        <w:jc w:val="both"/>
        <w:rPr>
          <w:rFonts w:ascii="Times New Roman" w:hAnsi="Times New Roman" w:cs="Times New Roman"/>
          <w:sz w:val="24"/>
          <w:szCs w:val="24"/>
        </w:rPr>
      </w:pPr>
    </w:p>
    <w:p w:rsidR="00D9367C" w:rsidRDefault="008C04A2" w:rsidP="00D936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Criminal </w:t>
      </w:r>
      <w:r w:rsidR="00D9367C">
        <w:rPr>
          <w:rFonts w:ascii="Times New Roman" w:hAnsi="Times New Roman" w:cs="Times New Roman"/>
          <w:b/>
          <w:sz w:val="24"/>
          <w:szCs w:val="24"/>
        </w:rPr>
        <w:t>Appeal</w:t>
      </w:r>
    </w:p>
    <w:p w:rsidR="00D9367C" w:rsidRDefault="00D9367C" w:rsidP="00D9367C">
      <w:pPr>
        <w:spacing w:after="0" w:line="360" w:lineRule="auto"/>
        <w:jc w:val="both"/>
        <w:rPr>
          <w:rFonts w:ascii="Times New Roman" w:hAnsi="Times New Roman" w:cs="Times New Roman"/>
          <w:sz w:val="24"/>
          <w:szCs w:val="24"/>
        </w:rPr>
      </w:pPr>
    </w:p>
    <w:p w:rsidR="00D9367C" w:rsidRDefault="00D9367C" w:rsidP="00D9367C">
      <w:pPr>
        <w:spacing w:after="0" w:line="360" w:lineRule="auto"/>
        <w:jc w:val="both"/>
        <w:rPr>
          <w:rFonts w:ascii="Times New Roman" w:hAnsi="Times New Roman" w:cs="Times New Roman"/>
          <w:sz w:val="24"/>
          <w:szCs w:val="24"/>
        </w:rPr>
      </w:pPr>
    </w:p>
    <w:p w:rsidR="00092A45" w:rsidRDefault="00635294"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w:t>
      </w:r>
      <w:r w:rsidR="00D9367C">
        <w:rPr>
          <w:rFonts w:ascii="Times New Roman" w:hAnsi="Times New Roman" w:cs="Times New Roman"/>
          <w:sz w:val="24"/>
          <w:szCs w:val="24"/>
        </w:rPr>
        <w:t xml:space="preserve"> J:   </w:t>
      </w:r>
      <w:r w:rsidR="00D9367C">
        <w:rPr>
          <w:rFonts w:ascii="Times New Roman" w:hAnsi="Times New Roman" w:cs="Times New Roman"/>
          <w:sz w:val="24"/>
          <w:szCs w:val="24"/>
        </w:rPr>
        <w:tab/>
      </w:r>
      <w:r w:rsidR="008B0D64">
        <w:rPr>
          <w:rFonts w:ascii="Times New Roman" w:hAnsi="Times New Roman" w:cs="Times New Roman"/>
          <w:sz w:val="24"/>
          <w:szCs w:val="24"/>
        </w:rPr>
        <w:t xml:space="preserve">On 21 July 2021 after </w:t>
      </w:r>
      <w:r w:rsidR="00432EB1">
        <w:rPr>
          <w:rFonts w:ascii="Times New Roman" w:hAnsi="Times New Roman" w:cs="Times New Roman"/>
          <w:sz w:val="24"/>
          <w:szCs w:val="24"/>
        </w:rPr>
        <w:t xml:space="preserve">hearing arguments from counsel we </w:t>
      </w:r>
      <w:r w:rsidR="00092A45">
        <w:rPr>
          <w:rFonts w:ascii="Times New Roman" w:hAnsi="Times New Roman" w:cs="Times New Roman"/>
          <w:sz w:val="24"/>
          <w:szCs w:val="24"/>
        </w:rPr>
        <w:t>proceeded</w:t>
      </w:r>
      <w:r w:rsidR="00432EB1">
        <w:rPr>
          <w:rFonts w:ascii="Times New Roman" w:hAnsi="Times New Roman" w:cs="Times New Roman"/>
          <w:sz w:val="24"/>
          <w:szCs w:val="24"/>
        </w:rPr>
        <w:t xml:space="preserve"> to deliver an </w:t>
      </w:r>
      <w:r w:rsidR="001B0E37" w:rsidRPr="00432EB1">
        <w:rPr>
          <w:rFonts w:ascii="Times New Roman" w:hAnsi="Times New Roman" w:cs="Times New Roman"/>
          <w:i/>
          <w:sz w:val="24"/>
          <w:szCs w:val="24"/>
        </w:rPr>
        <w:t>extempore</w:t>
      </w:r>
      <w:r w:rsidR="001B0E37">
        <w:rPr>
          <w:rFonts w:ascii="Times New Roman" w:hAnsi="Times New Roman" w:cs="Times New Roman"/>
          <w:sz w:val="24"/>
          <w:szCs w:val="24"/>
        </w:rPr>
        <w:t xml:space="preserve"> judgement</w:t>
      </w:r>
      <w:r w:rsidR="009A0440">
        <w:rPr>
          <w:rFonts w:ascii="Times New Roman" w:hAnsi="Times New Roman" w:cs="Times New Roman"/>
          <w:sz w:val="24"/>
          <w:szCs w:val="24"/>
        </w:rPr>
        <w:t xml:space="preserve">. The </w:t>
      </w:r>
      <w:r w:rsidR="00442D0F">
        <w:rPr>
          <w:rFonts w:ascii="Times New Roman" w:hAnsi="Times New Roman" w:cs="Times New Roman"/>
          <w:sz w:val="24"/>
          <w:szCs w:val="24"/>
        </w:rPr>
        <w:t>resultant order</w:t>
      </w:r>
      <w:r w:rsidR="00092A45">
        <w:rPr>
          <w:rFonts w:ascii="Times New Roman" w:hAnsi="Times New Roman" w:cs="Times New Roman"/>
          <w:sz w:val="24"/>
          <w:szCs w:val="24"/>
        </w:rPr>
        <w:t xml:space="preserve"> issued was as follows;</w:t>
      </w:r>
    </w:p>
    <w:p w:rsidR="00EE191C" w:rsidRDefault="00EE191C" w:rsidP="00F840A9">
      <w:pPr>
        <w:spacing w:after="0"/>
        <w:ind w:left="720"/>
        <w:jc w:val="both"/>
        <w:rPr>
          <w:rFonts w:ascii="Times New Roman" w:hAnsi="Times New Roman" w:cs="Times New Roman"/>
          <w:i/>
          <w:sz w:val="24"/>
          <w:szCs w:val="24"/>
        </w:rPr>
      </w:pPr>
      <w:r>
        <w:rPr>
          <w:rFonts w:ascii="Times New Roman" w:hAnsi="Times New Roman" w:cs="Times New Roman"/>
          <w:sz w:val="24"/>
          <w:szCs w:val="24"/>
        </w:rPr>
        <w:t>"</w:t>
      </w:r>
      <w:r w:rsidRPr="00EE191C">
        <w:rPr>
          <w:rFonts w:ascii="Times New Roman" w:hAnsi="Times New Roman" w:cs="Times New Roman"/>
          <w:i/>
          <w:sz w:val="24"/>
          <w:szCs w:val="24"/>
        </w:rPr>
        <w:t>It is ordered that the appeals in respect of sentence in both matters CRB CA 75/20 and CA 76/20 be and are hereby dismissed for lack of merit."</w:t>
      </w:r>
    </w:p>
    <w:p w:rsidR="00F16A7C" w:rsidRDefault="00F16A7C" w:rsidP="00F840A9">
      <w:pPr>
        <w:spacing w:after="0"/>
        <w:ind w:left="720"/>
        <w:jc w:val="both"/>
        <w:rPr>
          <w:rFonts w:ascii="Times New Roman" w:hAnsi="Times New Roman" w:cs="Times New Roman"/>
          <w:sz w:val="24"/>
          <w:szCs w:val="24"/>
        </w:rPr>
      </w:pPr>
    </w:p>
    <w:p w:rsidR="00EC0284" w:rsidRDefault="00EC0284"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w:t>
      </w:r>
      <w:r w:rsidR="006938D5">
        <w:rPr>
          <w:rFonts w:ascii="Times New Roman" w:hAnsi="Times New Roman" w:cs="Times New Roman"/>
          <w:sz w:val="24"/>
          <w:szCs w:val="24"/>
        </w:rPr>
        <w:t>September 2021</w:t>
      </w:r>
      <w:r w:rsidR="007A4479">
        <w:rPr>
          <w:rFonts w:ascii="Times New Roman" w:hAnsi="Times New Roman" w:cs="Times New Roman"/>
          <w:sz w:val="24"/>
          <w:szCs w:val="24"/>
        </w:rPr>
        <w:t xml:space="preserve"> I received a letter from </w:t>
      </w:r>
      <w:r w:rsidR="007A4479" w:rsidRPr="00A96CD2">
        <w:rPr>
          <w:rFonts w:ascii="Times New Roman" w:hAnsi="Times New Roman" w:cs="Times New Roman"/>
          <w:i/>
          <w:sz w:val="24"/>
          <w:szCs w:val="24"/>
        </w:rPr>
        <w:t>Ms I Moyo</w:t>
      </w:r>
      <w:r w:rsidR="007A4479">
        <w:rPr>
          <w:rFonts w:ascii="Times New Roman" w:hAnsi="Times New Roman" w:cs="Times New Roman"/>
          <w:sz w:val="24"/>
          <w:szCs w:val="24"/>
        </w:rPr>
        <w:t xml:space="preserve">counsel for the appellant in both matters </w:t>
      </w:r>
      <w:r w:rsidR="008D65C0">
        <w:rPr>
          <w:rFonts w:ascii="Times New Roman" w:hAnsi="Times New Roman" w:cs="Times New Roman"/>
          <w:sz w:val="24"/>
          <w:szCs w:val="24"/>
        </w:rPr>
        <w:t>in which</w:t>
      </w:r>
      <w:r w:rsidR="007A4479">
        <w:rPr>
          <w:rFonts w:ascii="Times New Roman" w:hAnsi="Times New Roman" w:cs="Times New Roman"/>
          <w:sz w:val="24"/>
          <w:szCs w:val="24"/>
        </w:rPr>
        <w:t xml:space="preserve"> she requested written reasons for the judgement. These are they;</w:t>
      </w:r>
    </w:p>
    <w:p w:rsidR="009B4574" w:rsidRDefault="009B4574"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appeals relate to the same appellant. He was convicted on the same day by the same magistrate </w:t>
      </w:r>
      <w:r w:rsidR="00D9045E">
        <w:rPr>
          <w:rFonts w:ascii="Times New Roman" w:hAnsi="Times New Roman" w:cs="Times New Roman"/>
          <w:sz w:val="24"/>
          <w:szCs w:val="24"/>
        </w:rPr>
        <w:t>sitting at</w:t>
      </w:r>
      <w:r>
        <w:rPr>
          <w:rFonts w:ascii="Times New Roman" w:hAnsi="Times New Roman" w:cs="Times New Roman"/>
          <w:sz w:val="24"/>
          <w:szCs w:val="24"/>
        </w:rPr>
        <w:t>Mwenezi on 9 May 2020</w:t>
      </w:r>
      <w:r w:rsidR="00D9045E">
        <w:rPr>
          <w:rFonts w:ascii="Times New Roman" w:hAnsi="Times New Roman" w:cs="Times New Roman"/>
          <w:sz w:val="24"/>
          <w:szCs w:val="24"/>
        </w:rPr>
        <w:t>.  Both matters</w:t>
      </w:r>
      <w:r w:rsidR="00FF351E">
        <w:rPr>
          <w:rFonts w:ascii="Times New Roman" w:hAnsi="Times New Roman" w:cs="Times New Roman"/>
          <w:sz w:val="24"/>
          <w:szCs w:val="24"/>
        </w:rPr>
        <w:t xml:space="preserve"> proceeded in terms of section 271 </w:t>
      </w:r>
      <w:r w:rsidR="00A64C2E">
        <w:rPr>
          <w:rFonts w:ascii="Times New Roman" w:hAnsi="Times New Roman" w:cs="Times New Roman"/>
          <w:sz w:val="24"/>
          <w:szCs w:val="24"/>
        </w:rPr>
        <w:lastRenderedPageBreak/>
        <w:t>(2) (b) of the Criminal Procedure Evidence Act [</w:t>
      </w:r>
      <w:r w:rsidR="00A64C2E" w:rsidRPr="00A64C2E">
        <w:rPr>
          <w:rFonts w:ascii="Times New Roman" w:hAnsi="Times New Roman" w:cs="Times New Roman"/>
          <w:i/>
          <w:sz w:val="24"/>
          <w:szCs w:val="24"/>
        </w:rPr>
        <w:t>Chapter 9:07</w:t>
      </w:r>
      <w:r w:rsidR="00A64C2E">
        <w:rPr>
          <w:rFonts w:ascii="Times New Roman" w:hAnsi="Times New Roman" w:cs="Times New Roman"/>
          <w:sz w:val="24"/>
          <w:szCs w:val="24"/>
        </w:rPr>
        <w:t>]</w:t>
      </w:r>
      <w:r w:rsidR="00E16F6F">
        <w:rPr>
          <w:rFonts w:ascii="Times New Roman" w:hAnsi="Times New Roman" w:cs="Times New Roman"/>
          <w:sz w:val="24"/>
          <w:szCs w:val="24"/>
        </w:rPr>
        <w:t xml:space="preserve">. The appellant in both matters was </w:t>
      </w:r>
      <w:r w:rsidR="00CE3B76">
        <w:rPr>
          <w:rFonts w:ascii="Times New Roman" w:hAnsi="Times New Roman" w:cs="Times New Roman"/>
          <w:sz w:val="24"/>
          <w:szCs w:val="24"/>
        </w:rPr>
        <w:t>sentenced</w:t>
      </w:r>
      <w:r w:rsidR="00E16F6F">
        <w:rPr>
          <w:rFonts w:ascii="Times New Roman" w:hAnsi="Times New Roman" w:cs="Times New Roman"/>
          <w:sz w:val="24"/>
          <w:szCs w:val="24"/>
        </w:rPr>
        <w:t xml:space="preserve"> to effective   custodial sentences.</w:t>
      </w:r>
    </w:p>
    <w:p w:rsidR="007808C9" w:rsidRDefault="007808C9"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with the </w:t>
      </w:r>
      <w:r w:rsidR="001F44BD">
        <w:rPr>
          <w:rFonts w:ascii="Times New Roman" w:hAnsi="Times New Roman" w:cs="Times New Roman"/>
          <w:sz w:val="24"/>
          <w:szCs w:val="24"/>
        </w:rPr>
        <w:t xml:space="preserve">sentences imposed in both matters the appellant approached this court. The appellant is represented by </w:t>
      </w:r>
      <w:r w:rsidR="001F44BD" w:rsidRPr="00DF2A7E">
        <w:rPr>
          <w:rFonts w:ascii="Times New Roman" w:hAnsi="Times New Roman" w:cs="Times New Roman"/>
          <w:i/>
          <w:sz w:val="24"/>
          <w:szCs w:val="24"/>
        </w:rPr>
        <w:t xml:space="preserve">Ms I </w:t>
      </w:r>
      <w:r w:rsidR="003658C2" w:rsidRPr="00DF2A7E">
        <w:rPr>
          <w:rFonts w:ascii="Times New Roman" w:hAnsi="Times New Roman" w:cs="Times New Roman"/>
          <w:i/>
          <w:sz w:val="24"/>
          <w:szCs w:val="24"/>
        </w:rPr>
        <w:t>Moyo</w:t>
      </w:r>
      <w:r w:rsidR="003658C2">
        <w:rPr>
          <w:rFonts w:ascii="Times New Roman" w:hAnsi="Times New Roman" w:cs="Times New Roman"/>
          <w:sz w:val="24"/>
          <w:szCs w:val="24"/>
        </w:rPr>
        <w:t xml:space="preserve"> in both </w:t>
      </w:r>
      <w:r w:rsidR="00412CE9">
        <w:rPr>
          <w:rFonts w:ascii="Times New Roman" w:hAnsi="Times New Roman" w:cs="Times New Roman"/>
          <w:sz w:val="24"/>
          <w:szCs w:val="24"/>
        </w:rPr>
        <w:t xml:space="preserve">matters and </w:t>
      </w:r>
      <w:r w:rsidR="00412CE9" w:rsidRPr="00F16A7C">
        <w:rPr>
          <w:rFonts w:ascii="Times New Roman" w:hAnsi="Times New Roman" w:cs="Times New Roman"/>
          <w:i/>
          <w:sz w:val="24"/>
          <w:szCs w:val="24"/>
        </w:rPr>
        <w:t>Ms Mutumhe</w:t>
      </w:r>
      <w:r w:rsidR="00412CE9">
        <w:rPr>
          <w:rFonts w:ascii="Times New Roman" w:hAnsi="Times New Roman" w:cs="Times New Roman"/>
          <w:sz w:val="24"/>
          <w:szCs w:val="24"/>
        </w:rPr>
        <w:t xml:space="preserve"> represents the respondent in both matters.</w:t>
      </w:r>
    </w:p>
    <w:p w:rsidR="00412CE9" w:rsidRDefault="00412CE9"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of both matters </w:t>
      </w:r>
      <w:r w:rsidRPr="00A96CD2">
        <w:rPr>
          <w:rFonts w:ascii="Times New Roman" w:hAnsi="Times New Roman" w:cs="Times New Roman"/>
          <w:i/>
          <w:sz w:val="24"/>
          <w:szCs w:val="24"/>
        </w:rPr>
        <w:t>Ms Moyo</w:t>
      </w:r>
      <w:r>
        <w:rPr>
          <w:rFonts w:ascii="Times New Roman" w:hAnsi="Times New Roman" w:cs="Times New Roman"/>
          <w:sz w:val="24"/>
          <w:szCs w:val="24"/>
        </w:rPr>
        <w:t xml:space="preserve"> for the appellant in CA</w:t>
      </w:r>
      <w:r w:rsidR="00CF1369">
        <w:rPr>
          <w:rFonts w:ascii="Times New Roman" w:hAnsi="Times New Roman" w:cs="Times New Roman"/>
          <w:sz w:val="24"/>
          <w:szCs w:val="24"/>
        </w:rPr>
        <w:t xml:space="preserve"> 75/20 and CA 76/20 applied </w:t>
      </w:r>
      <w:r w:rsidR="00F624EA">
        <w:rPr>
          <w:rFonts w:ascii="Times New Roman" w:hAnsi="Times New Roman" w:cs="Times New Roman"/>
          <w:sz w:val="24"/>
          <w:szCs w:val="24"/>
        </w:rPr>
        <w:t>for the</w:t>
      </w:r>
      <w:r w:rsidR="00CF1369">
        <w:rPr>
          <w:rFonts w:ascii="Times New Roman" w:hAnsi="Times New Roman" w:cs="Times New Roman"/>
          <w:sz w:val="24"/>
          <w:szCs w:val="24"/>
        </w:rPr>
        <w:t xml:space="preserve"> consolidation of the two appeals. The </w:t>
      </w:r>
      <w:r w:rsidR="00711BA7">
        <w:rPr>
          <w:rFonts w:ascii="Times New Roman" w:hAnsi="Times New Roman" w:cs="Times New Roman"/>
          <w:sz w:val="24"/>
          <w:szCs w:val="24"/>
        </w:rPr>
        <w:t xml:space="preserve">application for consolidation was supported by </w:t>
      </w:r>
      <w:r w:rsidR="00711BA7" w:rsidRPr="00A96CD2">
        <w:rPr>
          <w:rFonts w:ascii="Times New Roman" w:hAnsi="Times New Roman" w:cs="Times New Roman"/>
          <w:i/>
          <w:sz w:val="24"/>
          <w:szCs w:val="24"/>
        </w:rPr>
        <w:t xml:space="preserve">Ms </w:t>
      </w:r>
      <w:r w:rsidR="006639CE" w:rsidRPr="00A96CD2">
        <w:rPr>
          <w:rFonts w:ascii="Times New Roman" w:hAnsi="Times New Roman" w:cs="Times New Roman"/>
          <w:i/>
          <w:sz w:val="24"/>
          <w:szCs w:val="24"/>
        </w:rPr>
        <w:t>Mutumhe</w:t>
      </w:r>
      <w:r w:rsidR="006639CE">
        <w:rPr>
          <w:rFonts w:ascii="Times New Roman" w:hAnsi="Times New Roman" w:cs="Times New Roman"/>
          <w:sz w:val="24"/>
          <w:szCs w:val="24"/>
        </w:rPr>
        <w:t xml:space="preserve"> for</w:t>
      </w:r>
      <w:r w:rsidR="00711BA7">
        <w:rPr>
          <w:rFonts w:ascii="Times New Roman" w:hAnsi="Times New Roman" w:cs="Times New Roman"/>
          <w:sz w:val="24"/>
          <w:szCs w:val="24"/>
        </w:rPr>
        <w:t xml:space="preserve"> the respondent being the state.</w:t>
      </w:r>
      <w:r w:rsidR="006639CE">
        <w:rPr>
          <w:rFonts w:ascii="Times New Roman" w:hAnsi="Times New Roman" w:cs="Times New Roman"/>
          <w:sz w:val="24"/>
          <w:szCs w:val="24"/>
        </w:rPr>
        <w:t xml:space="preserve"> This application </w:t>
      </w:r>
      <w:r w:rsidR="00814A56">
        <w:rPr>
          <w:rFonts w:ascii="Times New Roman" w:hAnsi="Times New Roman" w:cs="Times New Roman"/>
          <w:sz w:val="24"/>
          <w:szCs w:val="24"/>
        </w:rPr>
        <w:t xml:space="preserve">for consolidation </w:t>
      </w:r>
      <w:r w:rsidR="00144A34">
        <w:rPr>
          <w:rFonts w:ascii="Times New Roman" w:hAnsi="Times New Roman" w:cs="Times New Roman"/>
          <w:sz w:val="24"/>
          <w:szCs w:val="24"/>
        </w:rPr>
        <w:t xml:space="preserve">was informed by the fact that similar issues arise in both </w:t>
      </w:r>
      <w:r w:rsidR="007A5720">
        <w:rPr>
          <w:rFonts w:ascii="Times New Roman" w:hAnsi="Times New Roman" w:cs="Times New Roman"/>
          <w:sz w:val="24"/>
          <w:szCs w:val="24"/>
        </w:rPr>
        <w:t>matters and</w:t>
      </w:r>
      <w:r w:rsidR="00144A34">
        <w:rPr>
          <w:rFonts w:ascii="Times New Roman" w:hAnsi="Times New Roman" w:cs="Times New Roman"/>
          <w:sz w:val="24"/>
          <w:szCs w:val="24"/>
        </w:rPr>
        <w:t xml:space="preserve"> that both matters were being argued by </w:t>
      </w:r>
      <w:r w:rsidR="00144A34" w:rsidRPr="00A96CD2">
        <w:rPr>
          <w:rFonts w:ascii="Times New Roman" w:hAnsi="Times New Roman" w:cs="Times New Roman"/>
          <w:i/>
          <w:sz w:val="24"/>
          <w:szCs w:val="24"/>
        </w:rPr>
        <w:t>Ms Moyo</w:t>
      </w:r>
      <w:r w:rsidR="00144A34">
        <w:rPr>
          <w:rFonts w:ascii="Times New Roman" w:hAnsi="Times New Roman" w:cs="Times New Roman"/>
          <w:sz w:val="24"/>
          <w:szCs w:val="24"/>
        </w:rPr>
        <w:t xml:space="preserve">for the appellant and </w:t>
      </w:r>
      <w:r w:rsidR="00144A34" w:rsidRPr="00A96CD2">
        <w:rPr>
          <w:rFonts w:ascii="Times New Roman" w:hAnsi="Times New Roman" w:cs="Times New Roman"/>
          <w:i/>
          <w:sz w:val="24"/>
          <w:szCs w:val="24"/>
        </w:rPr>
        <w:t>Ms Mutumhe</w:t>
      </w:r>
      <w:r w:rsidR="00913105">
        <w:rPr>
          <w:rFonts w:ascii="Times New Roman" w:hAnsi="Times New Roman" w:cs="Times New Roman"/>
          <w:sz w:val="24"/>
          <w:szCs w:val="24"/>
        </w:rPr>
        <w:t>for the responden</w:t>
      </w:r>
      <w:r w:rsidR="007A5720">
        <w:rPr>
          <w:rFonts w:ascii="Times New Roman" w:hAnsi="Times New Roman" w:cs="Times New Roman"/>
          <w:sz w:val="24"/>
          <w:szCs w:val="24"/>
        </w:rPr>
        <w:t>t. Consequently we granted the application for the consolidation of the two appeals.</w:t>
      </w:r>
    </w:p>
    <w:p w:rsidR="00372B59" w:rsidRDefault="00372B59"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D7D49">
        <w:rPr>
          <w:rFonts w:ascii="Times New Roman" w:hAnsi="Times New Roman" w:cs="Times New Roman"/>
          <w:sz w:val="24"/>
          <w:szCs w:val="24"/>
        </w:rPr>
        <w:t>facts of</w:t>
      </w:r>
      <w:r>
        <w:rPr>
          <w:rFonts w:ascii="Times New Roman" w:hAnsi="Times New Roman" w:cs="Times New Roman"/>
          <w:sz w:val="24"/>
          <w:szCs w:val="24"/>
        </w:rPr>
        <w:t xml:space="preserve"> the two matters are as follows;</w:t>
      </w:r>
    </w:p>
    <w:p w:rsidR="00372B59" w:rsidRPr="00F83B72" w:rsidRDefault="00372B59" w:rsidP="00F840A9">
      <w:pPr>
        <w:pStyle w:val="ListParagraph"/>
        <w:numPr>
          <w:ilvl w:val="0"/>
          <w:numId w:val="2"/>
        </w:numPr>
        <w:spacing w:after="0" w:line="360" w:lineRule="auto"/>
        <w:jc w:val="both"/>
        <w:rPr>
          <w:rFonts w:ascii="Times New Roman" w:hAnsi="Times New Roman" w:cs="Times New Roman"/>
          <w:sz w:val="24"/>
          <w:szCs w:val="24"/>
          <w:u w:val="single"/>
        </w:rPr>
      </w:pPr>
      <w:r w:rsidRPr="00372B59">
        <w:rPr>
          <w:rFonts w:ascii="Times New Roman" w:hAnsi="Times New Roman" w:cs="Times New Roman"/>
          <w:sz w:val="24"/>
          <w:szCs w:val="24"/>
          <w:u w:val="single"/>
        </w:rPr>
        <w:t>RE</w:t>
      </w:r>
      <w:r w:rsidR="0003015B">
        <w:rPr>
          <w:rFonts w:ascii="Times New Roman" w:hAnsi="Times New Roman" w:cs="Times New Roman"/>
          <w:sz w:val="24"/>
          <w:szCs w:val="24"/>
          <w:u w:val="single"/>
        </w:rPr>
        <w:t>:</w:t>
      </w:r>
      <w:r w:rsidRPr="00372B59">
        <w:rPr>
          <w:rFonts w:ascii="Times New Roman" w:hAnsi="Times New Roman" w:cs="Times New Roman"/>
          <w:sz w:val="24"/>
          <w:szCs w:val="24"/>
          <w:u w:val="single"/>
        </w:rPr>
        <w:t xml:space="preserve"> CA 75/20</w:t>
      </w:r>
    </w:p>
    <w:p w:rsidR="00F83B72" w:rsidRPr="00DB0D03" w:rsidRDefault="00F83B72" w:rsidP="00DB0D03">
      <w:pPr>
        <w:spacing w:after="0" w:line="360" w:lineRule="auto"/>
        <w:ind w:left="720"/>
        <w:jc w:val="both"/>
        <w:rPr>
          <w:rFonts w:ascii="Times New Roman" w:hAnsi="Times New Roman" w:cs="Times New Roman"/>
          <w:sz w:val="24"/>
          <w:szCs w:val="24"/>
        </w:rPr>
      </w:pPr>
      <w:r w:rsidRPr="00DB0D03">
        <w:rPr>
          <w:rFonts w:ascii="Times New Roman" w:hAnsi="Times New Roman" w:cs="Times New Roman"/>
          <w:sz w:val="24"/>
          <w:szCs w:val="24"/>
        </w:rPr>
        <w:t>In this matter the appellant then aged 26 years</w:t>
      </w:r>
      <w:r w:rsidR="00191787" w:rsidRPr="00DB0D03">
        <w:rPr>
          <w:rFonts w:ascii="Times New Roman" w:hAnsi="Times New Roman" w:cs="Times New Roman"/>
          <w:sz w:val="24"/>
          <w:szCs w:val="24"/>
        </w:rPr>
        <w:t xml:space="preserve"> was jointly charged with GivemoreMadzidzi aged 33 years and Isiah Dzingai aged 36 years. They all reside in Mwenezi, Masvingo.</w:t>
      </w:r>
    </w:p>
    <w:p w:rsidR="00191787" w:rsidRDefault="00191787" w:rsidP="00BA1828">
      <w:pPr>
        <w:spacing w:after="0" w:line="360" w:lineRule="auto"/>
        <w:ind w:firstLine="720"/>
        <w:jc w:val="both"/>
        <w:rPr>
          <w:rFonts w:ascii="Times New Roman" w:hAnsi="Times New Roman" w:cs="Times New Roman"/>
          <w:sz w:val="24"/>
          <w:szCs w:val="24"/>
        </w:rPr>
      </w:pPr>
      <w:r w:rsidRPr="00E433E4">
        <w:rPr>
          <w:rFonts w:ascii="Times New Roman" w:hAnsi="Times New Roman" w:cs="Times New Roman"/>
          <w:sz w:val="24"/>
          <w:szCs w:val="24"/>
        </w:rPr>
        <w:t xml:space="preserve">The offence in this matter relate to </w:t>
      </w:r>
      <w:r w:rsidR="008238B1" w:rsidRPr="00E433E4">
        <w:rPr>
          <w:rFonts w:ascii="Times New Roman" w:hAnsi="Times New Roman" w:cs="Times New Roman"/>
          <w:sz w:val="24"/>
          <w:szCs w:val="24"/>
        </w:rPr>
        <w:t>robb</w:t>
      </w:r>
      <w:r w:rsidR="00D37F8D">
        <w:rPr>
          <w:rFonts w:ascii="Times New Roman" w:hAnsi="Times New Roman" w:cs="Times New Roman"/>
          <w:sz w:val="24"/>
          <w:szCs w:val="24"/>
        </w:rPr>
        <w:t>ery</w:t>
      </w:r>
      <w:r w:rsidR="008238B1" w:rsidRPr="00E433E4">
        <w:rPr>
          <w:rFonts w:ascii="Times New Roman" w:hAnsi="Times New Roman" w:cs="Times New Roman"/>
          <w:sz w:val="24"/>
          <w:szCs w:val="24"/>
        </w:rPr>
        <w:t xml:space="preserve"> as</w:t>
      </w:r>
      <w:r w:rsidRPr="00E433E4">
        <w:rPr>
          <w:rFonts w:ascii="Times New Roman" w:hAnsi="Times New Roman" w:cs="Times New Roman"/>
          <w:sz w:val="24"/>
          <w:szCs w:val="24"/>
        </w:rPr>
        <w:t xml:space="preserve"> defined in section 126 (i) of </w:t>
      </w:r>
      <w:r w:rsidR="00525A48" w:rsidRPr="00E433E4">
        <w:rPr>
          <w:rFonts w:ascii="Times New Roman" w:hAnsi="Times New Roman" w:cs="Times New Roman"/>
          <w:sz w:val="24"/>
          <w:szCs w:val="24"/>
        </w:rPr>
        <w:t xml:space="preserve">the </w:t>
      </w:r>
      <w:r w:rsidR="008238B1" w:rsidRPr="00E433E4">
        <w:rPr>
          <w:rFonts w:ascii="Times New Roman" w:hAnsi="Times New Roman" w:cs="Times New Roman"/>
          <w:sz w:val="24"/>
          <w:szCs w:val="24"/>
        </w:rPr>
        <w:t>Criminal Law</w:t>
      </w:r>
      <w:r w:rsidR="00525A48" w:rsidRPr="00E433E4">
        <w:rPr>
          <w:rFonts w:ascii="Times New Roman" w:hAnsi="Times New Roman" w:cs="Times New Roman"/>
          <w:sz w:val="24"/>
          <w:szCs w:val="24"/>
        </w:rPr>
        <w:t xml:space="preserve"> Code [</w:t>
      </w:r>
      <w:r w:rsidR="00525A48" w:rsidRPr="00E433E4">
        <w:rPr>
          <w:rFonts w:ascii="Times New Roman" w:hAnsi="Times New Roman" w:cs="Times New Roman"/>
          <w:i/>
          <w:sz w:val="24"/>
          <w:szCs w:val="24"/>
        </w:rPr>
        <w:t>Chapter 9:23</w:t>
      </w:r>
      <w:r w:rsidR="00525A48" w:rsidRPr="00E433E4">
        <w:rPr>
          <w:rFonts w:ascii="Times New Roman" w:hAnsi="Times New Roman" w:cs="Times New Roman"/>
          <w:sz w:val="24"/>
          <w:szCs w:val="24"/>
        </w:rPr>
        <w:t>]</w:t>
      </w:r>
      <w:r w:rsidR="00E433E4" w:rsidRPr="00E433E4">
        <w:rPr>
          <w:rFonts w:ascii="Times New Roman" w:hAnsi="Times New Roman" w:cs="Times New Roman"/>
          <w:sz w:val="24"/>
          <w:szCs w:val="24"/>
        </w:rPr>
        <w:t>.</w:t>
      </w:r>
      <w:r w:rsidR="00E433E4">
        <w:rPr>
          <w:rFonts w:ascii="Times New Roman" w:hAnsi="Times New Roman" w:cs="Times New Roman"/>
          <w:sz w:val="24"/>
          <w:szCs w:val="24"/>
        </w:rPr>
        <w:t xml:space="preserve"> All the 3 accused pleaded guilty to the charge.</w:t>
      </w:r>
    </w:p>
    <w:p w:rsidR="00E433E4" w:rsidRDefault="00E433E4" w:rsidP="00ED7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F3EB0">
        <w:rPr>
          <w:rFonts w:ascii="Times New Roman" w:hAnsi="Times New Roman" w:cs="Times New Roman"/>
          <w:sz w:val="24"/>
          <w:szCs w:val="24"/>
        </w:rPr>
        <w:t>agreed facts</w:t>
      </w:r>
      <w:r>
        <w:rPr>
          <w:rFonts w:ascii="Times New Roman" w:hAnsi="Times New Roman" w:cs="Times New Roman"/>
          <w:sz w:val="24"/>
          <w:szCs w:val="24"/>
        </w:rPr>
        <w:t xml:space="preserve"> are that on the </w:t>
      </w:r>
      <w:r w:rsidR="006F3EB0">
        <w:rPr>
          <w:rFonts w:ascii="Times New Roman" w:hAnsi="Times New Roman" w:cs="Times New Roman"/>
          <w:sz w:val="24"/>
          <w:szCs w:val="24"/>
        </w:rPr>
        <w:t>night between</w:t>
      </w:r>
      <w:r>
        <w:rPr>
          <w:rFonts w:ascii="Times New Roman" w:hAnsi="Times New Roman" w:cs="Times New Roman"/>
          <w:sz w:val="24"/>
          <w:szCs w:val="24"/>
        </w:rPr>
        <w:t xml:space="preserve"> 21 April </w:t>
      </w:r>
      <w:r w:rsidR="006F3EB0">
        <w:rPr>
          <w:rFonts w:ascii="Times New Roman" w:hAnsi="Times New Roman" w:cs="Times New Roman"/>
          <w:sz w:val="24"/>
          <w:szCs w:val="24"/>
        </w:rPr>
        <w:t>2019 and</w:t>
      </w:r>
      <w:r>
        <w:rPr>
          <w:rFonts w:ascii="Times New Roman" w:hAnsi="Times New Roman" w:cs="Times New Roman"/>
          <w:sz w:val="24"/>
          <w:szCs w:val="24"/>
        </w:rPr>
        <w:t xml:space="preserve"> 22 April </w:t>
      </w:r>
      <w:r w:rsidR="006F3EB0">
        <w:rPr>
          <w:rFonts w:ascii="Times New Roman" w:hAnsi="Times New Roman" w:cs="Times New Roman"/>
          <w:sz w:val="24"/>
          <w:szCs w:val="24"/>
        </w:rPr>
        <w:t>2019 the</w:t>
      </w:r>
      <w:r>
        <w:rPr>
          <w:rFonts w:ascii="Times New Roman" w:hAnsi="Times New Roman" w:cs="Times New Roman"/>
          <w:sz w:val="24"/>
          <w:szCs w:val="24"/>
        </w:rPr>
        <w:t xml:space="preserve"> appellant teamed with other five persons [the other three are still at </w:t>
      </w:r>
      <w:r w:rsidR="006F3EB0">
        <w:rPr>
          <w:rFonts w:ascii="Times New Roman" w:hAnsi="Times New Roman" w:cs="Times New Roman"/>
          <w:sz w:val="24"/>
          <w:szCs w:val="24"/>
        </w:rPr>
        <w:t>large]</w:t>
      </w:r>
      <w:r>
        <w:rPr>
          <w:rFonts w:ascii="Times New Roman" w:hAnsi="Times New Roman" w:cs="Times New Roman"/>
          <w:sz w:val="24"/>
          <w:szCs w:val="24"/>
        </w:rPr>
        <w:t xml:space="preserve"> and proceeded to Vililvili</w:t>
      </w:r>
      <w:r w:rsidR="00DE0791">
        <w:rPr>
          <w:rFonts w:ascii="Times New Roman" w:hAnsi="Times New Roman" w:cs="Times New Roman"/>
          <w:sz w:val="24"/>
          <w:szCs w:val="24"/>
        </w:rPr>
        <w:t xml:space="preserve">Netone and Telcel boosters in Mwenezi. Both boosters were being manned by a </w:t>
      </w:r>
      <w:r w:rsidR="006F3EB0">
        <w:rPr>
          <w:rFonts w:ascii="Times New Roman" w:hAnsi="Times New Roman" w:cs="Times New Roman"/>
          <w:sz w:val="24"/>
          <w:szCs w:val="24"/>
        </w:rPr>
        <w:t>security guard</w:t>
      </w:r>
      <w:r w:rsidR="00DE0791">
        <w:rPr>
          <w:rFonts w:ascii="Times New Roman" w:hAnsi="Times New Roman" w:cs="Times New Roman"/>
          <w:sz w:val="24"/>
          <w:szCs w:val="24"/>
        </w:rPr>
        <w:t xml:space="preserve"> called Paul Keke. This was around midnight.</w:t>
      </w:r>
    </w:p>
    <w:p w:rsidR="005D6AA6" w:rsidRDefault="005D6AA6" w:rsidP="00ED7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and his colleagues stealthily</w:t>
      </w:r>
      <w:r w:rsidR="006F3EB0">
        <w:rPr>
          <w:rFonts w:ascii="Times New Roman" w:hAnsi="Times New Roman" w:cs="Times New Roman"/>
          <w:sz w:val="24"/>
          <w:szCs w:val="24"/>
        </w:rPr>
        <w:t xml:space="preserve"> approached the said security guard. They grabbed him from behind and tied him with a piece of wire</w:t>
      </w:r>
      <w:r w:rsidR="00174FAC">
        <w:rPr>
          <w:rFonts w:ascii="Times New Roman" w:hAnsi="Times New Roman" w:cs="Times New Roman"/>
          <w:sz w:val="24"/>
          <w:szCs w:val="24"/>
        </w:rPr>
        <w:t>.</w:t>
      </w:r>
    </w:p>
    <w:p w:rsidR="00174FAC" w:rsidRDefault="00174FAC" w:rsidP="00ED7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overpowered the hapless security guard and </w:t>
      </w:r>
      <w:r w:rsidR="00613FA9">
        <w:rPr>
          <w:rFonts w:ascii="Times New Roman" w:hAnsi="Times New Roman" w:cs="Times New Roman"/>
          <w:sz w:val="24"/>
          <w:szCs w:val="24"/>
        </w:rPr>
        <w:t>dispossessed</w:t>
      </w:r>
      <w:r w:rsidR="00E84B97">
        <w:rPr>
          <w:rFonts w:ascii="Times New Roman" w:hAnsi="Times New Roman" w:cs="Times New Roman"/>
          <w:sz w:val="24"/>
          <w:szCs w:val="24"/>
        </w:rPr>
        <w:t xml:space="preserve"> him of the keys to the boosters. The </w:t>
      </w:r>
      <w:r w:rsidR="00995FB7">
        <w:rPr>
          <w:rFonts w:ascii="Times New Roman" w:hAnsi="Times New Roman" w:cs="Times New Roman"/>
          <w:sz w:val="24"/>
          <w:szCs w:val="24"/>
        </w:rPr>
        <w:t>security guard</w:t>
      </w:r>
      <w:r w:rsidR="00E84B97">
        <w:rPr>
          <w:rFonts w:ascii="Times New Roman" w:hAnsi="Times New Roman" w:cs="Times New Roman"/>
          <w:sz w:val="24"/>
          <w:szCs w:val="24"/>
        </w:rPr>
        <w:t xml:space="preserve"> was </w:t>
      </w:r>
      <w:r w:rsidR="00995FB7">
        <w:rPr>
          <w:rFonts w:ascii="Times New Roman" w:hAnsi="Times New Roman" w:cs="Times New Roman"/>
          <w:sz w:val="24"/>
          <w:szCs w:val="24"/>
        </w:rPr>
        <w:t>dragged into</w:t>
      </w:r>
      <w:r w:rsidR="00E84B97">
        <w:rPr>
          <w:rFonts w:ascii="Times New Roman" w:hAnsi="Times New Roman" w:cs="Times New Roman"/>
          <w:sz w:val="24"/>
          <w:szCs w:val="24"/>
        </w:rPr>
        <w:t xml:space="preserve"> the </w:t>
      </w:r>
      <w:r w:rsidR="00862A5A">
        <w:rPr>
          <w:rFonts w:ascii="Times New Roman" w:hAnsi="Times New Roman" w:cs="Times New Roman"/>
          <w:sz w:val="24"/>
          <w:szCs w:val="24"/>
        </w:rPr>
        <w:t>guard room</w:t>
      </w:r>
      <w:r w:rsidR="00E84B97">
        <w:rPr>
          <w:rFonts w:ascii="Times New Roman" w:hAnsi="Times New Roman" w:cs="Times New Roman"/>
          <w:sz w:val="24"/>
          <w:szCs w:val="24"/>
        </w:rPr>
        <w:t xml:space="preserve"> w</w:t>
      </w:r>
      <w:r w:rsidR="00AE3642">
        <w:rPr>
          <w:rFonts w:ascii="Times New Roman" w:hAnsi="Times New Roman" w:cs="Times New Roman"/>
          <w:sz w:val="24"/>
          <w:szCs w:val="24"/>
        </w:rPr>
        <w:t>h</w:t>
      </w:r>
      <w:r w:rsidR="00E84B97">
        <w:rPr>
          <w:rFonts w:ascii="Times New Roman" w:hAnsi="Times New Roman" w:cs="Times New Roman"/>
          <w:sz w:val="24"/>
          <w:szCs w:val="24"/>
        </w:rPr>
        <w:t xml:space="preserve">ere he was locked in. </w:t>
      </w:r>
      <w:r w:rsidR="00910B87">
        <w:rPr>
          <w:rFonts w:ascii="Times New Roman" w:hAnsi="Times New Roman" w:cs="Times New Roman"/>
          <w:sz w:val="24"/>
          <w:szCs w:val="24"/>
        </w:rPr>
        <w:t>T</w:t>
      </w:r>
      <w:r w:rsidR="00E84B97">
        <w:rPr>
          <w:rFonts w:ascii="Times New Roman" w:hAnsi="Times New Roman" w:cs="Times New Roman"/>
          <w:sz w:val="24"/>
          <w:szCs w:val="24"/>
        </w:rPr>
        <w:t xml:space="preserve">he appellant and his colleagues opened a separate room and stole 2 by 2 volts generator batteries and 8 by </w:t>
      </w:r>
      <w:r w:rsidR="00862A5A">
        <w:rPr>
          <w:rFonts w:ascii="Times New Roman" w:hAnsi="Times New Roman" w:cs="Times New Roman"/>
          <w:sz w:val="24"/>
          <w:szCs w:val="24"/>
        </w:rPr>
        <w:t>12 booster</w:t>
      </w:r>
      <w:r w:rsidR="00E84B97">
        <w:rPr>
          <w:rFonts w:ascii="Times New Roman" w:hAnsi="Times New Roman" w:cs="Times New Roman"/>
          <w:sz w:val="24"/>
          <w:szCs w:val="24"/>
        </w:rPr>
        <w:t xml:space="preserve"> batteries all valued at US $ 4 200. After their arrest on 7 April 2020 some property whose value is not specifie</w:t>
      </w:r>
      <w:r w:rsidR="001A1CFD">
        <w:rPr>
          <w:rFonts w:ascii="Times New Roman" w:hAnsi="Times New Roman" w:cs="Times New Roman"/>
          <w:sz w:val="24"/>
          <w:szCs w:val="24"/>
        </w:rPr>
        <w:t>d</w:t>
      </w:r>
      <w:r w:rsidR="00E84B97">
        <w:rPr>
          <w:rFonts w:ascii="Times New Roman" w:hAnsi="Times New Roman" w:cs="Times New Roman"/>
          <w:sz w:val="24"/>
          <w:szCs w:val="24"/>
        </w:rPr>
        <w:t xml:space="preserve"> was recovered</w:t>
      </w:r>
      <w:r w:rsidR="00ED0444">
        <w:rPr>
          <w:rFonts w:ascii="Times New Roman" w:hAnsi="Times New Roman" w:cs="Times New Roman"/>
          <w:sz w:val="24"/>
          <w:szCs w:val="24"/>
        </w:rPr>
        <w:t>.</w:t>
      </w:r>
    </w:p>
    <w:p w:rsidR="00ED0444" w:rsidRDefault="00ED0444" w:rsidP="00ED7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the appellant who has four children and is unemployed implored the court to impose a lenient sentence on account of his plea </w:t>
      </w:r>
      <w:r w:rsidR="00CA6A96">
        <w:rPr>
          <w:rFonts w:ascii="Times New Roman" w:hAnsi="Times New Roman" w:cs="Times New Roman"/>
          <w:sz w:val="24"/>
          <w:szCs w:val="24"/>
        </w:rPr>
        <w:t>of guilty. He also requested the court to prevail upon</w:t>
      </w:r>
      <w:r w:rsidR="00DF16DC">
        <w:rPr>
          <w:rFonts w:ascii="Times New Roman" w:hAnsi="Times New Roman" w:cs="Times New Roman"/>
          <w:sz w:val="24"/>
          <w:szCs w:val="24"/>
        </w:rPr>
        <w:t xml:space="preserve"> the prison officers so that he would be treated well in prison. By then the appellant in all </w:t>
      </w:r>
      <w:r w:rsidR="001067FD">
        <w:rPr>
          <w:rFonts w:ascii="Times New Roman" w:hAnsi="Times New Roman" w:cs="Times New Roman"/>
          <w:sz w:val="24"/>
          <w:szCs w:val="24"/>
        </w:rPr>
        <w:t>probabilities had</w:t>
      </w:r>
      <w:r w:rsidR="00DF16DC">
        <w:rPr>
          <w:rFonts w:ascii="Times New Roman" w:hAnsi="Times New Roman" w:cs="Times New Roman"/>
          <w:sz w:val="24"/>
          <w:szCs w:val="24"/>
        </w:rPr>
        <w:t xml:space="preserve"> accepted that a custodial sentence was not avoidable.</w:t>
      </w:r>
    </w:p>
    <w:p w:rsidR="001067FD" w:rsidRDefault="001067FD" w:rsidP="00215A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3 </w:t>
      </w:r>
      <w:r w:rsidR="001B2745">
        <w:rPr>
          <w:rFonts w:ascii="Times New Roman" w:hAnsi="Times New Roman" w:cs="Times New Roman"/>
          <w:sz w:val="24"/>
          <w:szCs w:val="24"/>
        </w:rPr>
        <w:t>accused personswere first offenders. Each of them was sentenced to 25 months imprisonment of which 10 months imprisonment was suspended for 5 years on the usual condition</w:t>
      </w:r>
      <w:r w:rsidR="00506E65">
        <w:rPr>
          <w:rFonts w:ascii="Times New Roman" w:hAnsi="Times New Roman" w:cs="Times New Roman"/>
          <w:sz w:val="24"/>
          <w:szCs w:val="24"/>
        </w:rPr>
        <w:t>s</w:t>
      </w:r>
      <w:r w:rsidR="001B2745">
        <w:rPr>
          <w:rFonts w:ascii="Times New Roman" w:hAnsi="Times New Roman" w:cs="Times New Roman"/>
          <w:sz w:val="24"/>
          <w:szCs w:val="24"/>
        </w:rPr>
        <w:t xml:space="preserve"> of good behaviour. The effective prison term for each of them is 15 </w:t>
      </w:r>
      <w:r w:rsidR="007A03AC">
        <w:rPr>
          <w:rFonts w:ascii="Times New Roman" w:hAnsi="Times New Roman" w:cs="Times New Roman"/>
          <w:sz w:val="24"/>
          <w:szCs w:val="24"/>
        </w:rPr>
        <w:t>months.</w:t>
      </w:r>
    </w:p>
    <w:p w:rsidR="007523D0" w:rsidRDefault="007523D0" w:rsidP="00215A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raises fi</w:t>
      </w:r>
      <w:r w:rsidR="006D5299">
        <w:rPr>
          <w:rFonts w:ascii="Times New Roman" w:hAnsi="Times New Roman" w:cs="Times New Roman"/>
          <w:sz w:val="24"/>
          <w:szCs w:val="24"/>
        </w:rPr>
        <w:t>v</w:t>
      </w:r>
      <w:r>
        <w:rPr>
          <w:rFonts w:ascii="Times New Roman" w:hAnsi="Times New Roman" w:cs="Times New Roman"/>
          <w:sz w:val="24"/>
          <w:szCs w:val="24"/>
        </w:rPr>
        <w:t>e grounds of appeal against sentence. However</w:t>
      </w:r>
      <w:r w:rsidR="007A03AC">
        <w:rPr>
          <w:rFonts w:ascii="Times New Roman" w:hAnsi="Times New Roman" w:cs="Times New Roman"/>
          <w:sz w:val="24"/>
          <w:szCs w:val="24"/>
        </w:rPr>
        <w:t>these grounds</w:t>
      </w:r>
      <w:r>
        <w:rPr>
          <w:rFonts w:ascii="Times New Roman" w:hAnsi="Times New Roman" w:cs="Times New Roman"/>
          <w:sz w:val="24"/>
          <w:szCs w:val="24"/>
        </w:rPr>
        <w:t xml:space="preserve"> are not </w:t>
      </w:r>
      <w:r w:rsidR="007A03AC">
        <w:rPr>
          <w:rFonts w:ascii="Times New Roman" w:hAnsi="Times New Roman" w:cs="Times New Roman"/>
          <w:sz w:val="24"/>
          <w:szCs w:val="24"/>
        </w:rPr>
        <w:t xml:space="preserve">only </w:t>
      </w:r>
      <w:r w:rsidR="006F1786">
        <w:rPr>
          <w:rFonts w:ascii="Times New Roman" w:hAnsi="Times New Roman" w:cs="Times New Roman"/>
          <w:sz w:val="24"/>
          <w:szCs w:val="24"/>
        </w:rPr>
        <w:t>repetitive</w:t>
      </w:r>
      <w:r>
        <w:rPr>
          <w:rFonts w:ascii="Times New Roman" w:hAnsi="Times New Roman" w:cs="Times New Roman"/>
          <w:sz w:val="24"/>
          <w:szCs w:val="24"/>
        </w:rPr>
        <w:t xml:space="preserve"> but also</w:t>
      </w:r>
      <w:r w:rsidR="008F39E7">
        <w:rPr>
          <w:rFonts w:ascii="Times New Roman" w:hAnsi="Times New Roman" w:cs="Times New Roman"/>
          <w:sz w:val="24"/>
          <w:szCs w:val="24"/>
        </w:rPr>
        <w:t xml:space="preserve"> contradictory. They all amount to one issue wherein the appellant simply begs for mercy. The contradiction is that the appellant </w:t>
      </w:r>
      <w:r w:rsidR="007A03AC">
        <w:rPr>
          <w:rFonts w:ascii="Times New Roman" w:hAnsi="Times New Roman" w:cs="Times New Roman"/>
          <w:sz w:val="24"/>
          <w:szCs w:val="24"/>
        </w:rPr>
        <w:t>requests for</w:t>
      </w:r>
      <w:r w:rsidR="008F39E7">
        <w:rPr>
          <w:rFonts w:ascii="Times New Roman" w:hAnsi="Times New Roman" w:cs="Times New Roman"/>
          <w:sz w:val="24"/>
          <w:szCs w:val="24"/>
        </w:rPr>
        <w:t xml:space="preserve"> a </w:t>
      </w:r>
      <w:r w:rsidR="007A03AC">
        <w:rPr>
          <w:rFonts w:ascii="Times New Roman" w:hAnsi="Times New Roman" w:cs="Times New Roman"/>
          <w:sz w:val="24"/>
          <w:szCs w:val="24"/>
        </w:rPr>
        <w:t>non-custodial</w:t>
      </w:r>
      <w:r w:rsidR="008F39E7">
        <w:rPr>
          <w:rFonts w:ascii="Times New Roman" w:hAnsi="Times New Roman" w:cs="Times New Roman"/>
          <w:sz w:val="24"/>
          <w:szCs w:val="24"/>
        </w:rPr>
        <w:t xml:space="preserve"> sentence but in his prayer </w:t>
      </w:r>
      <w:r w:rsidR="007A03AC">
        <w:rPr>
          <w:rFonts w:ascii="Times New Roman" w:hAnsi="Times New Roman" w:cs="Times New Roman"/>
          <w:sz w:val="24"/>
          <w:szCs w:val="24"/>
        </w:rPr>
        <w:t>submits that and effective prison term of 5 months would meet the justice of the case.</w:t>
      </w:r>
    </w:p>
    <w:p w:rsidR="00FB23AD" w:rsidRDefault="00FB23AD" w:rsidP="00F840A9">
      <w:pPr>
        <w:pStyle w:val="ListParagraph"/>
        <w:numPr>
          <w:ilvl w:val="0"/>
          <w:numId w:val="2"/>
        </w:numPr>
        <w:spacing w:after="0" w:line="360" w:lineRule="auto"/>
        <w:jc w:val="both"/>
        <w:rPr>
          <w:rFonts w:ascii="Times New Roman" w:hAnsi="Times New Roman" w:cs="Times New Roman"/>
          <w:sz w:val="24"/>
          <w:szCs w:val="24"/>
          <w:u w:val="single"/>
        </w:rPr>
      </w:pPr>
      <w:r w:rsidRPr="00372B59">
        <w:rPr>
          <w:rFonts w:ascii="Times New Roman" w:hAnsi="Times New Roman" w:cs="Times New Roman"/>
          <w:sz w:val="24"/>
          <w:szCs w:val="24"/>
          <w:u w:val="single"/>
        </w:rPr>
        <w:t>RE</w:t>
      </w:r>
      <w:r w:rsidR="00777F1C">
        <w:rPr>
          <w:rFonts w:ascii="Times New Roman" w:hAnsi="Times New Roman" w:cs="Times New Roman"/>
          <w:sz w:val="24"/>
          <w:szCs w:val="24"/>
          <w:u w:val="single"/>
        </w:rPr>
        <w:t>:</w:t>
      </w:r>
      <w:r w:rsidRPr="00372B59">
        <w:rPr>
          <w:rFonts w:ascii="Times New Roman" w:hAnsi="Times New Roman" w:cs="Times New Roman"/>
          <w:sz w:val="24"/>
          <w:szCs w:val="24"/>
          <w:u w:val="single"/>
        </w:rPr>
        <w:t xml:space="preserve"> CA 7</w:t>
      </w:r>
      <w:r>
        <w:rPr>
          <w:rFonts w:ascii="Times New Roman" w:hAnsi="Times New Roman" w:cs="Times New Roman"/>
          <w:sz w:val="24"/>
          <w:szCs w:val="24"/>
          <w:u w:val="single"/>
        </w:rPr>
        <w:t>6</w:t>
      </w:r>
      <w:r w:rsidRPr="00372B59">
        <w:rPr>
          <w:rFonts w:ascii="Times New Roman" w:hAnsi="Times New Roman" w:cs="Times New Roman"/>
          <w:sz w:val="24"/>
          <w:szCs w:val="24"/>
          <w:u w:val="single"/>
        </w:rPr>
        <w:t>/20</w:t>
      </w:r>
    </w:p>
    <w:p w:rsidR="00FE2B8E" w:rsidRPr="00697EBA" w:rsidRDefault="00FE2B8E" w:rsidP="00697EBA">
      <w:pPr>
        <w:spacing w:after="0" w:line="360" w:lineRule="auto"/>
        <w:ind w:left="720"/>
        <w:jc w:val="both"/>
        <w:rPr>
          <w:rFonts w:ascii="Times New Roman" w:hAnsi="Times New Roman" w:cs="Times New Roman"/>
          <w:sz w:val="24"/>
          <w:szCs w:val="24"/>
        </w:rPr>
      </w:pPr>
      <w:r w:rsidRPr="00697EBA">
        <w:rPr>
          <w:rFonts w:ascii="Times New Roman" w:hAnsi="Times New Roman" w:cs="Times New Roman"/>
          <w:sz w:val="24"/>
          <w:szCs w:val="24"/>
        </w:rPr>
        <w:t xml:space="preserve">In this matter the appellant was jointly charged with </w:t>
      </w:r>
      <w:r w:rsidR="00B02DE0" w:rsidRPr="00697EBA">
        <w:rPr>
          <w:rFonts w:ascii="Times New Roman" w:hAnsi="Times New Roman" w:cs="Times New Roman"/>
          <w:sz w:val="24"/>
          <w:szCs w:val="24"/>
        </w:rPr>
        <w:t>Givemore</w:t>
      </w:r>
      <w:r w:rsidR="00637858" w:rsidRPr="00697EBA">
        <w:rPr>
          <w:rFonts w:ascii="Times New Roman" w:hAnsi="Times New Roman" w:cs="Times New Roman"/>
          <w:sz w:val="24"/>
          <w:szCs w:val="24"/>
        </w:rPr>
        <w:t>Madzidzi</w:t>
      </w:r>
      <w:r w:rsidR="00DA3D82" w:rsidRPr="00697EBA">
        <w:rPr>
          <w:rFonts w:ascii="Times New Roman" w:hAnsi="Times New Roman" w:cs="Times New Roman"/>
          <w:sz w:val="24"/>
          <w:szCs w:val="24"/>
        </w:rPr>
        <w:t xml:space="preserve"> for theft as defined in section 113 (i) of the Criminal Law Code [</w:t>
      </w:r>
      <w:r w:rsidR="00DA3D82" w:rsidRPr="00697EBA">
        <w:rPr>
          <w:rFonts w:ascii="Times New Roman" w:hAnsi="Times New Roman" w:cs="Times New Roman"/>
          <w:i/>
          <w:sz w:val="24"/>
          <w:szCs w:val="24"/>
        </w:rPr>
        <w:t>Chapter 9:23</w:t>
      </w:r>
      <w:r w:rsidR="00DA3D82" w:rsidRPr="00697EBA">
        <w:rPr>
          <w:rFonts w:ascii="Times New Roman" w:hAnsi="Times New Roman" w:cs="Times New Roman"/>
          <w:sz w:val="24"/>
          <w:szCs w:val="24"/>
        </w:rPr>
        <w:t>].</w:t>
      </w:r>
    </w:p>
    <w:p w:rsidR="00F42605" w:rsidRPr="00697EBA" w:rsidRDefault="00F42605" w:rsidP="00697EBA">
      <w:pPr>
        <w:spacing w:after="0" w:line="360" w:lineRule="auto"/>
        <w:ind w:firstLine="720"/>
        <w:jc w:val="both"/>
        <w:rPr>
          <w:rFonts w:ascii="Times New Roman" w:hAnsi="Times New Roman" w:cs="Times New Roman"/>
          <w:sz w:val="24"/>
          <w:szCs w:val="24"/>
        </w:rPr>
      </w:pPr>
      <w:r w:rsidRPr="00697EBA">
        <w:rPr>
          <w:rFonts w:ascii="Times New Roman" w:hAnsi="Times New Roman" w:cs="Times New Roman"/>
          <w:sz w:val="24"/>
          <w:szCs w:val="24"/>
        </w:rPr>
        <w:t>The undisputed facts are that on 1 May 2019</w:t>
      </w:r>
      <w:r w:rsidR="00FB226F" w:rsidRPr="00697EBA">
        <w:rPr>
          <w:rFonts w:ascii="Times New Roman" w:hAnsi="Times New Roman" w:cs="Times New Roman"/>
          <w:sz w:val="24"/>
          <w:szCs w:val="24"/>
        </w:rPr>
        <w:t xml:space="preserve"> at around midnight the appellant te</w:t>
      </w:r>
      <w:r w:rsidR="003F3513" w:rsidRPr="00697EBA">
        <w:rPr>
          <w:rFonts w:ascii="Times New Roman" w:hAnsi="Times New Roman" w:cs="Times New Roman"/>
          <w:sz w:val="24"/>
          <w:szCs w:val="24"/>
        </w:rPr>
        <w:t xml:space="preserve">amed up with three other persons </w:t>
      </w:r>
      <w:r w:rsidR="00B65B02" w:rsidRPr="00697EBA">
        <w:rPr>
          <w:rFonts w:ascii="Times New Roman" w:hAnsi="Times New Roman" w:cs="Times New Roman"/>
          <w:sz w:val="24"/>
          <w:szCs w:val="24"/>
        </w:rPr>
        <w:t>(the</w:t>
      </w:r>
      <w:r w:rsidR="00291C8D" w:rsidRPr="00697EBA">
        <w:rPr>
          <w:rFonts w:ascii="Times New Roman" w:hAnsi="Times New Roman" w:cs="Times New Roman"/>
          <w:sz w:val="24"/>
          <w:szCs w:val="24"/>
        </w:rPr>
        <w:t xml:space="preserve">other </w:t>
      </w:r>
      <w:r w:rsidR="003F3513" w:rsidRPr="00697EBA">
        <w:rPr>
          <w:rFonts w:ascii="Times New Roman" w:hAnsi="Times New Roman" w:cs="Times New Roman"/>
          <w:sz w:val="24"/>
          <w:szCs w:val="24"/>
        </w:rPr>
        <w:t xml:space="preserve">two are still at </w:t>
      </w:r>
      <w:r w:rsidR="00B65B02" w:rsidRPr="00697EBA">
        <w:rPr>
          <w:rFonts w:ascii="Times New Roman" w:hAnsi="Times New Roman" w:cs="Times New Roman"/>
          <w:sz w:val="24"/>
          <w:szCs w:val="24"/>
        </w:rPr>
        <w:t>large)</w:t>
      </w:r>
      <w:r w:rsidR="003F3513" w:rsidRPr="00697EBA">
        <w:rPr>
          <w:rFonts w:ascii="Times New Roman" w:hAnsi="Times New Roman" w:cs="Times New Roman"/>
          <w:sz w:val="24"/>
          <w:szCs w:val="24"/>
        </w:rPr>
        <w:t xml:space="preserve"> and proceeded </w:t>
      </w:r>
      <w:r w:rsidR="00B02F87" w:rsidRPr="00697EBA">
        <w:rPr>
          <w:rFonts w:ascii="Times New Roman" w:hAnsi="Times New Roman" w:cs="Times New Roman"/>
          <w:sz w:val="24"/>
          <w:szCs w:val="24"/>
        </w:rPr>
        <w:t xml:space="preserve">to </w:t>
      </w:r>
      <w:r w:rsidR="00B65B02" w:rsidRPr="00697EBA">
        <w:rPr>
          <w:rFonts w:ascii="Times New Roman" w:hAnsi="Times New Roman" w:cs="Times New Roman"/>
          <w:sz w:val="24"/>
          <w:szCs w:val="24"/>
        </w:rPr>
        <w:t>Mavange</w:t>
      </w:r>
      <w:r w:rsidR="009E3B8E" w:rsidRPr="00697EBA">
        <w:rPr>
          <w:rFonts w:ascii="Times New Roman" w:hAnsi="Times New Roman" w:cs="Times New Roman"/>
          <w:sz w:val="24"/>
          <w:szCs w:val="24"/>
        </w:rPr>
        <w:t>V</w:t>
      </w:r>
      <w:r w:rsidR="00B65B02" w:rsidRPr="00697EBA">
        <w:rPr>
          <w:rFonts w:ascii="Times New Roman" w:hAnsi="Times New Roman" w:cs="Times New Roman"/>
          <w:sz w:val="24"/>
          <w:szCs w:val="24"/>
        </w:rPr>
        <w:t xml:space="preserve">illage, </w:t>
      </w:r>
      <w:r w:rsidR="007816DB" w:rsidRPr="00697EBA">
        <w:rPr>
          <w:rFonts w:ascii="Times New Roman" w:hAnsi="Times New Roman" w:cs="Times New Roman"/>
          <w:sz w:val="24"/>
          <w:szCs w:val="24"/>
        </w:rPr>
        <w:t>C</w:t>
      </w:r>
      <w:r w:rsidR="00B65B02" w:rsidRPr="00697EBA">
        <w:rPr>
          <w:rFonts w:ascii="Times New Roman" w:hAnsi="Times New Roman" w:cs="Times New Roman"/>
          <w:sz w:val="24"/>
          <w:szCs w:val="24"/>
        </w:rPr>
        <w:t>hie</w:t>
      </w:r>
      <w:r w:rsidR="007816DB" w:rsidRPr="00697EBA">
        <w:rPr>
          <w:rFonts w:ascii="Times New Roman" w:hAnsi="Times New Roman" w:cs="Times New Roman"/>
          <w:sz w:val="24"/>
          <w:szCs w:val="24"/>
        </w:rPr>
        <w:t>f</w:t>
      </w:r>
      <w:r w:rsidR="00B65B02" w:rsidRPr="00697EBA">
        <w:rPr>
          <w:rFonts w:ascii="Times New Roman" w:hAnsi="Times New Roman" w:cs="Times New Roman"/>
          <w:sz w:val="24"/>
          <w:szCs w:val="24"/>
        </w:rPr>
        <w:t>N</w:t>
      </w:r>
      <w:r w:rsidR="007816DB" w:rsidRPr="00697EBA">
        <w:rPr>
          <w:rFonts w:ascii="Times New Roman" w:hAnsi="Times New Roman" w:cs="Times New Roman"/>
          <w:sz w:val="24"/>
          <w:szCs w:val="24"/>
        </w:rPr>
        <w:t>e</w:t>
      </w:r>
      <w:r w:rsidR="00B65B02" w:rsidRPr="00697EBA">
        <w:rPr>
          <w:rFonts w:ascii="Times New Roman" w:hAnsi="Times New Roman" w:cs="Times New Roman"/>
          <w:sz w:val="24"/>
          <w:szCs w:val="24"/>
        </w:rPr>
        <w:t>shuro, Mwenezi, Masvingo</w:t>
      </w:r>
      <w:r w:rsidR="004C25F1">
        <w:rPr>
          <w:rFonts w:ascii="Times New Roman" w:hAnsi="Times New Roman" w:cs="Times New Roman"/>
          <w:sz w:val="24"/>
          <w:szCs w:val="24"/>
        </w:rPr>
        <w:t xml:space="preserve"> w</w:t>
      </w:r>
      <w:r w:rsidR="000079A6">
        <w:rPr>
          <w:rFonts w:ascii="Times New Roman" w:hAnsi="Times New Roman" w:cs="Times New Roman"/>
          <w:sz w:val="24"/>
          <w:szCs w:val="24"/>
        </w:rPr>
        <w:t>h</w:t>
      </w:r>
      <w:r w:rsidR="00B65B02" w:rsidRPr="00697EBA">
        <w:rPr>
          <w:rFonts w:ascii="Times New Roman" w:hAnsi="Times New Roman" w:cs="Times New Roman"/>
          <w:sz w:val="24"/>
          <w:szCs w:val="24"/>
        </w:rPr>
        <w:t>ere they stole</w:t>
      </w:r>
      <w:r w:rsidR="000079A6">
        <w:rPr>
          <w:rFonts w:ascii="Times New Roman" w:hAnsi="Times New Roman" w:cs="Times New Roman"/>
          <w:sz w:val="24"/>
          <w:szCs w:val="24"/>
        </w:rPr>
        <w:t xml:space="preserve"> 6</w:t>
      </w:r>
      <w:r w:rsidR="00B65B02" w:rsidRPr="00697EBA">
        <w:rPr>
          <w:rFonts w:ascii="Times New Roman" w:hAnsi="Times New Roman" w:cs="Times New Roman"/>
          <w:sz w:val="24"/>
          <w:szCs w:val="24"/>
        </w:rPr>
        <w:t xml:space="preserve"> by 100 watts solar panels. The six solar panels were erected at a local community project and are valued at US $1 600. After their arrest only property valued at US $500 was recovered.</w:t>
      </w:r>
    </w:p>
    <w:p w:rsidR="00D517A2" w:rsidRPr="00697EBA" w:rsidRDefault="001F1391" w:rsidP="00697EBA">
      <w:pPr>
        <w:spacing w:after="0" w:line="360" w:lineRule="auto"/>
        <w:ind w:firstLine="720"/>
        <w:jc w:val="both"/>
        <w:rPr>
          <w:rFonts w:ascii="Times New Roman" w:hAnsi="Times New Roman" w:cs="Times New Roman"/>
          <w:sz w:val="24"/>
          <w:szCs w:val="24"/>
        </w:rPr>
      </w:pPr>
      <w:r w:rsidRPr="00697EBA">
        <w:rPr>
          <w:rFonts w:ascii="Times New Roman" w:hAnsi="Times New Roman" w:cs="Times New Roman"/>
          <w:sz w:val="24"/>
          <w:szCs w:val="24"/>
        </w:rPr>
        <w:t>In mitigation the appellant disclosed that they had used one of his accomplice’s</w:t>
      </w:r>
      <w:r w:rsidR="00D517A2" w:rsidRPr="00697EBA">
        <w:rPr>
          <w:rFonts w:ascii="Times New Roman" w:hAnsi="Times New Roman" w:cs="Times New Roman"/>
          <w:sz w:val="24"/>
          <w:szCs w:val="24"/>
        </w:rPr>
        <w:t xml:space="preserve"> motor vehicle to commit the offence (that is to carry the loot). Again his p</w:t>
      </w:r>
      <w:r w:rsidR="0085207E">
        <w:rPr>
          <w:rFonts w:ascii="Times New Roman" w:hAnsi="Times New Roman" w:cs="Times New Roman"/>
          <w:sz w:val="24"/>
          <w:szCs w:val="24"/>
        </w:rPr>
        <w:t>l</w:t>
      </w:r>
      <w:r w:rsidR="00D517A2" w:rsidRPr="00697EBA">
        <w:rPr>
          <w:rFonts w:ascii="Times New Roman" w:hAnsi="Times New Roman" w:cs="Times New Roman"/>
          <w:sz w:val="24"/>
          <w:szCs w:val="24"/>
        </w:rPr>
        <w:t>ea was to be treated well in prison.</w:t>
      </w:r>
    </w:p>
    <w:p w:rsidR="001F1391" w:rsidRPr="000E249B" w:rsidRDefault="00D517A2" w:rsidP="000E249B">
      <w:pPr>
        <w:spacing w:after="0" w:line="360" w:lineRule="auto"/>
        <w:ind w:firstLine="720"/>
        <w:jc w:val="both"/>
        <w:rPr>
          <w:rFonts w:ascii="Times New Roman" w:hAnsi="Times New Roman" w:cs="Times New Roman"/>
          <w:sz w:val="24"/>
          <w:szCs w:val="24"/>
        </w:rPr>
      </w:pPr>
      <w:r w:rsidRPr="000E249B">
        <w:rPr>
          <w:rFonts w:ascii="Times New Roman" w:hAnsi="Times New Roman" w:cs="Times New Roman"/>
          <w:sz w:val="24"/>
          <w:szCs w:val="24"/>
        </w:rPr>
        <w:t xml:space="preserve">Each </w:t>
      </w:r>
      <w:r w:rsidR="007663B0" w:rsidRPr="000E249B">
        <w:rPr>
          <w:rFonts w:ascii="Times New Roman" w:hAnsi="Times New Roman" w:cs="Times New Roman"/>
          <w:sz w:val="24"/>
          <w:szCs w:val="24"/>
        </w:rPr>
        <w:t>accused</w:t>
      </w:r>
      <w:r w:rsidRPr="000E249B">
        <w:rPr>
          <w:rFonts w:ascii="Times New Roman" w:hAnsi="Times New Roman" w:cs="Times New Roman"/>
          <w:sz w:val="24"/>
          <w:szCs w:val="24"/>
        </w:rPr>
        <w:t xml:space="preserve"> was sentenced to 12 months</w:t>
      </w:r>
      <w:r w:rsidR="00C00D21" w:rsidRPr="000E249B">
        <w:rPr>
          <w:rFonts w:ascii="Times New Roman" w:hAnsi="Times New Roman" w:cs="Times New Roman"/>
          <w:sz w:val="24"/>
          <w:szCs w:val="24"/>
        </w:rPr>
        <w:t>imprisonment</w:t>
      </w:r>
      <w:r w:rsidR="00EE0639" w:rsidRPr="000E249B">
        <w:rPr>
          <w:rFonts w:ascii="Times New Roman" w:hAnsi="Times New Roman" w:cs="Times New Roman"/>
          <w:sz w:val="24"/>
          <w:szCs w:val="24"/>
        </w:rPr>
        <w:t xml:space="preserve"> of which 2 months imprisonment was suspended for 5 years on the usual conditions of good behaviour leaving and effective prison term of 10 months.</w:t>
      </w:r>
    </w:p>
    <w:p w:rsidR="00004DBE" w:rsidRDefault="00004DBE" w:rsidP="00F840A9">
      <w:pPr>
        <w:spacing w:after="0" w:line="360" w:lineRule="auto"/>
        <w:ind w:firstLine="720"/>
        <w:jc w:val="both"/>
        <w:rPr>
          <w:rFonts w:ascii="Times New Roman" w:hAnsi="Times New Roman" w:cs="Times New Roman"/>
          <w:sz w:val="24"/>
          <w:szCs w:val="24"/>
        </w:rPr>
      </w:pPr>
      <w:r w:rsidRPr="00B81746">
        <w:rPr>
          <w:rFonts w:ascii="Times New Roman" w:hAnsi="Times New Roman" w:cs="Times New Roman"/>
          <w:sz w:val="24"/>
          <w:szCs w:val="24"/>
        </w:rPr>
        <w:t>Just like in CA 75/20 the four grounds of appeal in</w:t>
      </w:r>
      <w:r w:rsidR="00090FC1">
        <w:rPr>
          <w:rFonts w:ascii="Times New Roman" w:hAnsi="Times New Roman" w:cs="Times New Roman"/>
          <w:sz w:val="24"/>
          <w:szCs w:val="24"/>
        </w:rPr>
        <w:t xml:space="preserve"> CA 76/20</w:t>
      </w:r>
      <w:r w:rsidRPr="00B81746">
        <w:rPr>
          <w:rFonts w:ascii="Times New Roman" w:hAnsi="Times New Roman" w:cs="Times New Roman"/>
          <w:sz w:val="24"/>
          <w:szCs w:val="24"/>
        </w:rPr>
        <w:t xml:space="preserve"> virtually amount to one issue in which the appellant pleads for leniency. In his prayer the appellant believes a sentence of 3 months wholly suspended on condition he performs community service would be in order.</w:t>
      </w:r>
    </w:p>
    <w:p w:rsidR="001D0EF5" w:rsidRDefault="001D0EF5"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respectful view the voluminous heads of argument in both appeals bring nothing new to the table. There are no legal issues which can exercise one</w:t>
      </w:r>
      <w:r w:rsidR="00075F8A">
        <w:rPr>
          <w:rFonts w:ascii="Times New Roman" w:hAnsi="Times New Roman" w:cs="Times New Roman"/>
          <w:sz w:val="24"/>
          <w:szCs w:val="24"/>
        </w:rPr>
        <w:t>’</w:t>
      </w:r>
      <w:r>
        <w:rPr>
          <w:rFonts w:ascii="Times New Roman" w:hAnsi="Times New Roman" w:cs="Times New Roman"/>
          <w:sz w:val="24"/>
          <w:szCs w:val="24"/>
        </w:rPr>
        <w:t>s mind at all. In all fairness the heads of argument are replete with the obvious and well known general principles of assessing an appropriate sentence in a criminal matter. Similar cases</w:t>
      </w:r>
      <w:r w:rsidR="00D8600C">
        <w:rPr>
          <w:rFonts w:ascii="Times New Roman" w:hAnsi="Times New Roman" w:cs="Times New Roman"/>
          <w:sz w:val="24"/>
          <w:szCs w:val="24"/>
        </w:rPr>
        <w:t xml:space="preserve"> are re</w:t>
      </w:r>
      <w:r w:rsidR="006A22A9">
        <w:rPr>
          <w:rFonts w:ascii="Times New Roman" w:hAnsi="Times New Roman" w:cs="Times New Roman"/>
          <w:sz w:val="24"/>
          <w:szCs w:val="24"/>
        </w:rPr>
        <w:t xml:space="preserve">peatedly cited regurgitating the same principles. The chorus is the same as it were. What I find missing is how, in specific terms, is it being said </w:t>
      </w:r>
      <w:r w:rsidR="00C75EA9">
        <w:rPr>
          <w:rFonts w:ascii="Times New Roman" w:hAnsi="Times New Roman" w:cs="Times New Roman"/>
          <w:sz w:val="24"/>
          <w:szCs w:val="24"/>
        </w:rPr>
        <w:t xml:space="preserve">the court </w:t>
      </w:r>
      <w:r w:rsidR="00C75EA9" w:rsidRPr="00C75EA9">
        <w:rPr>
          <w:rFonts w:ascii="Times New Roman" w:hAnsi="Times New Roman" w:cs="Times New Roman"/>
          <w:i/>
          <w:sz w:val="24"/>
          <w:szCs w:val="24"/>
        </w:rPr>
        <w:t xml:space="preserve">a </w:t>
      </w:r>
      <w:r w:rsidR="00CE418B" w:rsidRPr="00C75EA9">
        <w:rPr>
          <w:rFonts w:ascii="Times New Roman" w:hAnsi="Times New Roman" w:cs="Times New Roman"/>
          <w:i/>
          <w:sz w:val="24"/>
          <w:szCs w:val="24"/>
        </w:rPr>
        <w:t>qu</w:t>
      </w:r>
      <w:r w:rsidR="00DC7077">
        <w:rPr>
          <w:rFonts w:ascii="Times New Roman" w:hAnsi="Times New Roman" w:cs="Times New Roman"/>
          <w:i/>
          <w:sz w:val="24"/>
          <w:szCs w:val="24"/>
        </w:rPr>
        <w:t>o</w:t>
      </w:r>
      <w:r w:rsidR="00CE418B">
        <w:rPr>
          <w:rFonts w:ascii="Times New Roman" w:hAnsi="Times New Roman" w:cs="Times New Roman"/>
          <w:sz w:val="24"/>
          <w:szCs w:val="24"/>
        </w:rPr>
        <w:t xml:space="preserve"> misdirected</w:t>
      </w:r>
      <w:r w:rsidR="00A21C53">
        <w:rPr>
          <w:rFonts w:ascii="Times New Roman" w:hAnsi="Times New Roman" w:cs="Times New Roman"/>
          <w:sz w:val="24"/>
          <w:szCs w:val="24"/>
        </w:rPr>
        <w:t xml:space="preserve">itself </w:t>
      </w:r>
      <w:r w:rsidR="006B68AF">
        <w:rPr>
          <w:rFonts w:ascii="Times New Roman" w:hAnsi="Times New Roman" w:cs="Times New Roman"/>
          <w:sz w:val="24"/>
          <w:szCs w:val="24"/>
        </w:rPr>
        <w:t xml:space="preserve"> in</w:t>
      </w:r>
      <w:r w:rsidR="00CE418B">
        <w:rPr>
          <w:rFonts w:ascii="Times New Roman" w:hAnsi="Times New Roman" w:cs="Times New Roman"/>
          <w:sz w:val="24"/>
          <w:szCs w:val="24"/>
        </w:rPr>
        <w:t>assessing the</w:t>
      </w:r>
      <w:r w:rsidR="006B68AF">
        <w:rPr>
          <w:rFonts w:ascii="Times New Roman" w:hAnsi="Times New Roman" w:cs="Times New Roman"/>
          <w:sz w:val="24"/>
          <w:szCs w:val="24"/>
        </w:rPr>
        <w:t xml:space="preserve"> sentence in both matters.</w:t>
      </w:r>
    </w:p>
    <w:p w:rsidR="00415B8A" w:rsidRDefault="006B68AF"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no reason a</w:t>
      </w:r>
      <w:r w:rsidR="001969F9">
        <w:rPr>
          <w:rFonts w:ascii="Times New Roman" w:hAnsi="Times New Roman" w:cs="Times New Roman"/>
          <w:sz w:val="24"/>
          <w:szCs w:val="24"/>
        </w:rPr>
        <w:t>t</w:t>
      </w:r>
      <w:r>
        <w:rPr>
          <w:rFonts w:ascii="Times New Roman" w:hAnsi="Times New Roman" w:cs="Times New Roman"/>
          <w:sz w:val="24"/>
          <w:szCs w:val="24"/>
        </w:rPr>
        <w:t xml:space="preserve"> al</w:t>
      </w:r>
      <w:r w:rsidR="001969F9">
        <w:rPr>
          <w:rFonts w:ascii="Times New Roman" w:hAnsi="Times New Roman" w:cs="Times New Roman"/>
          <w:sz w:val="24"/>
          <w:szCs w:val="24"/>
        </w:rPr>
        <w:t>l</w:t>
      </w:r>
      <w:r>
        <w:rPr>
          <w:rFonts w:ascii="Times New Roman" w:hAnsi="Times New Roman" w:cs="Times New Roman"/>
          <w:sz w:val="24"/>
          <w:szCs w:val="24"/>
        </w:rPr>
        <w:t xml:space="preserve"> in this judgement to tread along the same well beaten path by rep</w:t>
      </w:r>
      <w:r w:rsidR="005D40BF">
        <w:rPr>
          <w:rFonts w:ascii="Times New Roman" w:hAnsi="Times New Roman" w:cs="Times New Roman"/>
          <w:sz w:val="24"/>
          <w:szCs w:val="24"/>
        </w:rPr>
        <w:t>eating</w:t>
      </w:r>
      <w:r>
        <w:rPr>
          <w:rFonts w:ascii="Times New Roman" w:hAnsi="Times New Roman" w:cs="Times New Roman"/>
          <w:sz w:val="24"/>
          <w:szCs w:val="24"/>
        </w:rPr>
        <w:t xml:space="preserve"> the same principles and citing </w:t>
      </w:r>
      <w:r w:rsidR="00CE418B">
        <w:rPr>
          <w:rFonts w:ascii="Times New Roman" w:hAnsi="Times New Roman" w:cs="Times New Roman"/>
          <w:sz w:val="24"/>
          <w:szCs w:val="24"/>
        </w:rPr>
        <w:t>any case</w:t>
      </w:r>
      <w:r w:rsidR="009B2E95">
        <w:rPr>
          <w:rFonts w:ascii="Times New Roman" w:hAnsi="Times New Roman" w:cs="Times New Roman"/>
          <w:sz w:val="24"/>
          <w:szCs w:val="24"/>
        </w:rPr>
        <w:t xml:space="preserve"> law. All I can do is to show that the </w:t>
      </w:r>
      <w:r w:rsidR="003A342D">
        <w:rPr>
          <w:rFonts w:ascii="Times New Roman" w:hAnsi="Times New Roman" w:cs="Times New Roman"/>
          <w:sz w:val="24"/>
          <w:szCs w:val="24"/>
        </w:rPr>
        <w:t xml:space="preserve">court </w:t>
      </w:r>
      <w:r w:rsidR="003A342D" w:rsidRPr="003A342D">
        <w:rPr>
          <w:rFonts w:ascii="Times New Roman" w:hAnsi="Times New Roman" w:cs="Times New Roman"/>
          <w:i/>
          <w:sz w:val="24"/>
          <w:szCs w:val="24"/>
        </w:rPr>
        <w:t>a</w:t>
      </w:r>
      <w:r w:rsidR="009B2E95" w:rsidRPr="008C68C2">
        <w:rPr>
          <w:rFonts w:ascii="Times New Roman" w:hAnsi="Times New Roman" w:cs="Times New Roman"/>
          <w:i/>
          <w:sz w:val="24"/>
          <w:szCs w:val="24"/>
        </w:rPr>
        <w:t xml:space="preserve"> qu</w:t>
      </w:r>
      <w:r w:rsidR="00001F55">
        <w:rPr>
          <w:rFonts w:ascii="Times New Roman" w:hAnsi="Times New Roman" w:cs="Times New Roman"/>
          <w:i/>
          <w:sz w:val="24"/>
          <w:szCs w:val="24"/>
        </w:rPr>
        <w:t>o</w:t>
      </w:r>
      <w:r w:rsidR="000B712C">
        <w:rPr>
          <w:rFonts w:ascii="Times New Roman" w:hAnsi="Times New Roman" w:cs="Times New Roman"/>
          <w:sz w:val="24"/>
          <w:szCs w:val="24"/>
        </w:rPr>
        <w:t xml:space="preserve"> as per the reasons for sentence was well alive of the need </w:t>
      </w:r>
      <w:r w:rsidR="00EB0ED6">
        <w:rPr>
          <w:rFonts w:ascii="Times New Roman" w:hAnsi="Times New Roman" w:cs="Times New Roman"/>
          <w:sz w:val="24"/>
          <w:szCs w:val="24"/>
        </w:rPr>
        <w:t>to strike a balance between the mitigatory and aggravatory</w:t>
      </w:r>
      <w:r w:rsidR="001D0297">
        <w:rPr>
          <w:rFonts w:ascii="Times New Roman" w:hAnsi="Times New Roman" w:cs="Times New Roman"/>
          <w:sz w:val="24"/>
          <w:szCs w:val="24"/>
        </w:rPr>
        <w:t xml:space="preserve"> factors in arriving at the sentences imposed in </w:t>
      </w:r>
      <w:r w:rsidR="00B36067">
        <w:rPr>
          <w:rFonts w:ascii="Times New Roman" w:hAnsi="Times New Roman" w:cs="Times New Roman"/>
          <w:sz w:val="24"/>
          <w:szCs w:val="24"/>
        </w:rPr>
        <w:t>both matters. This is also well captured in the brief and succinct</w:t>
      </w:r>
      <w:r w:rsidR="00073CE1">
        <w:rPr>
          <w:rFonts w:ascii="Times New Roman" w:hAnsi="Times New Roman" w:cs="Times New Roman"/>
          <w:sz w:val="24"/>
          <w:szCs w:val="24"/>
        </w:rPr>
        <w:t xml:space="preserve"> heads of argument files by the state (being the respondent).</w:t>
      </w:r>
    </w:p>
    <w:p w:rsidR="006B68AF" w:rsidRDefault="00415B8A"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 fair to </w:t>
      </w:r>
      <w:r w:rsidRPr="00001F55">
        <w:rPr>
          <w:rFonts w:ascii="Times New Roman" w:hAnsi="Times New Roman" w:cs="Times New Roman"/>
          <w:i/>
          <w:sz w:val="24"/>
          <w:szCs w:val="24"/>
        </w:rPr>
        <w:t>Ms Moyo</w:t>
      </w:r>
      <w:r>
        <w:rPr>
          <w:rFonts w:ascii="Times New Roman" w:hAnsi="Times New Roman" w:cs="Times New Roman"/>
          <w:sz w:val="24"/>
          <w:szCs w:val="24"/>
        </w:rPr>
        <w:t xml:space="preserve"> for the appellant her oral </w:t>
      </w:r>
      <w:r w:rsidR="00701A9B">
        <w:rPr>
          <w:rFonts w:ascii="Times New Roman" w:hAnsi="Times New Roman" w:cs="Times New Roman"/>
          <w:sz w:val="24"/>
          <w:szCs w:val="24"/>
        </w:rPr>
        <w:t>submissions</w:t>
      </w:r>
      <w:r>
        <w:rPr>
          <w:rFonts w:ascii="Times New Roman" w:hAnsi="Times New Roman" w:cs="Times New Roman"/>
          <w:sz w:val="24"/>
          <w:szCs w:val="24"/>
        </w:rPr>
        <w:t xml:space="preserve"> were a big </w:t>
      </w:r>
      <w:r w:rsidR="007956CD">
        <w:rPr>
          <w:rFonts w:ascii="Times New Roman" w:hAnsi="Times New Roman" w:cs="Times New Roman"/>
          <w:sz w:val="24"/>
          <w:szCs w:val="24"/>
        </w:rPr>
        <w:t xml:space="preserve">yawn. She clearly and visibly lacked the </w:t>
      </w:r>
      <w:r w:rsidR="002E700F">
        <w:rPr>
          <w:rFonts w:ascii="Times New Roman" w:hAnsi="Times New Roman" w:cs="Times New Roman"/>
          <w:sz w:val="24"/>
          <w:szCs w:val="24"/>
        </w:rPr>
        <w:t>conviction ofwhat she</w:t>
      </w:r>
      <w:r w:rsidR="007956CD">
        <w:rPr>
          <w:rFonts w:ascii="Times New Roman" w:hAnsi="Times New Roman" w:cs="Times New Roman"/>
          <w:sz w:val="24"/>
          <w:szCs w:val="24"/>
        </w:rPr>
        <w:t xml:space="preserve"> uttered.</w:t>
      </w:r>
      <w:r w:rsidR="00194A01">
        <w:rPr>
          <w:rFonts w:ascii="Times New Roman" w:hAnsi="Times New Roman" w:cs="Times New Roman"/>
          <w:sz w:val="24"/>
          <w:szCs w:val="24"/>
        </w:rPr>
        <w:t xml:space="preserve">She repeatedly said the court </w:t>
      </w:r>
      <w:r w:rsidR="00194A01" w:rsidRPr="003A342D">
        <w:rPr>
          <w:rFonts w:ascii="Times New Roman" w:hAnsi="Times New Roman" w:cs="Times New Roman"/>
          <w:i/>
          <w:sz w:val="24"/>
          <w:szCs w:val="24"/>
        </w:rPr>
        <w:t>a</w:t>
      </w:r>
      <w:r w:rsidR="00194A01" w:rsidRPr="008C68C2">
        <w:rPr>
          <w:rFonts w:ascii="Times New Roman" w:hAnsi="Times New Roman" w:cs="Times New Roman"/>
          <w:i/>
          <w:sz w:val="24"/>
          <w:szCs w:val="24"/>
        </w:rPr>
        <w:t xml:space="preserve"> qu</w:t>
      </w:r>
      <w:r w:rsidR="008703AE">
        <w:rPr>
          <w:rFonts w:ascii="Times New Roman" w:hAnsi="Times New Roman" w:cs="Times New Roman"/>
          <w:i/>
          <w:sz w:val="24"/>
          <w:szCs w:val="24"/>
        </w:rPr>
        <w:t>o</w:t>
      </w:r>
      <w:r w:rsidR="007D4026">
        <w:rPr>
          <w:rFonts w:ascii="Times New Roman" w:hAnsi="Times New Roman" w:cs="Times New Roman"/>
          <w:sz w:val="24"/>
          <w:szCs w:val="24"/>
        </w:rPr>
        <w:t xml:space="preserve">over </w:t>
      </w:r>
      <w:r w:rsidR="00E76D98">
        <w:rPr>
          <w:rFonts w:ascii="Times New Roman" w:hAnsi="Times New Roman" w:cs="Times New Roman"/>
          <w:sz w:val="24"/>
          <w:szCs w:val="24"/>
        </w:rPr>
        <w:t>emphasised</w:t>
      </w:r>
      <w:r w:rsidR="007D4026">
        <w:rPr>
          <w:rFonts w:ascii="Times New Roman" w:hAnsi="Times New Roman" w:cs="Times New Roman"/>
          <w:sz w:val="24"/>
          <w:szCs w:val="24"/>
        </w:rPr>
        <w:t xml:space="preserve"> the interests of the </w:t>
      </w:r>
      <w:r w:rsidR="003E2AFB">
        <w:rPr>
          <w:rFonts w:ascii="Times New Roman" w:hAnsi="Times New Roman" w:cs="Times New Roman"/>
          <w:sz w:val="24"/>
          <w:szCs w:val="24"/>
        </w:rPr>
        <w:t>local community</w:t>
      </w:r>
      <w:r w:rsidR="007D4026">
        <w:rPr>
          <w:rFonts w:ascii="Times New Roman" w:hAnsi="Times New Roman" w:cs="Times New Roman"/>
          <w:sz w:val="24"/>
          <w:szCs w:val="24"/>
        </w:rPr>
        <w:t xml:space="preserve"> in both cases without demonstrating in specific manner why she arrived at such a conclusion. </w:t>
      </w:r>
      <w:r w:rsidR="007D4026" w:rsidRPr="00184CC9">
        <w:rPr>
          <w:rFonts w:ascii="Times New Roman" w:hAnsi="Times New Roman" w:cs="Times New Roman"/>
          <w:i/>
          <w:sz w:val="24"/>
          <w:szCs w:val="24"/>
        </w:rPr>
        <w:t>Ms Moyo’s</w:t>
      </w:r>
      <w:r w:rsidR="007D4026">
        <w:rPr>
          <w:rFonts w:ascii="Times New Roman" w:hAnsi="Times New Roman" w:cs="Times New Roman"/>
          <w:sz w:val="24"/>
          <w:szCs w:val="24"/>
        </w:rPr>
        <w:t>oral submission</w:t>
      </w:r>
      <w:r w:rsidR="002475BF">
        <w:rPr>
          <w:rFonts w:ascii="Times New Roman" w:hAnsi="Times New Roman" w:cs="Times New Roman"/>
          <w:sz w:val="24"/>
          <w:szCs w:val="24"/>
        </w:rPr>
        <w:t>s</w:t>
      </w:r>
      <w:r w:rsidR="007D4026">
        <w:rPr>
          <w:rFonts w:ascii="Times New Roman" w:hAnsi="Times New Roman" w:cs="Times New Roman"/>
          <w:sz w:val="24"/>
          <w:szCs w:val="24"/>
        </w:rPr>
        <w:t xml:space="preserve"> w</w:t>
      </w:r>
      <w:r w:rsidR="002475BF">
        <w:rPr>
          <w:rFonts w:ascii="Times New Roman" w:hAnsi="Times New Roman" w:cs="Times New Roman"/>
          <w:sz w:val="24"/>
          <w:szCs w:val="24"/>
        </w:rPr>
        <w:t>ere</w:t>
      </w:r>
      <w:r w:rsidR="007D4026">
        <w:rPr>
          <w:rFonts w:ascii="Times New Roman" w:hAnsi="Times New Roman" w:cs="Times New Roman"/>
          <w:sz w:val="24"/>
          <w:szCs w:val="24"/>
        </w:rPr>
        <w:t xml:space="preserve"> more of a plea for clemency rather than </w:t>
      </w:r>
      <w:r w:rsidR="00D1704C">
        <w:rPr>
          <w:rFonts w:ascii="Times New Roman" w:hAnsi="Times New Roman" w:cs="Times New Roman"/>
          <w:sz w:val="24"/>
          <w:szCs w:val="24"/>
        </w:rPr>
        <w:t>a</w:t>
      </w:r>
      <w:r w:rsidR="007D4026">
        <w:rPr>
          <w:rFonts w:ascii="Times New Roman" w:hAnsi="Times New Roman" w:cs="Times New Roman"/>
          <w:sz w:val="24"/>
          <w:szCs w:val="24"/>
        </w:rPr>
        <w:t xml:space="preserve"> demonstrat</w:t>
      </w:r>
      <w:r w:rsidR="00D1704C">
        <w:rPr>
          <w:rFonts w:ascii="Times New Roman" w:hAnsi="Times New Roman" w:cs="Times New Roman"/>
          <w:sz w:val="24"/>
          <w:szCs w:val="24"/>
        </w:rPr>
        <w:t>ion</w:t>
      </w:r>
      <w:r w:rsidR="007D4026">
        <w:rPr>
          <w:rFonts w:ascii="Times New Roman" w:hAnsi="Times New Roman" w:cs="Times New Roman"/>
          <w:sz w:val="24"/>
          <w:szCs w:val="24"/>
        </w:rPr>
        <w:t xml:space="preserve"> or identif</w:t>
      </w:r>
      <w:r w:rsidR="00D1704C">
        <w:rPr>
          <w:rFonts w:ascii="Times New Roman" w:hAnsi="Times New Roman" w:cs="Times New Roman"/>
          <w:sz w:val="24"/>
          <w:szCs w:val="24"/>
        </w:rPr>
        <w:t xml:space="preserve">ication </w:t>
      </w:r>
      <w:r w:rsidR="008C178B">
        <w:rPr>
          <w:rFonts w:ascii="Times New Roman" w:hAnsi="Times New Roman" w:cs="Times New Roman"/>
          <w:sz w:val="24"/>
          <w:szCs w:val="24"/>
        </w:rPr>
        <w:t>of the</w:t>
      </w:r>
      <w:r w:rsidR="007D4026">
        <w:rPr>
          <w:rFonts w:ascii="Times New Roman" w:hAnsi="Times New Roman" w:cs="Times New Roman"/>
          <w:sz w:val="24"/>
          <w:szCs w:val="24"/>
        </w:rPr>
        <w:t xml:space="preserve"> misdirection on the part of the court </w:t>
      </w:r>
      <w:r w:rsidR="007D4026" w:rsidRPr="003A342D">
        <w:rPr>
          <w:rFonts w:ascii="Times New Roman" w:hAnsi="Times New Roman" w:cs="Times New Roman"/>
          <w:i/>
          <w:sz w:val="24"/>
          <w:szCs w:val="24"/>
        </w:rPr>
        <w:t>a</w:t>
      </w:r>
      <w:r w:rsidR="0038114D">
        <w:rPr>
          <w:rFonts w:ascii="Times New Roman" w:hAnsi="Times New Roman" w:cs="Times New Roman"/>
          <w:i/>
          <w:sz w:val="24"/>
          <w:szCs w:val="24"/>
        </w:rPr>
        <w:t>q</w:t>
      </w:r>
      <w:r w:rsidR="007D4026" w:rsidRPr="008C68C2">
        <w:rPr>
          <w:rFonts w:ascii="Times New Roman" w:hAnsi="Times New Roman" w:cs="Times New Roman"/>
          <w:i/>
          <w:sz w:val="24"/>
          <w:szCs w:val="24"/>
        </w:rPr>
        <w:t>u</w:t>
      </w:r>
      <w:r w:rsidR="0038114D">
        <w:rPr>
          <w:rFonts w:ascii="Times New Roman" w:hAnsi="Times New Roman" w:cs="Times New Roman"/>
          <w:i/>
          <w:sz w:val="24"/>
          <w:szCs w:val="24"/>
        </w:rPr>
        <w:t>o</w:t>
      </w:r>
      <w:r w:rsidR="00D97789">
        <w:rPr>
          <w:rFonts w:ascii="Times New Roman" w:hAnsi="Times New Roman" w:cs="Times New Roman"/>
          <w:sz w:val="24"/>
          <w:szCs w:val="24"/>
        </w:rPr>
        <w:t>.</w:t>
      </w:r>
    </w:p>
    <w:p w:rsidR="00D97789" w:rsidRDefault="00D97789"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question of an appropriate sentence is the d</w:t>
      </w:r>
      <w:r w:rsidR="00C2040F">
        <w:rPr>
          <w:rFonts w:ascii="Times New Roman" w:hAnsi="Times New Roman" w:cs="Times New Roman"/>
          <w:sz w:val="24"/>
          <w:szCs w:val="24"/>
        </w:rPr>
        <w:t>o</w:t>
      </w:r>
      <w:r>
        <w:rPr>
          <w:rFonts w:ascii="Times New Roman" w:hAnsi="Times New Roman" w:cs="Times New Roman"/>
          <w:sz w:val="24"/>
          <w:szCs w:val="24"/>
        </w:rPr>
        <w:t xml:space="preserve">main of the trial court. The appellant court can only interfere with the exercise of such </w:t>
      </w:r>
      <w:r w:rsidR="00CE2545">
        <w:rPr>
          <w:rFonts w:ascii="Times New Roman" w:hAnsi="Times New Roman" w:cs="Times New Roman"/>
          <w:sz w:val="24"/>
          <w:szCs w:val="24"/>
        </w:rPr>
        <w:t>d</w:t>
      </w:r>
      <w:r w:rsidR="00BB38B3">
        <w:rPr>
          <w:rFonts w:ascii="Times New Roman" w:hAnsi="Times New Roman" w:cs="Times New Roman"/>
          <w:sz w:val="24"/>
          <w:szCs w:val="24"/>
        </w:rPr>
        <w:t>i</w:t>
      </w:r>
      <w:r w:rsidR="00CE2545">
        <w:rPr>
          <w:rFonts w:ascii="Times New Roman" w:hAnsi="Times New Roman" w:cs="Times New Roman"/>
          <w:sz w:val="24"/>
          <w:szCs w:val="24"/>
        </w:rPr>
        <w:t>s</w:t>
      </w:r>
      <w:r w:rsidR="00BB38B3">
        <w:rPr>
          <w:rFonts w:ascii="Times New Roman" w:hAnsi="Times New Roman" w:cs="Times New Roman"/>
          <w:sz w:val="24"/>
          <w:szCs w:val="24"/>
        </w:rPr>
        <w:t>c</w:t>
      </w:r>
      <w:r w:rsidR="00CE2545">
        <w:rPr>
          <w:rFonts w:ascii="Times New Roman" w:hAnsi="Times New Roman" w:cs="Times New Roman"/>
          <w:sz w:val="24"/>
          <w:szCs w:val="24"/>
        </w:rPr>
        <w:t>r</w:t>
      </w:r>
      <w:r w:rsidR="00BB38B3">
        <w:rPr>
          <w:rFonts w:ascii="Times New Roman" w:hAnsi="Times New Roman" w:cs="Times New Roman"/>
          <w:sz w:val="24"/>
          <w:szCs w:val="24"/>
        </w:rPr>
        <w:t>e</w:t>
      </w:r>
      <w:r w:rsidR="00CE2545">
        <w:rPr>
          <w:rFonts w:ascii="Times New Roman" w:hAnsi="Times New Roman" w:cs="Times New Roman"/>
          <w:sz w:val="24"/>
          <w:szCs w:val="24"/>
        </w:rPr>
        <w:t>tion</w:t>
      </w:r>
      <w:r>
        <w:rPr>
          <w:rFonts w:ascii="Times New Roman" w:hAnsi="Times New Roman" w:cs="Times New Roman"/>
          <w:sz w:val="24"/>
          <w:szCs w:val="24"/>
        </w:rPr>
        <w:t xml:space="preserve"> if </w:t>
      </w:r>
      <w:r w:rsidR="00697A3B">
        <w:rPr>
          <w:rFonts w:ascii="Times New Roman" w:hAnsi="Times New Roman" w:cs="Times New Roman"/>
          <w:sz w:val="24"/>
          <w:szCs w:val="24"/>
        </w:rPr>
        <w:t xml:space="preserve">there is a serious </w:t>
      </w:r>
      <w:r w:rsidR="00760D56">
        <w:rPr>
          <w:rFonts w:ascii="Times New Roman" w:hAnsi="Times New Roman" w:cs="Times New Roman"/>
          <w:sz w:val="24"/>
          <w:szCs w:val="24"/>
        </w:rPr>
        <w:t>or material misdirection which offends the notion of justice.</w:t>
      </w:r>
    </w:p>
    <w:p w:rsidR="00E12D71" w:rsidRDefault="00E12D71"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D0610F">
        <w:rPr>
          <w:rFonts w:ascii="Times New Roman" w:hAnsi="Times New Roman" w:cs="Times New Roman"/>
          <w:i/>
          <w:sz w:val="24"/>
          <w:szCs w:val="24"/>
        </w:rPr>
        <w:t>casu</w:t>
      </w:r>
      <w:r>
        <w:rPr>
          <w:rFonts w:ascii="Times New Roman" w:hAnsi="Times New Roman" w:cs="Times New Roman"/>
          <w:sz w:val="24"/>
          <w:szCs w:val="24"/>
        </w:rPr>
        <w:t xml:space="preserve"> it is accepted that the appellant is a first offende</w:t>
      </w:r>
      <w:r w:rsidR="0006326A">
        <w:rPr>
          <w:rFonts w:ascii="Times New Roman" w:hAnsi="Times New Roman" w:cs="Times New Roman"/>
          <w:sz w:val="24"/>
          <w:szCs w:val="24"/>
        </w:rPr>
        <w:t>r</w:t>
      </w:r>
      <w:r>
        <w:rPr>
          <w:rFonts w:ascii="Times New Roman" w:hAnsi="Times New Roman" w:cs="Times New Roman"/>
          <w:sz w:val="24"/>
          <w:szCs w:val="24"/>
        </w:rPr>
        <w:t xml:space="preserve">. He </w:t>
      </w:r>
      <w:r w:rsidR="00757A23">
        <w:rPr>
          <w:rFonts w:ascii="Times New Roman" w:hAnsi="Times New Roman" w:cs="Times New Roman"/>
          <w:sz w:val="24"/>
          <w:szCs w:val="24"/>
        </w:rPr>
        <w:t>plead</w:t>
      </w:r>
      <w:r w:rsidR="00ED06A0">
        <w:rPr>
          <w:rFonts w:ascii="Times New Roman" w:hAnsi="Times New Roman" w:cs="Times New Roman"/>
          <w:sz w:val="24"/>
          <w:szCs w:val="24"/>
        </w:rPr>
        <w:t>ed</w:t>
      </w:r>
      <w:r w:rsidR="00757A23">
        <w:rPr>
          <w:rFonts w:ascii="Times New Roman" w:hAnsi="Times New Roman" w:cs="Times New Roman"/>
          <w:sz w:val="24"/>
          <w:szCs w:val="24"/>
        </w:rPr>
        <w:t xml:space="preserve"> guilty to the charges in both matters. Part of the stolen properly was recovered</w:t>
      </w:r>
      <w:r w:rsidR="003F5837">
        <w:rPr>
          <w:rFonts w:ascii="Times New Roman" w:hAnsi="Times New Roman" w:cs="Times New Roman"/>
          <w:sz w:val="24"/>
          <w:szCs w:val="24"/>
        </w:rPr>
        <w:t xml:space="preserve">. </w:t>
      </w:r>
      <w:r w:rsidR="00D01B11">
        <w:rPr>
          <w:rFonts w:ascii="Times New Roman" w:hAnsi="Times New Roman" w:cs="Times New Roman"/>
          <w:sz w:val="24"/>
          <w:szCs w:val="24"/>
        </w:rPr>
        <w:t>I</w:t>
      </w:r>
      <w:r w:rsidR="00A729D9">
        <w:rPr>
          <w:rFonts w:ascii="Times New Roman" w:hAnsi="Times New Roman" w:cs="Times New Roman"/>
          <w:sz w:val="24"/>
          <w:szCs w:val="24"/>
        </w:rPr>
        <w:t>mprisonment</w:t>
      </w:r>
      <w:r w:rsidR="00D01B11">
        <w:rPr>
          <w:rFonts w:ascii="Times New Roman" w:hAnsi="Times New Roman" w:cs="Times New Roman"/>
          <w:sz w:val="24"/>
          <w:szCs w:val="24"/>
        </w:rPr>
        <w:t xml:space="preserve"> would</w:t>
      </w:r>
      <w:r w:rsidR="00BA51BE">
        <w:rPr>
          <w:rFonts w:ascii="Times New Roman" w:hAnsi="Times New Roman" w:cs="Times New Roman"/>
          <w:sz w:val="24"/>
          <w:szCs w:val="24"/>
        </w:rPr>
        <w:t xml:space="preserve"> obviously negatively impact upon him and his dependants.</w:t>
      </w:r>
    </w:p>
    <w:p w:rsidR="00671F0B" w:rsidRDefault="00671F0B"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my mind the aggravating factors, after a careful analysis</w:t>
      </w:r>
      <w:r w:rsidR="00255099">
        <w:rPr>
          <w:rFonts w:ascii="Times New Roman" w:hAnsi="Times New Roman" w:cs="Times New Roman"/>
          <w:sz w:val="24"/>
          <w:szCs w:val="24"/>
        </w:rPr>
        <w:t>,</w:t>
      </w:r>
      <w:r>
        <w:rPr>
          <w:rFonts w:ascii="Times New Roman" w:hAnsi="Times New Roman" w:cs="Times New Roman"/>
          <w:sz w:val="24"/>
          <w:szCs w:val="24"/>
        </w:rPr>
        <w:t xml:space="preserve"> far out weigh the mitigatory factors. In </w:t>
      </w:r>
      <w:r w:rsidR="00D01B11">
        <w:rPr>
          <w:rFonts w:ascii="Times New Roman" w:hAnsi="Times New Roman" w:cs="Times New Roman"/>
          <w:sz w:val="24"/>
          <w:szCs w:val="24"/>
        </w:rPr>
        <w:t>brief I</w:t>
      </w:r>
      <w:r>
        <w:rPr>
          <w:rFonts w:ascii="Times New Roman" w:hAnsi="Times New Roman" w:cs="Times New Roman"/>
          <w:sz w:val="24"/>
          <w:szCs w:val="24"/>
        </w:rPr>
        <w:t xml:space="preserve"> may simply highlight some of them.</w:t>
      </w:r>
    </w:p>
    <w:p w:rsidR="00D01B11" w:rsidRDefault="00D01B11"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offence of robbery this is inherently a serious offence especially where gratuitous violence is administered to a helpless victim. The fact that the two boosters were guarded did not deter the appellant and his accomplices. </w:t>
      </w:r>
      <w:r w:rsidR="00AC4AB1">
        <w:rPr>
          <w:rFonts w:ascii="Times New Roman" w:hAnsi="Times New Roman" w:cs="Times New Roman"/>
          <w:sz w:val="24"/>
          <w:szCs w:val="24"/>
        </w:rPr>
        <w:t>This was clearly a gang offence involving six people. This shows pre planning and pre</w:t>
      </w:r>
      <w:r w:rsidR="008E6E95">
        <w:rPr>
          <w:rFonts w:ascii="Times New Roman" w:hAnsi="Times New Roman" w:cs="Times New Roman"/>
          <w:sz w:val="24"/>
          <w:szCs w:val="24"/>
        </w:rPr>
        <w:t>meditation</w:t>
      </w:r>
      <w:r w:rsidR="00F83CAD">
        <w:rPr>
          <w:rFonts w:ascii="Times New Roman" w:hAnsi="Times New Roman" w:cs="Times New Roman"/>
          <w:sz w:val="24"/>
          <w:szCs w:val="24"/>
        </w:rPr>
        <w:t>. As per the agreed facts the offence was not only well planned but meticulously executed successfully.</w:t>
      </w:r>
      <w:r w:rsidR="00D53655">
        <w:rPr>
          <w:rFonts w:ascii="Times New Roman" w:hAnsi="Times New Roman" w:cs="Times New Roman"/>
          <w:sz w:val="24"/>
          <w:szCs w:val="24"/>
        </w:rPr>
        <w:t xml:space="preserve"> The offence was committed under the veil of darkness to avoid detection. The </w:t>
      </w:r>
      <w:r w:rsidR="007272AC">
        <w:rPr>
          <w:rFonts w:ascii="Times New Roman" w:hAnsi="Times New Roman" w:cs="Times New Roman"/>
          <w:sz w:val="24"/>
          <w:szCs w:val="24"/>
        </w:rPr>
        <w:t>security guard</w:t>
      </w:r>
      <w:r w:rsidR="002A5828">
        <w:rPr>
          <w:rFonts w:ascii="Times New Roman" w:hAnsi="Times New Roman" w:cs="Times New Roman"/>
          <w:sz w:val="24"/>
          <w:szCs w:val="24"/>
        </w:rPr>
        <w:t xml:space="preserve"> was physically abused, violated and traumatised</w:t>
      </w:r>
      <w:r w:rsidR="00AB1DC6">
        <w:rPr>
          <w:rFonts w:ascii="Times New Roman" w:hAnsi="Times New Roman" w:cs="Times New Roman"/>
          <w:sz w:val="24"/>
          <w:szCs w:val="24"/>
        </w:rPr>
        <w:t>. The motivation in this</w:t>
      </w:r>
      <w:r w:rsidR="007272AC">
        <w:rPr>
          <w:rFonts w:ascii="Times New Roman" w:hAnsi="Times New Roman" w:cs="Times New Roman"/>
          <w:sz w:val="24"/>
          <w:szCs w:val="24"/>
        </w:rPr>
        <w:t xml:space="preserve">case was purely for selfish reasons, personal gain and greed. The appellant and his </w:t>
      </w:r>
      <w:r w:rsidR="000E0FB3">
        <w:rPr>
          <w:rFonts w:ascii="Times New Roman" w:hAnsi="Times New Roman" w:cs="Times New Roman"/>
          <w:sz w:val="24"/>
          <w:szCs w:val="24"/>
        </w:rPr>
        <w:t>colleagues</w:t>
      </w:r>
      <w:r w:rsidR="007272AC">
        <w:rPr>
          <w:rFonts w:ascii="Times New Roman" w:hAnsi="Times New Roman" w:cs="Times New Roman"/>
          <w:sz w:val="24"/>
          <w:szCs w:val="24"/>
        </w:rPr>
        <w:t xml:space="preserve"> were oblivious to the interests of the local community </w:t>
      </w:r>
      <w:r w:rsidR="000E0FB3">
        <w:rPr>
          <w:rFonts w:ascii="Times New Roman" w:hAnsi="Times New Roman" w:cs="Times New Roman"/>
          <w:sz w:val="24"/>
          <w:szCs w:val="24"/>
        </w:rPr>
        <w:t>and the value of such infrastructure</w:t>
      </w:r>
      <w:r w:rsidR="000813DD">
        <w:rPr>
          <w:rFonts w:ascii="Times New Roman" w:hAnsi="Times New Roman" w:cs="Times New Roman"/>
          <w:sz w:val="24"/>
          <w:szCs w:val="24"/>
        </w:rPr>
        <w:t>like boosters</w:t>
      </w:r>
      <w:r w:rsidR="00FC3E21">
        <w:rPr>
          <w:rFonts w:ascii="Times New Roman" w:hAnsi="Times New Roman" w:cs="Times New Roman"/>
          <w:sz w:val="24"/>
          <w:szCs w:val="24"/>
        </w:rPr>
        <w:t xml:space="preserve"> in this day and age.  They simply decided to vandalise such infrastructure</w:t>
      </w:r>
      <w:r w:rsidR="00DD3521">
        <w:rPr>
          <w:rFonts w:ascii="Times New Roman" w:hAnsi="Times New Roman" w:cs="Times New Roman"/>
          <w:sz w:val="24"/>
          <w:szCs w:val="24"/>
        </w:rPr>
        <w:t xml:space="preserve"> for narrow</w:t>
      </w:r>
      <w:r w:rsidR="0084458B">
        <w:rPr>
          <w:rFonts w:ascii="Times New Roman" w:hAnsi="Times New Roman" w:cs="Times New Roman"/>
          <w:sz w:val="24"/>
          <w:szCs w:val="24"/>
        </w:rPr>
        <w:t>,</w:t>
      </w:r>
      <w:r w:rsidR="00DD3521">
        <w:rPr>
          <w:rFonts w:ascii="Times New Roman" w:hAnsi="Times New Roman" w:cs="Times New Roman"/>
          <w:sz w:val="24"/>
          <w:szCs w:val="24"/>
        </w:rPr>
        <w:t xml:space="preserve"> personal and monetary gain. The owners of the </w:t>
      </w:r>
      <w:r w:rsidR="00A61CAF">
        <w:rPr>
          <w:rFonts w:ascii="Times New Roman" w:hAnsi="Times New Roman" w:cs="Times New Roman"/>
          <w:sz w:val="24"/>
          <w:szCs w:val="24"/>
        </w:rPr>
        <w:t>infrastructure</w:t>
      </w:r>
      <w:r w:rsidR="000D2FEE">
        <w:rPr>
          <w:rFonts w:ascii="Times New Roman" w:hAnsi="Times New Roman" w:cs="Times New Roman"/>
          <w:sz w:val="24"/>
          <w:szCs w:val="24"/>
        </w:rPr>
        <w:t>were prejudice</w:t>
      </w:r>
      <w:r w:rsidR="003868B4">
        <w:rPr>
          <w:rFonts w:ascii="Times New Roman" w:hAnsi="Times New Roman" w:cs="Times New Roman"/>
          <w:sz w:val="24"/>
          <w:szCs w:val="24"/>
        </w:rPr>
        <w:t>d</w:t>
      </w:r>
      <w:r w:rsidR="000D2FEE">
        <w:rPr>
          <w:rFonts w:ascii="Times New Roman" w:hAnsi="Times New Roman" w:cs="Times New Roman"/>
          <w:sz w:val="24"/>
          <w:szCs w:val="24"/>
        </w:rPr>
        <w:t xml:space="preserve"> and the </w:t>
      </w:r>
      <w:r w:rsidR="00B96D38">
        <w:rPr>
          <w:rFonts w:ascii="Times New Roman" w:hAnsi="Times New Roman" w:cs="Times New Roman"/>
          <w:sz w:val="24"/>
          <w:szCs w:val="24"/>
        </w:rPr>
        <w:t xml:space="preserve">local </w:t>
      </w:r>
      <w:r w:rsidR="000D2FEE">
        <w:rPr>
          <w:rFonts w:ascii="Times New Roman" w:hAnsi="Times New Roman" w:cs="Times New Roman"/>
          <w:sz w:val="24"/>
          <w:szCs w:val="24"/>
        </w:rPr>
        <w:t xml:space="preserve">community was deprived of as important communication tool. Such </w:t>
      </w:r>
      <w:r w:rsidR="00986799">
        <w:rPr>
          <w:rFonts w:ascii="Times New Roman" w:hAnsi="Times New Roman" w:cs="Times New Roman"/>
          <w:sz w:val="24"/>
          <w:szCs w:val="24"/>
        </w:rPr>
        <w:t>primitive and</w:t>
      </w:r>
      <w:r w:rsidR="00D74151">
        <w:rPr>
          <w:rFonts w:ascii="Times New Roman" w:hAnsi="Times New Roman" w:cs="Times New Roman"/>
          <w:sz w:val="24"/>
          <w:szCs w:val="24"/>
        </w:rPr>
        <w:t xml:space="preserve"> selfish interests retard development.</w:t>
      </w:r>
    </w:p>
    <w:p w:rsidR="002668E0" w:rsidRDefault="002668E0"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commuting the offence of </w:t>
      </w:r>
      <w:r w:rsidR="00986799">
        <w:rPr>
          <w:rFonts w:ascii="Times New Roman" w:hAnsi="Times New Roman" w:cs="Times New Roman"/>
          <w:sz w:val="24"/>
          <w:szCs w:val="24"/>
        </w:rPr>
        <w:t>robbery,</w:t>
      </w:r>
      <w:r>
        <w:rPr>
          <w:rFonts w:ascii="Times New Roman" w:hAnsi="Times New Roman" w:cs="Times New Roman"/>
          <w:sz w:val="24"/>
          <w:szCs w:val="24"/>
        </w:rPr>
        <w:t xml:space="preserve"> the appellant was not done yet. He decided to </w:t>
      </w:r>
      <w:r w:rsidR="00986799">
        <w:rPr>
          <w:rFonts w:ascii="Times New Roman" w:hAnsi="Times New Roman" w:cs="Times New Roman"/>
          <w:sz w:val="24"/>
          <w:szCs w:val="24"/>
        </w:rPr>
        <w:t>look for solar panels. Again the theft offence was a gang offence.</w:t>
      </w:r>
    </w:p>
    <w:p w:rsidR="0024615A" w:rsidRDefault="00513D79"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targeted solar panels which were useful to a community project. This adversely affected many innocent local villagers. Such conduct again is driven by selfish interests and greed. The appellant derived benefit from this conduct.</w:t>
      </w:r>
    </w:p>
    <w:p w:rsidR="005E2B2F" w:rsidRDefault="005E2B2F"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correct that the sentences imposed in both matters fall within the threshold within which the option of community service should be considered. However the relevant issue i</w:t>
      </w:r>
      <w:r w:rsidR="00F506B7">
        <w:rPr>
          <w:rFonts w:ascii="Times New Roman" w:hAnsi="Times New Roman" w:cs="Times New Roman"/>
          <w:sz w:val="24"/>
          <w:szCs w:val="24"/>
        </w:rPr>
        <w:t>n</w:t>
      </w:r>
      <w:r>
        <w:rPr>
          <w:rFonts w:ascii="Times New Roman" w:hAnsi="Times New Roman" w:cs="Times New Roman"/>
          <w:sz w:val="24"/>
          <w:szCs w:val="24"/>
        </w:rPr>
        <w:t xml:space="preserve"> both cases would be whether the option</w:t>
      </w:r>
      <w:r w:rsidR="00011740">
        <w:rPr>
          <w:rFonts w:ascii="Times New Roman" w:hAnsi="Times New Roman" w:cs="Times New Roman"/>
          <w:sz w:val="24"/>
          <w:szCs w:val="24"/>
        </w:rPr>
        <w:t xml:space="preserve"> of community service would meet the justice of both cases</w:t>
      </w:r>
      <w:r w:rsidR="00F26A7E">
        <w:rPr>
          <w:rFonts w:ascii="Times New Roman" w:hAnsi="Times New Roman" w:cs="Times New Roman"/>
          <w:sz w:val="24"/>
          <w:szCs w:val="24"/>
        </w:rPr>
        <w:t>.</w:t>
      </w:r>
    </w:p>
    <w:p w:rsidR="00F26A7E" w:rsidRDefault="00F26A7E"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the firm view that community service is inappropriate in both </w:t>
      </w:r>
      <w:r w:rsidR="00BC49D7">
        <w:rPr>
          <w:rFonts w:ascii="Times New Roman" w:hAnsi="Times New Roman" w:cs="Times New Roman"/>
          <w:sz w:val="24"/>
          <w:szCs w:val="24"/>
        </w:rPr>
        <w:t>cases. Such a sentence</w:t>
      </w:r>
      <w:r>
        <w:rPr>
          <w:rFonts w:ascii="Times New Roman" w:hAnsi="Times New Roman" w:cs="Times New Roman"/>
          <w:sz w:val="24"/>
          <w:szCs w:val="24"/>
        </w:rPr>
        <w:t xml:space="preserve"> would send wrong and harmful signals to persons of like mind. It would ridicule </w:t>
      </w:r>
      <w:r w:rsidR="00760D62">
        <w:rPr>
          <w:rFonts w:ascii="Times New Roman" w:hAnsi="Times New Roman" w:cs="Times New Roman"/>
          <w:sz w:val="24"/>
          <w:szCs w:val="24"/>
        </w:rPr>
        <w:t>and put into disrepute the noble concept of community service.</w:t>
      </w:r>
    </w:p>
    <w:p w:rsidR="00760D62" w:rsidRDefault="00760D62"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one may say an effective sentence of 25 months in both cases is rather on the severe side, the point remains that an effective custodial sentence is appropriate. The appellant’s conduct </w:t>
      </w:r>
      <w:r w:rsidR="00D24644">
        <w:rPr>
          <w:rFonts w:ascii="Times New Roman" w:hAnsi="Times New Roman" w:cs="Times New Roman"/>
          <w:sz w:val="24"/>
          <w:szCs w:val="24"/>
        </w:rPr>
        <w:t>deserves</w:t>
      </w:r>
      <w:r>
        <w:rPr>
          <w:rFonts w:ascii="Times New Roman" w:hAnsi="Times New Roman" w:cs="Times New Roman"/>
          <w:sz w:val="24"/>
          <w:szCs w:val="24"/>
        </w:rPr>
        <w:t xml:space="preserve"> the biting and sharp</w:t>
      </w:r>
      <w:r w:rsidR="009E3BA4">
        <w:rPr>
          <w:rFonts w:ascii="Times New Roman" w:hAnsi="Times New Roman" w:cs="Times New Roman"/>
          <w:sz w:val="24"/>
          <w:szCs w:val="24"/>
        </w:rPr>
        <w:t xml:space="preserve"> edge of the court’s teeth. It deserves censure</w:t>
      </w:r>
      <w:r w:rsidR="00AF7B7A">
        <w:rPr>
          <w:rFonts w:ascii="Times New Roman" w:hAnsi="Times New Roman" w:cs="Times New Roman"/>
          <w:sz w:val="24"/>
          <w:szCs w:val="24"/>
        </w:rPr>
        <w:t>.</w:t>
      </w:r>
    </w:p>
    <w:p w:rsidR="00AF7B7A" w:rsidRDefault="00AF7B7A"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end </w:t>
      </w:r>
      <w:r w:rsidR="00DE39EC">
        <w:rPr>
          <w:rFonts w:ascii="Times New Roman" w:hAnsi="Times New Roman" w:cs="Times New Roman"/>
          <w:sz w:val="24"/>
          <w:szCs w:val="24"/>
        </w:rPr>
        <w:t xml:space="preserve">of the </w:t>
      </w:r>
      <w:r w:rsidR="001141BA">
        <w:rPr>
          <w:rFonts w:ascii="Times New Roman" w:hAnsi="Times New Roman" w:cs="Times New Roman"/>
          <w:sz w:val="24"/>
          <w:szCs w:val="24"/>
        </w:rPr>
        <w:t xml:space="preserve">day I find no </w:t>
      </w:r>
      <w:r>
        <w:rPr>
          <w:rFonts w:ascii="Times New Roman" w:hAnsi="Times New Roman" w:cs="Times New Roman"/>
          <w:sz w:val="24"/>
          <w:szCs w:val="24"/>
        </w:rPr>
        <w:t xml:space="preserve">misdirection at all in how the court </w:t>
      </w:r>
      <w:r w:rsidRPr="00AF7B7A">
        <w:rPr>
          <w:rFonts w:ascii="Times New Roman" w:hAnsi="Times New Roman" w:cs="Times New Roman"/>
          <w:i/>
          <w:sz w:val="24"/>
          <w:szCs w:val="24"/>
        </w:rPr>
        <w:t xml:space="preserve">a </w:t>
      </w:r>
      <w:r w:rsidR="00FD45CC" w:rsidRPr="00AF7B7A">
        <w:rPr>
          <w:rFonts w:ascii="Times New Roman" w:hAnsi="Times New Roman" w:cs="Times New Roman"/>
          <w:i/>
          <w:sz w:val="24"/>
          <w:szCs w:val="24"/>
        </w:rPr>
        <w:t>qu</w:t>
      </w:r>
      <w:r w:rsidR="00873E6C">
        <w:rPr>
          <w:rFonts w:ascii="Times New Roman" w:hAnsi="Times New Roman" w:cs="Times New Roman"/>
          <w:i/>
          <w:sz w:val="24"/>
          <w:szCs w:val="24"/>
        </w:rPr>
        <w:t>o</w:t>
      </w:r>
      <w:r w:rsidR="00FD45CC">
        <w:rPr>
          <w:rFonts w:ascii="Times New Roman" w:hAnsi="Times New Roman" w:cs="Times New Roman"/>
          <w:sz w:val="24"/>
          <w:szCs w:val="24"/>
        </w:rPr>
        <w:t xml:space="preserve"> exercised</w:t>
      </w:r>
      <w:r w:rsidR="001D1F59">
        <w:rPr>
          <w:rFonts w:ascii="Times New Roman" w:hAnsi="Times New Roman" w:cs="Times New Roman"/>
          <w:sz w:val="24"/>
          <w:szCs w:val="24"/>
        </w:rPr>
        <w:t xml:space="preserve">its discretion </w:t>
      </w:r>
      <w:r w:rsidR="00FD45CC">
        <w:rPr>
          <w:rFonts w:ascii="Times New Roman" w:hAnsi="Times New Roman" w:cs="Times New Roman"/>
          <w:sz w:val="24"/>
          <w:szCs w:val="24"/>
        </w:rPr>
        <w:t>in</w:t>
      </w:r>
      <w:r w:rsidR="001B1584">
        <w:rPr>
          <w:rFonts w:ascii="Times New Roman" w:hAnsi="Times New Roman" w:cs="Times New Roman"/>
          <w:sz w:val="24"/>
          <w:szCs w:val="24"/>
        </w:rPr>
        <w:t xml:space="preserve"> assessing sentence in both matters. There is </w:t>
      </w:r>
      <w:r w:rsidR="00FD45CC">
        <w:rPr>
          <w:rFonts w:ascii="Times New Roman" w:hAnsi="Times New Roman" w:cs="Times New Roman"/>
          <w:sz w:val="24"/>
          <w:szCs w:val="24"/>
        </w:rPr>
        <w:t>therefore no</w:t>
      </w:r>
      <w:r w:rsidR="00FE7792">
        <w:rPr>
          <w:rFonts w:ascii="Times New Roman" w:hAnsi="Times New Roman" w:cs="Times New Roman"/>
          <w:sz w:val="24"/>
          <w:szCs w:val="24"/>
        </w:rPr>
        <w:t xml:space="preserve"> objective basis for this court to interfere with the decision of the court </w:t>
      </w:r>
      <w:r w:rsidR="00FE7792" w:rsidRPr="00FE7792">
        <w:rPr>
          <w:rFonts w:ascii="Times New Roman" w:hAnsi="Times New Roman" w:cs="Times New Roman"/>
          <w:i/>
          <w:sz w:val="24"/>
          <w:szCs w:val="24"/>
        </w:rPr>
        <w:t>a qu</w:t>
      </w:r>
      <w:r w:rsidR="00873E6C">
        <w:rPr>
          <w:rFonts w:ascii="Times New Roman" w:hAnsi="Times New Roman" w:cs="Times New Roman"/>
          <w:i/>
          <w:sz w:val="24"/>
          <w:szCs w:val="24"/>
        </w:rPr>
        <w:t>o</w:t>
      </w:r>
      <w:r w:rsidR="006123B2">
        <w:rPr>
          <w:rFonts w:ascii="Times New Roman" w:hAnsi="Times New Roman" w:cs="Times New Roman"/>
          <w:sz w:val="24"/>
          <w:szCs w:val="24"/>
        </w:rPr>
        <w:t xml:space="preserve">in both </w:t>
      </w:r>
      <w:r w:rsidR="00904912">
        <w:rPr>
          <w:rFonts w:ascii="Times New Roman" w:hAnsi="Times New Roman" w:cs="Times New Roman"/>
          <w:sz w:val="24"/>
          <w:szCs w:val="24"/>
        </w:rPr>
        <w:t>matters</w:t>
      </w:r>
      <w:r w:rsidR="006123B2">
        <w:rPr>
          <w:rFonts w:ascii="Times New Roman" w:hAnsi="Times New Roman" w:cs="Times New Roman"/>
          <w:sz w:val="24"/>
          <w:szCs w:val="24"/>
        </w:rPr>
        <w:t>. The appellant made his bed and he should be content to lie on it.</w:t>
      </w:r>
    </w:p>
    <w:p w:rsidR="006123B2" w:rsidRDefault="006123B2" w:rsidP="00F840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forthese reasons that the appeals in both CA 75/20 and CA 76/20</w:t>
      </w:r>
      <w:r w:rsidR="00817374">
        <w:rPr>
          <w:rFonts w:ascii="Times New Roman" w:hAnsi="Times New Roman" w:cs="Times New Roman"/>
          <w:sz w:val="24"/>
          <w:szCs w:val="24"/>
        </w:rPr>
        <w:t xml:space="preserve"> were dismissed for lack of merit.</w:t>
      </w:r>
    </w:p>
    <w:p w:rsidR="000263F8" w:rsidRDefault="000263F8" w:rsidP="00F840A9">
      <w:pPr>
        <w:spacing w:after="0" w:line="360" w:lineRule="auto"/>
        <w:ind w:firstLine="720"/>
        <w:jc w:val="both"/>
        <w:rPr>
          <w:rFonts w:ascii="Times New Roman" w:hAnsi="Times New Roman" w:cs="Times New Roman"/>
          <w:sz w:val="24"/>
          <w:szCs w:val="24"/>
        </w:rPr>
      </w:pPr>
    </w:p>
    <w:p w:rsidR="000263F8" w:rsidRDefault="000263F8" w:rsidP="00F840A9">
      <w:pPr>
        <w:spacing w:after="0" w:line="360" w:lineRule="auto"/>
        <w:ind w:firstLine="720"/>
        <w:jc w:val="both"/>
        <w:rPr>
          <w:rFonts w:ascii="Times New Roman" w:hAnsi="Times New Roman" w:cs="Times New Roman"/>
          <w:sz w:val="24"/>
          <w:szCs w:val="24"/>
        </w:rPr>
      </w:pPr>
    </w:p>
    <w:p w:rsidR="00817374" w:rsidRDefault="00817374" w:rsidP="00F840A9">
      <w:pPr>
        <w:spacing w:after="0" w:line="360" w:lineRule="auto"/>
        <w:ind w:firstLine="720"/>
        <w:jc w:val="both"/>
        <w:rPr>
          <w:rFonts w:ascii="Times New Roman" w:hAnsi="Times New Roman" w:cs="Times New Roman"/>
          <w:sz w:val="24"/>
          <w:szCs w:val="24"/>
        </w:rPr>
      </w:pPr>
    </w:p>
    <w:p w:rsidR="001D6FAE" w:rsidRDefault="001D6FAE" w:rsidP="00F840A9">
      <w:pPr>
        <w:spacing w:after="0" w:line="360" w:lineRule="auto"/>
        <w:ind w:firstLine="720"/>
        <w:jc w:val="both"/>
        <w:rPr>
          <w:rFonts w:ascii="Times New Roman" w:hAnsi="Times New Roman" w:cs="Times New Roman"/>
          <w:sz w:val="24"/>
          <w:szCs w:val="24"/>
        </w:rPr>
      </w:pPr>
    </w:p>
    <w:p w:rsidR="001D6FAE" w:rsidRDefault="001D6FAE" w:rsidP="00F840A9">
      <w:pPr>
        <w:spacing w:after="0" w:line="360" w:lineRule="auto"/>
        <w:ind w:firstLine="720"/>
        <w:jc w:val="both"/>
        <w:rPr>
          <w:rFonts w:ascii="Times New Roman" w:hAnsi="Times New Roman" w:cs="Times New Roman"/>
          <w:sz w:val="24"/>
          <w:szCs w:val="24"/>
        </w:rPr>
      </w:pPr>
    </w:p>
    <w:p w:rsidR="001D6FAE" w:rsidRDefault="001D6FAE" w:rsidP="00F840A9">
      <w:pPr>
        <w:spacing w:after="0" w:line="360" w:lineRule="auto"/>
        <w:ind w:firstLine="720"/>
        <w:jc w:val="both"/>
        <w:rPr>
          <w:rFonts w:ascii="Times New Roman" w:hAnsi="Times New Roman" w:cs="Times New Roman"/>
          <w:sz w:val="24"/>
          <w:szCs w:val="24"/>
        </w:rPr>
      </w:pPr>
    </w:p>
    <w:p w:rsidR="00817374" w:rsidRDefault="00817374" w:rsidP="00F840A9">
      <w:pPr>
        <w:spacing w:after="0" w:line="36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WAMAMBO J agrees……………………………………………….</w:t>
      </w:r>
    </w:p>
    <w:p w:rsidR="00150197" w:rsidRDefault="00150197" w:rsidP="00404819">
      <w:pPr>
        <w:spacing w:after="0" w:line="360" w:lineRule="auto"/>
        <w:jc w:val="both"/>
        <w:rPr>
          <w:rFonts w:ascii="Times New Roman" w:hAnsi="Times New Roman" w:cs="Times New Roman"/>
          <w:sz w:val="24"/>
          <w:szCs w:val="24"/>
        </w:rPr>
      </w:pPr>
    </w:p>
    <w:p w:rsidR="00150197" w:rsidRDefault="00150197" w:rsidP="00F840A9">
      <w:pPr>
        <w:spacing w:after="0" w:line="360" w:lineRule="auto"/>
        <w:ind w:left="720"/>
        <w:jc w:val="both"/>
        <w:rPr>
          <w:rFonts w:ascii="Times New Roman" w:hAnsi="Times New Roman" w:cs="Times New Roman"/>
          <w:sz w:val="24"/>
          <w:szCs w:val="24"/>
        </w:rPr>
      </w:pPr>
      <w:r>
        <w:rPr>
          <w:rFonts w:ascii="Times New Roman" w:hAnsi="Times New Roman" w:cs="Times New Roman"/>
          <w:i/>
          <w:sz w:val="24"/>
          <w:szCs w:val="24"/>
        </w:rPr>
        <w:t>Mutendi</w:t>
      </w:r>
      <w:r w:rsidRPr="000A3CCA">
        <w:rPr>
          <w:rFonts w:ascii="Times New Roman" w:hAnsi="Times New Roman" w:cs="Times New Roman"/>
          <w:i/>
          <w:sz w:val="24"/>
          <w:szCs w:val="24"/>
        </w:rPr>
        <w:t>,</w:t>
      </w:r>
      <w:r w:rsidRPr="0069481D">
        <w:rPr>
          <w:rFonts w:ascii="Times New Roman" w:hAnsi="Times New Roman" w:cs="Times New Roman"/>
          <w:i/>
          <w:sz w:val="24"/>
          <w:szCs w:val="24"/>
        </w:rPr>
        <w:t>Mudisi, &amp;</w:t>
      </w:r>
      <w:r w:rsidR="00351D0B" w:rsidRPr="0069481D">
        <w:rPr>
          <w:rFonts w:ascii="Times New Roman" w:hAnsi="Times New Roman" w:cs="Times New Roman"/>
          <w:i/>
          <w:sz w:val="24"/>
          <w:szCs w:val="24"/>
        </w:rPr>
        <w:t>Shumba, counsel</w:t>
      </w:r>
      <w:r>
        <w:rPr>
          <w:rFonts w:ascii="Times New Roman" w:hAnsi="Times New Roman" w:cs="Times New Roman"/>
          <w:sz w:val="24"/>
          <w:szCs w:val="24"/>
        </w:rPr>
        <w:t xml:space="preserve"> for the appellant</w:t>
      </w:r>
    </w:p>
    <w:p w:rsidR="00D9367C" w:rsidRPr="00442E02" w:rsidRDefault="007B00B3" w:rsidP="001900EB">
      <w:pPr>
        <w:spacing w:after="0" w:line="360" w:lineRule="auto"/>
        <w:ind w:left="720"/>
        <w:jc w:val="both"/>
      </w:pPr>
      <w:r>
        <w:rPr>
          <w:rFonts w:ascii="Times New Roman" w:hAnsi="Times New Roman" w:cs="Times New Roman"/>
          <w:i/>
          <w:sz w:val="24"/>
          <w:szCs w:val="24"/>
        </w:rPr>
        <w:t>National Prosecuting Authority counsel</w:t>
      </w:r>
      <w:r w:rsidR="00150197" w:rsidRPr="000A3CCA">
        <w:rPr>
          <w:rFonts w:ascii="Times New Roman" w:hAnsi="Times New Roman" w:cs="Times New Roman"/>
          <w:i/>
          <w:sz w:val="24"/>
          <w:szCs w:val="24"/>
        </w:rPr>
        <w:t>,</w:t>
      </w:r>
      <w:r w:rsidR="00150197">
        <w:rPr>
          <w:rFonts w:ascii="Times New Roman" w:hAnsi="Times New Roman" w:cs="Times New Roman"/>
          <w:sz w:val="24"/>
          <w:szCs w:val="24"/>
        </w:rPr>
        <w:t xml:space="preserve"> Respondents Legal Practitioners</w:t>
      </w:r>
    </w:p>
    <w:sectPr w:rsidR="00D9367C" w:rsidRPr="00442E02" w:rsidSect="00C2460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A19" w:rsidRDefault="00122A19" w:rsidP="00D9367C">
      <w:pPr>
        <w:spacing w:after="0" w:line="240" w:lineRule="auto"/>
      </w:pPr>
      <w:r>
        <w:separator/>
      </w:r>
    </w:p>
  </w:endnote>
  <w:endnote w:type="continuationSeparator" w:id="1">
    <w:p w:rsidR="00122A19" w:rsidRDefault="00122A19" w:rsidP="00D93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A19" w:rsidRDefault="00122A19" w:rsidP="00D9367C">
      <w:pPr>
        <w:spacing w:after="0" w:line="240" w:lineRule="auto"/>
      </w:pPr>
      <w:r>
        <w:separator/>
      </w:r>
    </w:p>
  </w:footnote>
  <w:footnote w:type="continuationSeparator" w:id="1">
    <w:p w:rsidR="00122A19" w:rsidRDefault="00122A19" w:rsidP="00D936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216132"/>
      <w:docPartObj>
        <w:docPartGallery w:val="Page Numbers (Top of Page)"/>
        <w:docPartUnique/>
      </w:docPartObj>
    </w:sdtPr>
    <w:sdtEndPr>
      <w:rPr>
        <w:noProof/>
      </w:rPr>
    </w:sdtEndPr>
    <w:sdtContent>
      <w:p w:rsidR="00D9367C" w:rsidRDefault="00C2460A">
        <w:pPr>
          <w:pStyle w:val="Header"/>
          <w:jc w:val="right"/>
          <w:rPr>
            <w:noProof/>
          </w:rPr>
        </w:pPr>
        <w:r>
          <w:fldChar w:fldCharType="begin"/>
        </w:r>
        <w:r w:rsidR="00D9367C">
          <w:instrText xml:space="preserve"> PAGE   \* MERGEFORMAT </w:instrText>
        </w:r>
        <w:r>
          <w:fldChar w:fldCharType="separate"/>
        </w:r>
        <w:r w:rsidR="00122A19">
          <w:rPr>
            <w:noProof/>
          </w:rPr>
          <w:t>1</w:t>
        </w:r>
        <w:r>
          <w:rPr>
            <w:noProof/>
          </w:rPr>
          <w:fldChar w:fldCharType="end"/>
        </w:r>
      </w:p>
      <w:p w:rsidR="00D9367C" w:rsidRDefault="00D9367C">
        <w:pPr>
          <w:pStyle w:val="Header"/>
          <w:jc w:val="right"/>
        </w:pPr>
        <w:r>
          <w:t>HMA 48-21</w:t>
        </w:r>
      </w:p>
      <w:p w:rsidR="00D9367C" w:rsidRDefault="00D9367C">
        <w:pPr>
          <w:pStyle w:val="Header"/>
          <w:jc w:val="right"/>
        </w:pPr>
        <w:r>
          <w:t>CA 75-20</w:t>
        </w:r>
      </w:p>
      <w:p w:rsidR="00D9367C" w:rsidRDefault="00D9367C">
        <w:pPr>
          <w:pStyle w:val="Header"/>
          <w:jc w:val="right"/>
        </w:pPr>
        <w:r>
          <w:t>CA 76-20</w:t>
        </w:r>
      </w:p>
    </w:sdtContent>
  </w:sdt>
  <w:p w:rsidR="00D9367C" w:rsidRDefault="00D936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D992F71"/>
    <w:multiLevelType w:val="hybridMultilevel"/>
    <w:tmpl w:val="A9AEE752"/>
    <w:lvl w:ilvl="0" w:tplc="0CA44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4C3008"/>
    <w:multiLevelType w:val="hybridMultilevel"/>
    <w:tmpl w:val="9788BE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D9367C"/>
    <w:rsid w:val="00001F55"/>
    <w:rsid w:val="00004DBE"/>
    <w:rsid w:val="000079A6"/>
    <w:rsid w:val="00011740"/>
    <w:rsid w:val="000263F8"/>
    <w:rsid w:val="0003015B"/>
    <w:rsid w:val="00033A97"/>
    <w:rsid w:val="00036E19"/>
    <w:rsid w:val="0006326A"/>
    <w:rsid w:val="00063F55"/>
    <w:rsid w:val="00073CE1"/>
    <w:rsid w:val="00075F8A"/>
    <w:rsid w:val="000813DD"/>
    <w:rsid w:val="00090FC1"/>
    <w:rsid w:val="00092A45"/>
    <w:rsid w:val="000955FE"/>
    <w:rsid w:val="000B712C"/>
    <w:rsid w:val="000D2FEE"/>
    <w:rsid w:val="000E0FB3"/>
    <w:rsid w:val="000E249B"/>
    <w:rsid w:val="00105742"/>
    <w:rsid w:val="001067FD"/>
    <w:rsid w:val="001141BA"/>
    <w:rsid w:val="00122A19"/>
    <w:rsid w:val="00135C7F"/>
    <w:rsid w:val="00144A34"/>
    <w:rsid w:val="00150197"/>
    <w:rsid w:val="001541EF"/>
    <w:rsid w:val="00174FAC"/>
    <w:rsid w:val="00184CC9"/>
    <w:rsid w:val="001900EB"/>
    <w:rsid w:val="00191787"/>
    <w:rsid w:val="00194A01"/>
    <w:rsid w:val="001969F9"/>
    <w:rsid w:val="001A1CFD"/>
    <w:rsid w:val="001B0E37"/>
    <w:rsid w:val="001B1584"/>
    <w:rsid w:val="001B2745"/>
    <w:rsid w:val="001D0297"/>
    <w:rsid w:val="001D0EF5"/>
    <w:rsid w:val="001D1F59"/>
    <w:rsid w:val="001D2E33"/>
    <w:rsid w:val="001D6FAE"/>
    <w:rsid w:val="001F1391"/>
    <w:rsid w:val="001F44BD"/>
    <w:rsid w:val="00215A37"/>
    <w:rsid w:val="002320D2"/>
    <w:rsid w:val="0024615A"/>
    <w:rsid w:val="002475BF"/>
    <w:rsid w:val="00255099"/>
    <w:rsid w:val="002668E0"/>
    <w:rsid w:val="00291C8D"/>
    <w:rsid w:val="00294DC7"/>
    <w:rsid w:val="002A396A"/>
    <w:rsid w:val="002A5828"/>
    <w:rsid w:val="002C76AE"/>
    <w:rsid w:val="002E700F"/>
    <w:rsid w:val="00351D0B"/>
    <w:rsid w:val="003658C2"/>
    <w:rsid w:val="0037090F"/>
    <w:rsid w:val="00372B59"/>
    <w:rsid w:val="0038114D"/>
    <w:rsid w:val="003868B4"/>
    <w:rsid w:val="003A342D"/>
    <w:rsid w:val="003B3B7E"/>
    <w:rsid w:val="003E2AFB"/>
    <w:rsid w:val="003F3513"/>
    <w:rsid w:val="003F5837"/>
    <w:rsid w:val="00403365"/>
    <w:rsid w:val="00404819"/>
    <w:rsid w:val="00412CE9"/>
    <w:rsid w:val="00415B8A"/>
    <w:rsid w:val="00432EB1"/>
    <w:rsid w:val="00441E20"/>
    <w:rsid w:val="00442D0F"/>
    <w:rsid w:val="00442E02"/>
    <w:rsid w:val="00494D16"/>
    <w:rsid w:val="004A05DB"/>
    <w:rsid w:val="004B2ECF"/>
    <w:rsid w:val="004C25F1"/>
    <w:rsid w:val="004D1578"/>
    <w:rsid w:val="00506E65"/>
    <w:rsid w:val="00513D79"/>
    <w:rsid w:val="005205D5"/>
    <w:rsid w:val="00525A48"/>
    <w:rsid w:val="00543364"/>
    <w:rsid w:val="005D40BF"/>
    <w:rsid w:val="005D6618"/>
    <w:rsid w:val="005D6AA6"/>
    <w:rsid w:val="005E2B2F"/>
    <w:rsid w:val="006059E7"/>
    <w:rsid w:val="006123B2"/>
    <w:rsid w:val="00613FA9"/>
    <w:rsid w:val="00635294"/>
    <w:rsid w:val="00637858"/>
    <w:rsid w:val="006639CE"/>
    <w:rsid w:val="00671F0B"/>
    <w:rsid w:val="006938D5"/>
    <w:rsid w:val="0069481D"/>
    <w:rsid w:val="00697A3B"/>
    <w:rsid w:val="00697EBA"/>
    <w:rsid w:val="006A22A9"/>
    <w:rsid w:val="006B68AF"/>
    <w:rsid w:val="006D5299"/>
    <w:rsid w:val="006F1786"/>
    <w:rsid w:val="006F3EB0"/>
    <w:rsid w:val="006F4F69"/>
    <w:rsid w:val="00701A9B"/>
    <w:rsid w:val="00711BA7"/>
    <w:rsid w:val="007272AC"/>
    <w:rsid w:val="007523D0"/>
    <w:rsid w:val="00757A23"/>
    <w:rsid w:val="00760D56"/>
    <w:rsid w:val="00760D62"/>
    <w:rsid w:val="007663B0"/>
    <w:rsid w:val="00777F1C"/>
    <w:rsid w:val="007808C9"/>
    <w:rsid w:val="007816DB"/>
    <w:rsid w:val="007823DA"/>
    <w:rsid w:val="00794662"/>
    <w:rsid w:val="007956CD"/>
    <w:rsid w:val="007A03AC"/>
    <w:rsid w:val="007A4479"/>
    <w:rsid w:val="007A5720"/>
    <w:rsid w:val="007B00B3"/>
    <w:rsid w:val="007D4026"/>
    <w:rsid w:val="00814A56"/>
    <w:rsid w:val="00817374"/>
    <w:rsid w:val="008238B1"/>
    <w:rsid w:val="0084458B"/>
    <w:rsid w:val="0085207E"/>
    <w:rsid w:val="00862A5A"/>
    <w:rsid w:val="008703AE"/>
    <w:rsid w:val="00872E4C"/>
    <w:rsid w:val="00873E6C"/>
    <w:rsid w:val="00896023"/>
    <w:rsid w:val="008B0D64"/>
    <w:rsid w:val="008C04A2"/>
    <w:rsid w:val="008C178B"/>
    <w:rsid w:val="008C68C2"/>
    <w:rsid w:val="008D65C0"/>
    <w:rsid w:val="008E6E95"/>
    <w:rsid w:val="008F39E7"/>
    <w:rsid w:val="00904912"/>
    <w:rsid w:val="00910B87"/>
    <w:rsid w:val="00913105"/>
    <w:rsid w:val="00941C2E"/>
    <w:rsid w:val="00986799"/>
    <w:rsid w:val="00995FB7"/>
    <w:rsid w:val="009A0440"/>
    <w:rsid w:val="009B2E95"/>
    <w:rsid w:val="009B4574"/>
    <w:rsid w:val="009D7D49"/>
    <w:rsid w:val="009E3B8E"/>
    <w:rsid w:val="009E3BA4"/>
    <w:rsid w:val="009F1DF2"/>
    <w:rsid w:val="009F6F78"/>
    <w:rsid w:val="009F7E37"/>
    <w:rsid w:val="00A150CD"/>
    <w:rsid w:val="00A21C53"/>
    <w:rsid w:val="00A61CAF"/>
    <w:rsid w:val="00A64C2E"/>
    <w:rsid w:val="00A729D9"/>
    <w:rsid w:val="00A96CD2"/>
    <w:rsid w:val="00AB1DC6"/>
    <w:rsid w:val="00AC4AB1"/>
    <w:rsid w:val="00AD4F1D"/>
    <w:rsid w:val="00AE3642"/>
    <w:rsid w:val="00AF7B7A"/>
    <w:rsid w:val="00B02DE0"/>
    <w:rsid w:val="00B02F87"/>
    <w:rsid w:val="00B36067"/>
    <w:rsid w:val="00B437A1"/>
    <w:rsid w:val="00B53D68"/>
    <w:rsid w:val="00B65B02"/>
    <w:rsid w:val="00B81746"/>
    <w:rsid w:val="00B96D38"/>
    <w:rsid w:val="00BA1828"/>
    <w:rsid w:val="00BA51BE"/>
    <w:rsid w:val="00BB38B3"/>
    <w:rsid w:val="00BC49D7"/>
    <w:rsid w:val="00C00D21"/>
    <w:rsid w:val="00C17402"/>
    <w:rsid w:val="00C2040F"/>
    <w:rsid w:val="00C2460A"/>
    <w:rsid w:val="00C70228"/>
    <w:rsid w:val="00C75CAB"/>
    <w:rsid w:val="00C75EA9"/>
    <w:rsid w:val="00CA6A96"/>
    <w:rsid w:val="00CE2545"/>
    <w:rsid w:val="00CE3B76"/>
    <w:rsid w:val="00CE418B"/>
    <w:rsid w:val="00CF1369"/>
    <w:rsid w:val="00D01B11"/>
    <w:rsid w:val="00D0610F"/>
    <w:rsid w:val="00D1704C"/>
    <w:rsid w:val="00D24644"/>
    <w:rsid w:val="00D37F8D"/>
    <w:rsid w:val="00D517A2"/>
    <w:rsid w:val="00D53655"/>
    <w:rsid w:val="00D67A87"/>
    <w:rsid w:val="00D74151"/>
    <w:rsid w:val="00D77545"/>
    <w:rsid w:val="00D8600C"/>
    <w:rsid w:val="00D9045E"/>
    <w:rsid w:val="00D9367C"/>
    <w:rsid w:val="00D97789"/>
    <w:rsid w:val="00DA3D82"/>
    <w:rsid w:val="00DB0D03"/>
    <w:rsid w:val="00DB1F80"/>
    <w:rsid w:val="00DC7077"/>
    <w:rsid w:val="00DD3521"/>
    <w:rsid w:val="00DE0791"/>
    <w:rsid w:val="00DE39EC"/>
    <w:rsid w:val="00DF16DC"/>
    <w:rsid w:val="00DF2A7E"/>
    <w:rsid w:val="00E12D71"/>
    <w:rsid w:val="00E16F6F"/>
    <w:rsid w:val="00E433E4"/>
    <w:rsid w:val="00E76D98"/>
    <w:rsid w:val="00E84B97"/>
    <w:rsid w:val="00EB0ED6"/>
    <w:rsid w:val="00EC0284"/>
    <w:rsid w:val="00ED0444"/>
    <w:rsid w:val="00ED06A0"/>
    <w:rsid w:val="00ED7CF0"/>
    <w:rsid w:val="00EE0639"/>
    <w:rsid w:val="00EE191C"/>
    <w:rsid w:val="00F16A7C"/>
    <w:rsid w:val="00F2156D"/>
    <w:rsid w:val="00F26A7E"/>
    <w:rsid w:val="00F42605"/>
    <w:rsid w:val="00F47233"/>
    <w:rsid w:val="00F47CD1"/>
    <w:rsid w:val="00F506B7"/>
    <w:rsid w:val="00F624EA"/>
    <w:rsid w:val="00F638E5"/>
    <w:rsid w:val="00F83B72"/>
    <w:rsid w:val="00F83CAD"/>
    <w:rsid w:val="00F840A9"/>
    <w:rsid w:val="00FB226F"/>
    <w:rsid w:val="00FB23AD"/>
    <w:rsid w:val="00FC3E21"/>
    <w:rsid w:val="00FD45CC"/>
    <w:rsid w:val="00FE2B8E"/>
    <w:rsid w:val="00FE7792"/>
    <w:rsid w:val="00FF35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67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67C"/>
    <w:rPr>
      <w:lang w:val="en-ZW"/>
    </w:rPr>
  </w:style>
  <w:style w:type="paragraph" w:styleId="Footer">
    <w:name w:val="footer"/>
    <w:basedOn w:val="Normal"/>
    <w:link w:val="FooterChar"/>
    <w:uiPriority w:val="99"/>
    <w:unhideWhenUsed/>
    <w:rsid w:val="00D93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67C"/>
    <w:rPr>
      <w:lang w:val="en-ZW"/>
    </w:rPr>
  </w:style>
  <w:style w:type="paragraph" w:styleId="ListParagraph">
    <w:name w:val="List Paragraph"/>
    <w:basedOn w:val="Normal"/>
    <w:uiPriority w:val="34"/>
    <w:qFormat/>
    <w:rsid w:val="00D9367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 STUDENT</cp:lastModifiedBy>
  <cp:revision>273</cp:revision>
  <cp:lastPrinted>2021-09-10T09:28:00Z</cp:lastPrinted>
  <dcterms:created xsi:type="dcterms:W3CDTF">2021-09-09T07:36:00Z</dcterms:created>
  <dcterms:modified xsi:type="dcterms:W3CDTF">2022-01-06T12:11:00Z</dcterms:modified>
</cp:coreProperties>
</file>