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69E" w:rsidRDefault="0081169E" w:rsidP="0081169E">
      <w:pPr>
        <w:pStyle w:val="NoSpacing"/>
        <w:jc w:val="both"/>
        <w:rPr>
          <w:b/>
          <w:sz w:val="28"/>
          <w:szCs w:val="28"/>
        </w:rPr>
      </w:pPr>
      <w:r>
        <w:rPr>
          <w:b/>
          <w:sz w:val="28"/>
          <w:szCs w:val="28"/>
        </w:rPr>
        <w:t xml:space="preserve">JERICO MOYO </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INNOCENT NDLOVU</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STEVEN SIBANDA</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THULANI NCUBE ZUZA</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NAISON TSHUMA</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AORTA MADODANA NDLOVU</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HANDSOME MOYO</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NDODANA MLILO</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TAWANDA MURIDZO</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And</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ANELE NKIWANE</w:t>
      </w: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p>
    <w:p w:rsidR="0081169E" w:rsidRDefault="0081169E" w:rsidP="0081169E">
      <w:pPr>
        <w:pStyle w:val="NoSpacing"/>
        <w:jc w:val="both"/>
        <w:rPr>
          <w:b/>
          <w:sz w:val="28"/>
          <w:szCs w:val="28"/>
        </w:rPr>
      </w:pPr>
      <w:r>
        <w:rPr>
          <w:b/>
          <w:sz w:val="28"/>
          <w:szCs w:val="28"/>
        </w:rPr>
        <w:t>Versus</w:t>
      </w:r>
    </w:p>
    <w:p w:rsidR="0081169E" w:rsidRDefault="0081169E" w:rsidP="0081169E">
      <w:pPr>
        <w:pStyle w:val="NoSpacing"/>
        <w:jc w:val="both"/>
        <w:rPr>
          <w:b/>
          <w:sz w:val="28"/>
          <w:szCs w:val="28"/>
        </w:rPr>
      </w:pPr>
    </w:p>
    <w:p w:rsidR="0081169E" w:rsidRDefault="0081169E" w:rsidP="0081169E">
      <w:pPr>
        <w:pStyle w:val="NoSpacing"/>
        <w:jc w:val="both"/>
        <w:rPr>
          <w:sz w:val="28"/>
          <w:szCs w:val="28"/>
        </w:rPr>
      </w:pPr>
      <w:r>
        <w:rPr>
          <w:b/>
          <w:sz w:val="28"/>
          <w:szCs w:val="28"/>
        </w:rPr>
        <w:t>THE STATE</w:t>
      </w:r>
    </w:p>
    <w:p w:rsidR="0081169E" w:rsidRDefault="0081169E" w:rsidP="0081169E">
      <w:pPr>
        <w:pStyle w:val="NoSpacing"/>
        <w:jc w:val="both"/>
        <w:rPr>
          <w:b/>
          <w:sz w:val="28"/>
          <w:szCs w:val="28"/>
        </w:rPr>
      </w:pPr>
    </w:p>
    <w:p w:rsidR="0081169E" w:rsidRDefault="0081169E" w:rsidP="0081169E">
      <w:pPr>
        <w:pStyle w:val="NoSpacing"/>
        <w:jc w:val="both"/>
        <w:rPr>
          <w:sz w:val="28"/>
          <w:szCs w:val="28"/>
        </w:rPr>
      </w:pPr>
      <w:r>
        <w:rPr>
          <w:sz w:val="28"/>
          <w:szCs w:val="28"/>
        </w:rPr>
        <w:t>IN THE HIGH COURT OF ZIMBABWE</w:t>
      </w:r>
    </w:p>
    <w:p w:rsidR="0081169E" w:rsidRDefault="007E5663" w:rsidP="0081169E">
      <w:pPr>
        <w:pStyle w:val="NoSpacing"/>
        <w:jc w:val="both"/>
        <w:rPr>
          <w:sz w:val="28"/>
          <w:szCs w:val="28"/>
        </w:rPr>
      </w:pPr>
      <w:r>
        <w:rPr>
          <w:sz w:val="28"/>
          <w:szCs w:val="28"/>
        </w:rPr>
        <w:t>MOYO</w:t>
      </w:r>
      <w:r w:rsidR="0081169E">
        <w:rPr>
          <w:sz w:val="28"/>
          <w:szCs w:val="28"/>
        </w:rPr>
        <w:t xml:space="preserve"> J</w:t>
      </w:r>
    </w:p>
    <w:p w:rsidR="0081169E" w:rsidRDefault="00FD0B90" w:rsidP="0081169E">
      <w:pPr>
        <w:pStyle w:val="NoSpacing"/>
        <w:jc w:val="both"/>
        <w:rPr>
          <w:sz w:val="28"/>
          <w:szCs w:val="28"/>
        </w:rPr>
      </w:pPr>
      <w:r>
        <w:rPr>
          <w:sz w:val="28"/>
          <w:szCs w:val="28"/>
        </w:rPr>
        <w:t>BULAWAYO 18 MARCH AND 19 MAY 2022</w:t>
      </w:r>
    </w:p>
    <w:p w:rsidR="0081169E" w:rsidRDefault="0081169E" w:rsidP="0081169E">
      <w:pPr>
        <w:pStyle w:val="NoSpacing"/>
        <w:jc w:val="both"/>
        <w:rPr>
          <w:sz w:val="28"/>
          <w:szCs w:val="28"/>
        </w:rPr>
      </w:pPr>
    </w:p>
    <w:p w:rsidR="0081169E" w:rsidRDefault="0081169E" w:rsidP="0081169E">
      <w:pPr>
        <w:pStyle w:val="NoSpacing"/>
        <w:jc w:val="both"/>
        <w:rPr>
          <w:b/>
          <w:sz w:val="28"/>
          <w:szCs w:val="28"/>
        </w:rPr>
      </w:pPr>
    </w:p>
    <w:p w:rsidR="0081169E" w:rsidRDefault="007E5663" w:rsidP="0081169E">
      <w:pPr>
        <w:pStyle w:val="NoSpacing"/>
        <w:jc w:val="both"/>
        <w:rPr>
          <w:b/>
          <w:sz w:val="28"/>
          <w:szCs w:val="28"/>
        </w:rPr>
      </w:pPr>
      <w:r>
        <w:rPr>
          <w:b/>
          <w:sz w:val="28"/>
          <w:szCs w:val="28"/>
        </w:rPr>
        <w:t>Bail Application</w:t>
      </w:r>
    </w:p>
    <w:p w:rsidR="0081169E" w:rsidRDefault="0081169E" w:rsidP="0081169E">
      <w:pPr>
        <w:pStyle w:val="NoSpacing"/>
        <w:jc w:val="both"/>
        <w:rPr>
          <w:sz w:val="28"/>
          <w:szCs w:val="28"/>
        </w:rPr>
      </w:pPr>
    </w:p>
    <w:p w:rsidR="0081169E" w:rsidRDefault="007E5663" w:rsidP="0081169E">
      <w:pPr>
        <w:pStyle w:val="NoSpacing"/>
        <w:jc w:val="both"/>
        <w:rPr>
          <w:sz w:val="28"/>
          <w:szCs w:val="28"/>
        </w:rPr>
      </w:pPr>
      <w:r>
        <w:rPr>
          <w:i/>
          <w:sz w:val="28"/>
          <w:szCs w:val="28"/>
        </w:rPr>
        <w:t xml:space="preserve">N. </w:t>
      </w:r>
      <w:proofErr w:type="spellStart"/>
      <w:r>
        <w:rPr>
          <w:i/>
          <w:sz w:val="28"/>
          <w:szCs w:val="28"/>
        </w:rPr>
        <w:t>Sithole</w:t>
      </w:r>
      <w:proofErr w:type="spellEnd"/>
      <w:r>
        <w:rPr>
          <w:i/>
          <w:sz w:val="28"/>
          <w:szCs w:val="28"/>
        </w:rPr>
        <w:t xml:space="preserve">, </w:t>
      </w:r>
      <w:r>
        <w:rPr>
          <w:sz w:val="28"/>
          <w:szCs w:val="28"/>
        </w:rPr>
        <w:t>for the applicant</w:t>
      </w:r>
    </w:p>
    <w:p w:rsidR="007E5663" w:rsidRPr="007E5663" w:rsidRDefault="007E5663" w:rsidP="0081169E">
      <w:pPr>
        <w:pStyle w:val="NoSpacing"/>
        <w:jc w:val="both"/>
        <w:rPr>
          <w:sz w:val="28"/>
          <w:szCs w:val="28"/>
        </w:rPr>
      </w:pPr>
      <w:r w:rsidRPr="007E5663">
        <w:rPr>
          <w:i/>
          <w:sz w:val="28"/>
          <w:szCs w:val="28"/>
        </w:rPr>
        <w:t xml:space="preserve">T.M </w:t>
      </w:r>
      <w:proofErr w:type="spellStart"/>
      <w:r w:rsidRPr="007E5663">
        <w:rPr>
          <w:i/>
          <w:sz w:val="28"/>
          <w:szCs w:val="28"/>
        </w:rPr>
        <w:t>Nyathi</w:t>
      </w:r>
      <w:proofErr w:type="spellEnd"/>
      <w:r>
        <w:rPr>
          <w:sz w:val="28"/>
          <w:szCs w:val="28"/>
        </w:rPr>
        <w:t>, for the respondent</w:t>
      </w:r>
    </w:p>
    <w:p w:rsidR="007E5663" w:rsidRDefault="007E5663" w:rsidP="0081169E">
      <w:pPr>
        <w:ind w:firstLine="720"/>
        <w:jc w:val="both"/>
        <w:rPr>
          <w:b/>
          <w:sz w:val="28"/>
          <w:szCs w:val="28"/>
        </w:rPr>
      </w:pPr>
    </w:p>
    <w:p w:rsidR="007E5663" w:rsidRDefault="007E5663" w:rsidP="007E5663">
      <w:pPr>
        <w:ind w:firstLine="720"/>
        <w:jc w:val="both"/>
        <w:rPr>
          <w:sz w:val="28"/>
          <w:szCs w:val="28"/>
        </w:rPr>
      </w:pPr>
      <w:r>
        <w:rPr>
          <w:b/>
          <w:sz w:val="28"/>
          <w:szCs w:val="28"/>
        </w:rPr>
        <w:t>MOYO</w:t>
      </w:r>
      <w:r w:rsidR="0081169E">
        <w:rPr>
          <w:b/>
          <w:sz w:val="28"/>
          <w:szCs w:val="28"/>
        </w:rPr>
        <w:t xml:space="preserve"> J: </w:t>
      </w:r>
      <w:r w:rsidR="0081169E">
        <w:rPr>
          <w:sz w:val="28"/>
          <w:szCs w:val="28"/>
        </w:rPr>
        <w:tab/>
      </w:r>
      <w:r>
        <w:rPr>
          <w:sz w:val="28"/>
          <w:szCs w:val="28"/>
        </w:rPr>
        <w:t>This is an application for bail pending trial.  At the hearing of the application the state conceded to 1</w:t>
      </w:r>
      <w:r w:rsidRPr="007E5663">
        <w:rPr>
          <w:sz w:val="28"/>
          <w:szCs w:val="28"/>
          <w:vertAlign w:val="superscript"/>
        </w:rPr>
        <w:t>st</w:t>
      </w:r>
      <w:r>
        <w:rPr>
          <w:sz w:val="28"/>
          <w:szCs w:val="28"/>
        </w:rPr>
        <w:t>, 5</w:t>
      </w:r>
      <w:r w:rsidRPr="007E5663">
        <w:rPr>
          <w:sz w:val="28"/>
          <w:szCs w:val="28"/>
          <w:vertAlign w:val="superscript"/>
        </w:rPr>
        <w:t>th</w:t>
      </w:r>
      <w:r>
        <w:rPr>
          <w:sz w:val="28"/>
          <w:szCs w:val="28"/>
        </w:rPr>
        <w:t>, 8</w:t>
      </w:r>
      <w:r w:rsidRPr="007E5663">
        <w:rPr>
          <w:sz w:val="28"/>
          <w:szCs w:val="28"/>
          <w:vertAlign w:val="superscript"/>
        </w:rPr>
        <w:t>th</w:t>
      </w:r>
      <w:r>
        <w:rPr>
          <w:sz w:val="28"/>
          <w:szCs w:val="28"/>
        </w:rPr>
        <w:t>, 9</w:t>
      </w:r>
      <w:r w:rsidRPr="007E5663">
        <w:rPr>
          <w:sz w:val="28"/>
          <w:szCs w:val="28"/>
          <w:vertAlign w:val="superscript"/>
        </w:rPr>
        <w:t>th</w:t>
      </w:r>
      <w:r>
        <w:rPr>
          <w:sz w:val="28"/>
          <w:szCs w:val="28"/>
        </w:rPr>
        <w:t xml:space="preserve"> and 10</w:t>
      </w:r>
      <w:r w:rsidRPr="007E5663">
        <w:rPr>
          <w:sz w:val="28"/>
          <w:szCs w:val="28"/>
          <w:vertAlign w:val="superscript"/>
        </w:rPr>
        <w:t>th</w:t>
      </w:r>
      <w:r>
        <w:rPr>
          <w:sz w:val="28"/>
          <w:szCs w:val="28"/>
        </w:rPr>
        <w:t xml:space="preserve"> applicants being granted bail.  They were accordingly granted bail.  However, for 2</w:t>
      </w:r>
      <w:r w:rsidRPr="007E5663">
        <w:rPr>
          <w:sz w:val="28"/>
          <w:szCs w:val="28"/>
          <w:vertAlign w:val="superscript"/>
        </w:rPr>
        <w:t>nd</w:t>
      </w:r>
      <w:r>
        <w:rPr>
          <w:sz w:val="28"/>
          <w:szCs w:val="28"/>
        </w:rPr>
        <w:t>, 3</w:t>
      </w:r>
      <w:r w:rsidRPr="007E5663">
        <w:rPr>
          <w:sz w:val="28"/>
          <w:szCs w:val="28"/>
          <w:vertAlign w:val="superscript"/>
        </w:rPr>
        <w:t>rd</w:t>
      </w:r>
      <w:r>
        <w:rPr>
          <w:sz w:val="28"/>
          <w:szCs w:val="28"/>
        </w:rPr>
        <w:t>, 4</w:t>
      </w:r>
      <w:r w:rsidRPr="007E5663">
        <w:rPr>
          <w:sz w:val="28"/>
          <w:szCs w:val="28"/>
          <w:vertAlign w:val="superscript"/>
        </w:rPr>
        <w:t>th</w:t>
      </w:r>
      <w:r>
        <w:rPr>
          <w:sz w:val="28"/>
          <w:szCs w:val="28"/>
        </w:rPr>
        <w:t>, 6</w:t>
      </w:r>
      <w:r w:rsidRPr="007E5663">
        <w:rPr>
          <w:sz w:val="28"/>
          <w:szCs w:val="28"/>
          <w:vertAlign w:val="superscript"/>
        </w:rPr>
        <w:t>th</w:t>
      </w:r>
      <w:r>
        <w:rPr>
          <w:sz w:val="28"/>
          <w:szCs w:val="28"/>
        </w:rPr>
        <w:t xml:space="preserve"> and 7</w:t>
      </w:r>
      <w:r w:rsidRPr="007E5663">
        <w:rPr>
          <w:sz w:val="28"/>
          <w:szCs w:val="28"/>
          <w:vertAlign w:val="superscript"/>
        </w:rPr>
        <w:t>th</w:t>
      </w:r>
      <w:r>
        <w:rPr>
          <w:sz w:val="28"/>
          <w:szCs w:val="28"/>
        </w:rPr>
        <w:t xml:space="preserve"> applicants the state opposed bail arguing that they are a flight risk</w:t>
      </w:r>
      <w:r w:rsidR="006D18C8">
        <w:rPr>
          <w:sz w:val="28"/>
          <w:szCs w:val="28"/>
        </w:rPr>
        <w:t>.</w:t>
      </w:r>
    </w:p>
    <w:p w:rsidR="006D18C8" w:rsidRDefault="006D18C8" w:rsidP="007E5663">
      <w:pPr>
        <w:ind w:firstLine="720"/>
        <w:jc w:val="both"/>
        <w:rPr>
          <w:sz w:val="28"/>
          <w:szCs w:val="28"/>
        </w:rPr>
      </w:pPr>
      <w:r>
        <w:rPr>
          <w:sz w:val="28"/>
          <w:szCs w:val="28"/>
        </w:rPr>
        <w:t xml:space="preserve">The applicants face a charge </w:t>
      </w:r>
      <w:r w:rsidR="00004598">
        <w:rPr>
          <w:sz w:val="28"/>
          <w:szCs w:val="28"/>
        </w:rPr>
        <w:t xml:space="preserve">of murder </w:t>
      </w:r>
      <w:r w:rsidR="00446DCF">
        <w:rPr>
          <w:sz w:val="28"/>
          <w:szCs w:val="28"/>
        </w:rPr>
        <w:t>it being alleged that on the 15</w:t>
      </w:r>
      <w:r w:rsidR="00446DCF" w:rsidRPr="00446DCF">
        <w:rPr>
          <w:sz w:val="28"/>
          <w:szCs w:val="28"/>
          <w:vertAlign w:val="superscript"/>
        </w:rPr>
        <w:t>th</w:t>
      </w:r>
      <w:r w:rsidR="00446DCF">
        <w:rPr>
          <w:sz w:val="28"/>
          <w:szCs w:val="28"/>
        </w:rPr>
        <w:t xml:space="preserve"> of February 2022 they teamed up together with their accomplices and assaulted the deceased by attacking him with an axe and machetes thereby causing </w:t>
      </w:r>
      <w:r w:rsidR="002864BC">
        <w:rPr>
          <w:sz w:val="28"/>
          <w:szCs w:val="28"/>
        </w:rPr>
        <w:t xml:space="preserve">his </w:t>
      </w:r>
      <w:r w:rsidR="00446DCF">
        <w:rPr>
          <w:sz w:val="28"/>
          <w:szCs w:val="28"/>
        </w:rPr>
        <w:t xml:space="preserve">death.  There are </w:t>
      </w:r>
      <w:r w:rsidR="00004598">
        <w:rPr>
          <w:sz w:val="28"/>
          <w:szCs w:val="28"/>
        </w:rPr>
        <w:t>eye</w:t>
      </w:r>
      <w:r w:rsidR="00446DCF">
        <w:rPr>
          <w:sz w:val="28"/>
          <w:szCs w:val="28"/>
        </w:rPr>
        <w:t xml:space="preserve">witnesses who are known to the applicants who have given statements to the police, to the effect that these particular applicants were present and did act in common purpose in attacking </w:t>
      </w:r>
      <w:r w:rsidR="00004598">
        <w:rPr>
          <w:sz w:val="28"/>
          <w:szCs w:val="28"/>
        </w:rPr>
        <w:t>the deceased and his companions</w:t>
      </w:r>
      <w:r w:rsidR="00446DCF">
        <w:rPr>
          <w:sz w:val="28"/>
          <w:szCs w:val="28"/>
        </w:rPr>
        <w:t>.</w:t>
      </w:r>
    </w:p>
    <w:p w:rsidR="005D0D0B" w:rsidRDefault="005D0D0B" w:rsidP="007E5663">
      <w:pPr>
        <w:ind w:firstLine="720"/>
        <w:jc w:val="both"/>
        <w:rPr>
          <w:sz w:val="28"/>
          <w:szCs w:val="28"/>
        </w:rPr>
      </w:pPr>
      <w:r>
        <w:rPr>
          <w:sz w:val="28"/>
          <w:szCs w:val="28"/>
        </w:rPr>
        <w:t xml:space="preserve">In bail matters, an accused person is presumed innocent until proven guilty.  Thus the presumption of innocence operates in the accused’s </w:t>
      </w:r>
      <w:proofErr w:type="spellStart"/>
      <w:r>
        <w:rPr>
          <w:sz w:val="28"/>
          <w:szCs w:val="28"/>
        </w:rPr>
        <w:t>favour</w:t>
      </w:r>
      <w:proofErr w:type="spellEnd"/>
      <w:r>
        <w:rPr>
          <w:sz w:val="28"/>
          <w:szCs w:val="28"/>
        </w:rPr>
        <w:t xml:space="preserve"> before conviction.  However, in assessing whether an applicant is suitable for bail or not, the court has to assess those factors that may point to a risk to abscond on the part of the applicants.  Su</w:t>
      </w:r>
      <w:r w:rsidR="00107B8D">
        <w:rPr>
          <w:sz w:val="28"/>
          <w:szCs w:val="28"/>
        </w:rPr>
        <w:t xml:space="preserve">ch factors </w:t>
      </w:r>
      <w:r w:rsidR="002864BC">
        <w:rPr>
          <w:sz w:val="28"/>
          <w:szCs w:val="28"/>
        </w:rPr>
        <w:t xml:space="preserve">have </w:t>
      </w:r>
      <w:r>
        <w:rPr>
          <w:sz w:val="28"/>
          <w:szCs w:val="28"/>
        </w:rPr>
        <w:t xml:space="preserve">been repeatedly stated in many cases in this </w:t>
      </w:r>
      <w:r>
        <w:rPr>
          <w:sz w:val="28"/>
          <w:szCs w:val="28"/>
        </w:rPr>
        <w:lastRenderedPageBreak/>
        <w:t xml:space="preserve">jurisdiction like in the case of </w:t>
      </w:r>
      <w:proofErr w:type="spellStart"/>
      <w:r w:rsidRPr="002864BC">
        <w:rPr>
          <w:i/>
          <w:sz w:val="28"/>
          <w:szCs w:val="28"/>
        </w:rPr>
        <w:t>Jongwe</w:t>
      </w:r>
      <w:proofErr w:type="spellEnd"/>
      <w:r w:rsidRPr="002864BC">
        <w:rPr>
          <w:i/>
          <w:sz w:val="28"/>
          <w:szCs w:val="28"/>
        </w:rPr>
        <w:t xml:space="preserve"> </w:t>
      </w:r>
      <w:r>
        <w:rPr>
          <w:sz w:val="28"/>
          <w:szCs w:val="28"/>
        </w:rPr>
        <w:t xml:space="preserve">v </w:t>
      </w:r>
      <w:r w:rsidRPr="002864BC">
        <w:rPr>
          <w:i/>
          <w:sz w:val="28"/>
          <w:szCs w:val="28"/>
        </w:rPr>
        <w:t>S</w:t>
      </w:r>
      <w:r>
        <w:rPr>
          <w:sz w:val="28"/>
          <w:szCs w:val="28"/>
        </w:rPr>
        <w:t xml:space="preserve"> SC 62-02 wherein the factors to be so considered were given by the Supreme Court.  They are:-</w:t>
      </w:r>
    </w:p>
    <w:p w:rsidR="005D0D0B" w:rsidRDefault="005D0D0B" w:rsidP="005D0D0B">
      <w:pPr>
        <w:ind w:left="1440" w:hanging="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nature of </w:t>
      </w:r>
      <w:r w:rsidR="00B42EC5">
        <w:rPr>
          <w:sz w:val="28"/>
          <w:szCs w:val="28"/>
        </w:rPr>
        <w:t xml:space="preserve">the </w:t>
      </w:r>
      <w:r>
        <w:rPr>
          <w:sz w:val="28"/>
          <w:szCs w:val="28"/>
        </w:rPr>
        <w:t>charge</w:t>
      </w:r>
      <w:r w:rsidR="00B42EC5">
        <w:rPr>
          <w:sz w:val="28"/>
          <w:szCs w:val="28"/>
        </w:rPr>
        <w:t>s</w:t>
      </w:r>
      <w:r>
        <w:rPr>
          <w:sz w:val="28"/>
          <w:szCs w:val="28"/>
        </w:rPr>
        <w:t xml:space="preserve"> and the severity of the likely punishment to be imposed upon conviction.</w:t>
      </w:r>
    </w:p>
    <w:p w:rsidR="005D0D0B" w:rsidRDefault="005D0D0B" w:rsidP="005D0D0B">
      <w:pPr>
        <w:ind w:left="1440" w:hanging="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apparent strength and weaknesses in the state case.</w:t>
      </w:r>
    </w:p>
    <w:p w:rsidR="005D0D0B" w:rsidRDefault="005D0D0B" w:rsidP="005D0D0B">
      <w:pPr>
        <w:ind w:left="1440" w:hanging="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accused’s ability to reach another country.</w:t>
      </w:r>
    </w:p>
    <w:p w:rsidR="005D0D0B" w:rsidRDefault="005D0D0B" w:rsidP="005D0D0B">
      <w:pPr>
        <w:ind w:left="1440" w:hanging="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risk of interference with investigations.</w:t>
      </w:r>
    </w:p>
    <w:p w:rsidR="00641BB7" w:rsidRDefault="005D0D0B" w:rsidP="00641BB7">
      <w:pPr>
        <w:ind w:firstLine="720"/>
        <w:jc w:val="both"/>
        <w:rPr>
          <w:sz w:val="28"/>
          <w:szCs w:val="28"/>
        </w:rPr>
      </w:pPr>
      <w:r>
        <w:rPr>
          <w:sz w:val="28"/>
          <w:szCs w:val="28"/>
        </w:rPr>
        <w:t xml:space="preserve">The part that is relevant to the applicants </w:t>
      </w:r>
      <w:r w:rsidR="00641BB7">
        <w:rPr>
          <w:sz w:val="28"/>
          <w:szCs w:val="28"/>
        </w:rPr>
        <w:t xml:space="preserve">before me is the seriousness of the charge they face, and the </w:t>
      </w:r>
      <w:r w:rsidR="00641BB7" w:rsidRPr="00D54A35">
        <w:rPr>
          <w:i/>
          <w:sz w:val="28"/>
          <w:szCs w:val="28"/>
        </w:rPr>
        <w:t>prima facie</w:t>
      </w:r>
      <w:r w:rsidR="00641BB7">
        <w:rPr>
          <w:sz w:val="28"/>
          <w:szCs w:val="28"/>
        </w:rPr>
        <w:t xml:space="preserve"> stro</w:t>
      </w:r>
      <w:r w:rsidR="00D54A35">
        <w:rPr>
          <w:sz w:val="28"/>
          <w:szCs w:val="28"/>
        </w:rPr>
        <w:t xml:space="preserve">ng state case as there are vivid </w:t>
      </w:r>
      <w:r w:rsidR="00641BB7">
        <w:rPr>
          <w:sz w:val="28"/>
          <w:szCs w:val="28"/>
        </w:rPr>
        <w:t xml:space="preserve">accounts by witnesses in their statements attached to the state’s response which accounts render the state case </w:t>
      </w:r>
      <w:r w:rsidR="00641BB7" w:rsidRPr="00226DA0">
        <w:rPr>
          <w:i/>
          <w:sz w:val="28"/>
          <w:szCs w:val="28"/>
        </w:rPr>
        <w:t>prima facie</w:t>
      </w:r>
      <w:r w:rsidR="00641BB7">
        <w:rPr>
          <w:sz w:val="28"/>
          <w:szCs w:val="28"/>
        </w:rPr>
        <w:t xml:space="preserve"> strong.</w:t>
      </w:r>
      <w:r w:rsidR="00276D48">
        <w:rPr>
          <w:sz w:val="28"/>
          <w:szCs w:val="28"/>
        </w:rPr>
        <w:t xml:space="preserve">  The applicants themselves do not deny having been at the scene of crime and they allege they were being attacked by a vio</w:t>
      </w:r>
      <w:r w:rsidR="00B42EC5">
        <w:rPr>
          <w:sz w:val="28"/>
          <w:szCs w:val="28"/>
        </w:rPr>
        <w:t xml:space="preserve">lent gang and that they only </w:t>
      </w:r>
      <w:r w:rsidR="00276D48">
        <w:rPr>
          <w:sz w:val="28"/>
          <w:szCs w:val="28"/>
        </w:rPr>
        <w:t>later hear</w:t>
      </w:r>
      <w:r w:rsidR="00B42EC5">
        <w:rPr>
          <w:sz w:val="28"/>
          <w:szCs w:val="28"/>
        </w:rPr>
        <w:t>d</w:t>
      </w:r>
      <w:r w:rsidR="00276D48">
        <w:rPr>
          <w:sz w:val="28"/>
          <w:szCs w:val="28"/>
        </w:rPr>
        <w:t xml:space="preserve"> of deceased’s injury</w:t>
      </w:r>
      <w:r w:rsidR="00B42EC5">
        <w:rPr>
          <w:sz w:val="28"/>
          <w:szCs w:val="28"/>
        </w:rPr>
        <w:t xml:space="preserve"> and demise.  The eye witness </w:t>
      </w:r>
      <w:r w:rsidR="00276D48">
        <w:rPr>
          <w:sz w:val="28"/>
          <w:szCs w:val="28"/>
        </w:rPr>
        <w:t>account</w:t>
      </w:r>
      <w:r w:rsidR="00B42EC5">
        <w:rPr>
          <w:sz w:val="28"/>
          <w:szCs w:val="28"/>
        </w:rPr>
        <w:t>s</w:t>
      </w:r>
      <w:r w:rsidR="00276D48">
        <w:rPr>
          <w:sz w:val="28"/>
          <w:szCs w:val="28"/>
        </w:rPr>
        <w:t xml:space="preserve"> clearly point to a strong </w:t>
      </w:r>
      <w:r w:rsidR="00276D48" w:rsidRPr="00484569">
        <w:rPr>
          <w:i/>
          <w:sz w:val="28"/>
          <w:szCs w:val="28"/>
        </w:rPr>
        <w:t>prima facie</w:t>
      </w:r>
      <w:r w:rsidR="00276D48">
        <w:rPr>
          <w:sz w:val="28"/>
          <w:szCs w:val="28"/>
        </w:rPr>
        <w:t xml:space="preserve"> case against the applicants.</w:t>
      </w:r>
    </w:p>
    <w:p w:rsidR="00276D48" w:rsidRDefault="00276D48" w:rsidP="00641BB7">
      <w:pPr>
        <w:ind w:firstLine="720"/>
        <w:jc w:val="both"/>
        <w:rPr>
          <w:sz w:val="28"/>
          <w:szCs w:val="28"/>
        </w:rPr>
      </w:pPr>
      <w:r>
        <w:rPr>
          <w:sz w:val="28"/>
          <w:szCs w:val="28"/>
        </w:rPr>
        <w:t xml:space="preserve">The Supreme Court in the </w:t>
      </w:r>
      <w:proofErr w:type="spellStart"/>
      <w:r w:rsidRPr="00484569">
        <w:rPr>
          <w:i/>
          <w:sz w:val="28"/>
          <w:szCs w:val="28"/>
        </w:rPr>
        <w:t>Jongwe</w:t>
      </w:r>
      <w:proofErr w:type="spellEnd"/>
      <w:r>
        <w:rPr>
          <w:sz w:val="28"/>
          <w:szCs w:val="28"/>
        </w:rPr>
        <w:t xml:space="preserve"> case (</w:t>
      </w:r>
      <w:r w:rsidRPr="00484569">
        <w:rPr>
          <w:i/>
          <w:sz w:val="28"/>
          <w:szCs w:val="28"/>
        </w:rPr>
        <w:t>supra</w:t>
      </w:r>
      <w:r>
        <w:rPr>
          <w:sz w:val="28"/>
          <w:szCs w:val="28"/>
        </w:rPr>
        <w:t>) held that:-</w:t>
      </w:r>
    </w:p>
    <w:p w:rsidR="00276D48" w:rsidRDefault="00276D48" w:rsidP="00484569">
      <w:pPr>
        <w:spacing w:line="240" w:lineRule="auto"/>
        <w:ind w:left="720"/>
        <w:jc w:val="both"/>
        <w:rPr>
          <w:sz w:val="28"/>
          <w:szCs w:val="28"/>
        </w:rPr>
      </w:pPr>
      <w:r>
        <w:rPr>
          <w:sz w:val="28"/>
          <w:szCs w:val="28"/>
        </w:rPr>
        <w:t>“</w:t>
      </w:r>
      <w:proofErr w:type="gramStart"/>
      <w:r>
        <w:rPr>
          <w:sz w:val="28"/>
          <w:szCs w:val="28"/>
        </w:rPr>
        <w:t>in</w:t>
      </w:r>
      <w:proofErr w:type="gramEnd"/>
      <w:r>
        <w:rPr>
          <w:sz w:val="28"/>
          <w:szCs w:val="28"/>
        </w:rPr>
        <w:t xml:space="preserve"> judgin</w:t>
      </w:r>
      <w:r w:rsidR="00484569">
        <w:rPr>
          <w:sz w:val="28"/>
          <w:szCs w:val="28"/>
        </w:rPr>
        <w:t xml:space="preserve">g the risk to abscond, the court ascribes </w:t>
      </w:r>
      <w:r>
        <w:rPr>
          <w:sz w:val="28"/>
          <w:szCs w:val="28"/>
        </w:rPr>
        <w:t>to the accused the ordinary motives and fears that sway human nature.  Accordingly it is guided by the character of the charges and the penalties which in all probability would be imposed if convicted, the strength of the state case etc.”</w:t>
      </w:r>
    </w:p>
    <w:p w:rsidR="00420834" w:rsidRDefault="008C128D" w:rsidP="008C128D">
      <w:pPr>
        <w:ind w:firstLine="720"/>
        <w:jc w:val="both"/>
        <w:rPr>
          <w:sz w:val="28"/>
          <w:szCs w:val="28"/>
        </w:rPr>
      </w:pPr>
      <w:r>
        <w:rPr>
          <w:sz w:val="28"/>
          <w:szCs w:val="28"/>
        </w:rPr>
        <w:t>The applicants herein face a serious charge, and the evidence by the state through eye witness</w:t>
      </w:r>
      <w:r w:rsidR="00B42EC5">
        <w:rPr>
          <w:sz w:val="28"/>
          <w:szCs w:val="28"/>
        </w:rPr>
        <w:t xml:space="preserve"> </w:t>
      </w:r>
      <w:r>
        <w:rPr>
          <w:sz w:val="28"/>
          <w:szCs w:val="28"/>
        </w:rPr>
        <w:t xml:space="preserve">accounts is </w:t>
      </w:r>
      <w:r w:rsidRPr="002E28E8">
        <w:rPr>
          <w:i/>
          <w:sz w:val="28"/>
          <w:szCs w:val="28"/>
        </w:rPr>
        <w:t>prima facie</w:t>
      </w:r>
      <w:r>
        <w:rPr>
          <w:sz w:val="28"/>
          <w:szCs w:val="28"/>
        </w:rPr>
        <w:t xml:space="preserve"> strong.  The risk to abscond can thus be inferred from the ordinary fears governing human nature.  For the risk to </w:t>
      </w:r>
      <w:r>
        <w:rPr>
          <w:sz w:val="28"/>
          <w:szCs w:val="28"/>
        </w:rPr>
        <w:lastRenderedPageBreak/>
        <w:t xml:space="preserve">abscond relatively increases with a serious charge, with a heavy penalty and a </w:t>
      </w:r>
      <w:r w:rsidRPr="00A172D0">
        <w:rPr>
          <w:i/>
          <w:sz w:val="28"/>
          <w:szCs w:val="28"/>
        </w:rPr>
        <w:t>prima facie</w:t>
      </w:r>
      <w:r>
        <w:rPr>
          <w:sz w:val="28"/>
          <w:szCs w:val="28"/>
        </w:rPr>
        <w:t xml:space="preserve"> strong state case as an acc</w:t>
      </w:r>
      <w:r w:rsidR="00504266">
        <w:rPr>
          <w:sz w:val="28"/>
          <w:szCs w:val="28"/>
        </w:rPr>
        <w:t>used may be tempted to flee for</w:t>
      </w:r>
      <w:r>
        <w:rPr>
          <w:sz w:val="28"/>
          <w:szCs w:val="28"/>
        </w:rPr>
        <w:t xml:space="preserve"> the simple human fears that once the day of reckoning comes, he has no avenue to escape culpability and a lengthy term of imprisonment.  In essence this is what the </w:t>
      </w:r>
      <w:proofErr w:type="spellStart"/>
      <w:r w:rsidRPr="00A172D0">
        <w:rPr>
          <w:i/>
          <w:sz w:val="28"/>
          <w:szCs w:val="28"/>
        </w:rPr>
        <w:t>Jongwe</w:t>
      </w:r>
      <w:proofErr w:type="spellEnd"/>
      <w:r w:rsidRPr="00A172D0">
        <w:rPr>
          <w:i/>
          <w:sz w:val="28"/>
          <w:szCs w:val="28"/>
        </w:rPr>
        <w:t xml:space="preserve"> (supra</w:t>
      </w:r>
      <w:r>
        <w:rPr>
          <w:sz w:val="28"/>
          <w:szCs w:val="28"/>
        </w:rPr>
        <w:t xml:space="preserve">) judgment entailed in my view.  Once the charge is serious, the penalty is heavy, and the state case is </w:t>
      </w:r>
      <w:r w:rsidRPr="00D82FED">
        <w:rPr>
          <w:i/>
          <w:sz w:val="28"/>
          <w:szCs w:val="28"/>
        </w:rPr>
        <w:t>prima facie</w:t>
      </w:r>
      <w:r>
        <w:rPr>
          <w:sz w:val="28"/>
          <w:szCs w:val="28"/>
        </w:rPr>
        <w:t xml:space="preserve"> strong, human nature may move on accused to seek to avoid trial so as to escape a conviction and a lengthy </w:t>
      </w:r>
      <w:r w:rsidR="00420834">
        <w:rPr>
          <w:sz w:val="28"/>
          <w:szCs w:val="28"/>
        </w:rPr>
        <w:t>term of imprisonment.</w:t>
      </w:r>
      <w:r w:rsidR="00171A48">
        <w:rPr>
          <w:sz w:val="28"/>
          <w:szCs w:val="28"/>
        </w:rPr>
        <w:t xml:space="preserve">  In other words, the risk to abscond can be inferred if there are red flags such as a serious charge, a strong state case and a likely lengthy custodial term upon conviction</w:t>
      </w:r>
      <w:bookmarkStart w:id="0" w:name="_GoBack"/>
      <w:bookmarkEnd w:id="0"/>
    </w:p>
    <w:p w:rsidR="00F149CB" w:rsidRDefault="00420834" w:rsidP="008C128D">
      <w:pPr>
        <w:ind w:firstLine="720"/>
        <w:jc w:val="both"/>
        <w:rPr>
          <w:sz w:val="28"/>
          <w:szCs w:val="28"/>
        </w:rPr>
      </w:pPr>
      <w:r>
        <w:rPr>
          <w:sz w:val="28"/>
          <w:szCs w:val="28"/>
        </w:rPr>
        <w:t xml:space="preserve">I hold the view that in </w:t>
      </w:r>
      <w:r w:rsidR="00055F1F">
        <w:rPr>
          <w:sz w:val="28"/>
          <w:szCs w:val="28"/>
        </w:rPr>
        <w:t>this case, the vivid eyewitness</w:t>
      </w:r>
      <w:r w:rsidR="00DF56F0">
        <w:rPr>
          <w:sz w:val="28"/>
          <w:szCs w:val="28"/>
        </w:rPr>
        <w:t>es’</w:t>
      </w:r>
      <w:r w:rsidR="00055F1F">
        <w:rPr>
          <w:sz w:val="28"/>
          <w:szCs w:val="28"/>
        </w:rPr>
        <w:t xml:space="preserve"> accounts by the </w:t>
      </w:r>
      <w:proofErr w:type="gramStart"/>
      <w:r w:rsidR="00055F1F">
        <w:rPr>
          <w:sz w:val="28"/>
          <w:szCs w:val="28"/>
        </w:rPr>
        <w:t>state</w:t>
      </w:r>
      <w:proofErr w:type="gramEnd"/>
      <w:r w:rsidR="00055F1F">
        <w:rPr>
          <w:sz w:val="28"/>
          <w:szCs w:val="28"/>
        </w:rPr>
        <w:t xml:space="preserve"> witnesses in their statements, render the state case </w:t>
      </w:r>
      <w:r w:rsidR="00055F1F" w:rsidRPr="00DF56F0">
        <w:rPr>
          <w:i/>
          <w:sz w:val="28"/>
          <w:szCs w:val="28"/>
        </w:rPr>
        <w:t>prima facie</w:t>
      </w:r>
      <w:r w:rsidR="00055F1F">
        <w:rPr>
          <w:sz w:val="28"/>
          <w:szCs w:val="28"/>
        </w:rPr>
        <w:t xml:space="preserve"> strong.  A conviction </w:t>
      </w:r>
      <w:r w:rsidR="00F149CB">
        <w:rPr>
          <w:sz w:val="28"/>
          <w:szCs w:val="28"/>
        </w:rPr>
        <w:t>of murder often attracts a lengthy term of imprisonment</w:t>
      </w:r>
      <w:r w:rsidR="00DF56F0">
        <w:rPr>
          <w:sz w:val="28"/>
          <w:szCs w:val="28"/>
        </w:rPr>
        <w:t>.  I</w:t>
      </w:r>
      <w:r w:rsidR="00F149CB">
        <w:rPr>
          <w:sz w:val="28"/>
          <w:szCs w:val="28"/>
        </w:rPr>
        <w:t>t is for these reasons that I find that the risk to abscond is real in this matter and thus operates against granting these applicants bail.</w:t>
      </w:r>
    </w:p>
    <w:p w:rsidR="00F149CB" w:rsidRDefault="00F149CB" w:rsidP="008C128D">
      <w:pPr>
        <w:ind w:firstLine="720"/>
        <w:jc w:val="both"/>
        <w:rPr>
          <w:sz w:val="28"/>
          <w:szCs w:val="28"/>
        </w:rPr>
      </w:pPr>
      <w:r>
        <w:rPr>
          <w:sz w:val="28"/>
          <w:szCs w:val="28"/>
        </w:rPr>
        <w:t>I accordingly dismiss the application in relation to 2</w:t>
      </w:r>
      <w:r w:rsidRPr="00F149CB">
        <w:rPr>
          <w:sz w:val="28"/>
          <w:szCs w:val="28"/>
          <w:vertAlign w:val="superscript"/>
        </w:rPr>
        <w:t>n</w:t>
      </w:r>
      <w:r>
        <w:rPr>
          <w:sz w:val="28"/>
          <w:szCs w:val="28"/>
          <w:vertAlign w:val="superscript"/>
        </w:rPr>
        <w:t xml:space="preserve">d, </w:t>
      </w:r>
      <w:r>
        <w:rPr>
          <w:sz w:val="28"/>
          <w:szCs w:val="28"/>
        </w:rPr>
        <w:t>3</w:t>
      </w:r>
      <w:r w:rsidRPr="00F149CB">
        <w:rPr>
          <w:sz w:val="28"/>
          <w:szCs w:val="28"/>
          <w:vertAlign w:val="superscript"/>
        </w:rPr>
        <w:t>rd</w:t>
      </w:r>
      <w:r>
        <w:rPr>
          <w:sz w:val="28"/>
          <w:szCs w:val="28"/>
        </w:rPr>
        <w:t>, 4</w:t>
      </w:r>
      <w:r w:rsidRPr="00F149CB">
        <w:rPr>
          <w:sz w:val="28"/>
          <w:szCs w:val="28"/>
          <w:vertAlign w:val="superscript"/>
        </w:rPr>
        <w:t>th</w:t>
      </w:r>
      <w:r>
        <w:rPr>
          <w:sz w:val="28"/>
          <w:szCs w:val="28"/>
        </w:rPr>
        <w:t>, 6</w:t>
      </w:r>
      <w:r w:rsidRPr="00F149CB">
        <w:rPr>
          <w:sz w:val="28"/>
          <w:szCs w:val="28"/>
          <w:vertAlign w:val="superscript"/>
        </w:rPr>
        <w:t>th</w:t>
      </w:r>
      <w:r>
        <w:rPr>
          <w:sz w:val="28"/>
          <w:szCs w:val="28"/>
        </w:rPr>
        <w:t xml:space="preserve"> and 7</w:t>
      </w:r>
      <w:r w:rsidRPr="00F149CB">
        <w:rPr>
          <w:sz w:val="28"/>
          <w:szCs w:val="28"/>
          <w:vertAlign w:val="superscript"/>
        </w:rPr>
        <w:t>th</w:t>
      </w:r>
      <w:r>
        <w:rPr>
          <w:sz w:val="28"/>
          <w:szCs w:val="28"/>
        </w:rPr>
        <w:t xml:space="preserve"> applicants.</w:t>
      </w:r>
    </w:p>
    <w:p w:rsidR="00F149CB" w:rsidRDefault="00F149CB" w:rsidP="008C128D">
      <w:pPr>
        <w:ind w:firstLine="720"/>
        <w:jc w:val="both"/>
        <w:rPr>
          <w:sz w:val="28"/>
          <w:szCs w:val="28"/>
        </w:rPr>
      </w:pPr>
    </w:p>
    <w:p w:rsidR="00DF56F0" w:rsidRDefault="00DF56F0" w:rsidP="00F149CB">
      <w:pPr>
        <w:jc w:val="both"/>
        <w:rPr>
          <w:i/>
          <w:sz w:val="28"/>
          <w:szCs w:val="28"/>
        </w:rPr>
      </w:pPr>
    </w:p>
    <w:p w:rsidR="00A70451" w:rsidRDefault="00A70451" w:rsidP="00F149CB">
      <w:pPr>
        <w:jc w:val="both"/>
        <w:rPr>
          <w:i/>
          <w:sz w:val="28"/>
          <w:szCs w:val="28"/>
        </w:rPr>
      </w:pPr>
    </w:p>
    <w:p w:rsidR="008C128D" w:rsidRDefault="00F149CB" w:rsidP="00F149CB">
      <w:pPr>
        <w:jc w:val="both"/>
        <w:rPr>
          <w:sz w:val="28"/>
          <w:szCs w:val="28"/>
        </w:rPr>
      </w:pPr>
      <w:proofErr w:type="spellStart"/>
      <w:r w:rsidRPr="00F149CB">
        <w:rPr>
          <w:i/>
          <w:sz w:val="28"/>
          <w:szCs w:val="28"/>
        </w:rPr>
        <w:t>Ncube</w:t>
      </w:r>
      <w:proofErr w:type="spellEnd"/>
      <w:r w:rsidRPr="00F149CB">
        <w:rPr>
          <w:i/>
          <w:sz w:val="28"/>
          <w:szCs w:val="28"/>
        </w:rPr>
        <w:t xml:space="preserve"> Attorneys</w:t>
      </w:r>
      <w:r>
        <w:rPr>
          <w:sz w:val="28"/>
          <w:szCs w:val="28"/>
        </w:rPr>
        <w:t>, applicant’s legal attorneys</w:t>
      </w:r>
      <w:r w:rsidR="00055F1F">
        <w:rPr>
          <w:sz w:val="28"/>
          <w:szCs w:val="28"/>
        </w:rPr>
        <w:t xml:space="preserve"> </w:t>
      </w:r>
      <w:r w:rsidR="008C128D">
        <w:rPr>
          <w:sz w:val="28"/>
          <w:szCs w:val="28"/>
        </w:rPr>
        <w:t xml:space="preserve">  </w:t>
      </w:r>
    </w:p>
    <w:p w:rsidR="005D0D0B" w:rsidRDefault="00641BB7" w:rsidP="005D0D0B">
      <w:pPr>
        <w:ind w:left="1440" w:hanging="720"/>
        <w:jc w:val="both"/>
        <w:rPr>
          <w:sz w:val="28"/>
          <w:szCs w:val="28"/>
        </w:rPr>
      </w:pPr>
      <w:r>
        <w:rPr>
          <w:sz w:val="28"/>
          <w:szCs w:val="28"/>
        </w:rPr>
        <w:t xml:space="preserve"> </w:t>
      </w:r>
    </w:p>
    <w:p w:rsidR="005D0D0B" w:rsidRDefault="005D0D0B" w:rsidP="007E5663">
      <w:pPr>
        <w:ind w:firstLine="720"/>
        <w:jc w:val="both"/>
        <w:rPr>
          <w:sz w:val="28"/>
          <w:szCs w:val="28"/>
        </w:rPr>
      </w:pPr>
    </w:p>
    <w:p w:rsidR="00223694" w:rsidRDefault="00223694"/>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C1E" w:rsidRDefault="00BE7C1E" w:rsidP="00F149CB">
      <w:pPr>
        <w:spacing w:before="0" w:after="0" w:line="240" w:lineRule="auto"/>
      </w:pPr>
      <w:r>
        <w:separator/>
      </w:r>
    </w:p>
  </w:endnote>
  <w:endnote w:type="continuationSeparator" w:id="0">
    <w:p w:rsidR="00BE7C1E" w:rsidRDefault="00BE7C1E" w:rsidP="00F149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C1E" w:rsidRDefault="00BE7C1E" w:rsidP="00F149CB">
      <w:pPr>
        <w:spacing w:before="0" w:after="0" w:line="240" w:lineRule="auto"/>
      </w:pPr>
      <w:r>
        <w:separator/>
      </w:r>
    </w:p>
  </w:footnote>
  <w:footnote w:type="continuationSeparator" w:id="0">
    <w:p w:rsidR="00BE7C1E" w:rsidRDefault="00BE7C1E" w:rsidP="00F149C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832081"/>
      <w:docPartObj>
        <w:docPartGallery w:val="Page Numbers (Top of Page)"/>
        <w:docPartUnique/>
      </w:docPartObj>
    </w:sdtPr>
    <w:sdtEndPr>
      <w:rPr>
        <w:noProof/>
      </w:rPr>
    </w:sdtEndPr>
    <w:sdtContent>
      <w:p w:rsidR="00BB5788" w:rsidRDefault="00F149CB" w:rsidP="00BB5788">
        <w:pPr>
          <w:pStyle w:val="NoSpacing"/>
          <w:jc w:val="right"/>
          <w:rPr>
            <w:noProof/>
          </w:rPr>
        </w:pPr>
        <w:r>
          <w:fldChar w:fldCharType="begin"/>
        </w:r>
        <w:r>
          <w:instrText xml:space="preserve"> PAGE   \* MERGEFORMAT </w:instrText>
        </w:r>
        <w:r>
          <w:fldChar w:fldCharType="separate"/>
        </w:r>
        <w:r w:rsidR="00171A48">
          <w:rPr>
            <w:noProof/>
          </w:rPr>
          <w:t>5</w:t>
        </w:r>
        <w:r>
          <w:rPr>
            <w:noProof/>
          </w:rPr>
          <w:fldChar w:fldCharType="end"/>
        </w:r>
      </w:p>
      <w:p w:rsidR="00BB5788" w:rsidRDefault="00BB5788" w:rsidP="00BB5788">
        <w:pPr>
          <w:pStyle w:val="NoSpacing"/>
          <w:jc w:val="right"/>
          <w:rPr>
            <w:noProof/>
          </w:rPr>
        </w:pPr>
        <w:r>
          <w:rPr>
            <w:noProof/>
          </w:rPr>
          <w:t>HB</w:t>
        </w:r>
        <w:r w:rsidR="00E70B62">
          <w:rPr>
            <w:noProof/>
          </w:rPr>
          <w:t xml:space="preserve"> 125/22</w:t>
        </w:r>
      </w:p>
      <w:p w:rsidR="00BB5788" w:rsidRDefault="00BB5788" w:rsidP="00BB5788">
        <w:pPr>
          <w:pStyle w:val="NoSpacing"/>
          <w:jc w:val="right"/>
          <w:rPr>
            <w:noProof/>
          </w:rPr>
        </w:pPr>
        <w:r>
          <w:rPr>
            <w:noProof/>
          </w:rPr>
          <w:t>HCB 86/22</w:t>
        </w:r>
      </w:p>
      <w:p w:rsidR="00BB5788" w:rsidRDefault="00BB5788" w:rsidP="00BB5788">
        <w:pPr>
          <w:pStyle w:val="NoSpacing"/>
          <w:jc w:val="right"/>
          <w:rPr>
            <w:noProof/>
          </w:rPr>
        </w:pPr>
        <w:r>
          <w:rPr>
            <w:noProof/>
          </w:rPr>
          <w:t>XREF CRB FIL 86-90/22</w:t>
        </w:r>
      </w:p>
      <w:p w:rsidR="00F149CB" w:rsidRDefault="00BB5788" w:rsidP="00BB5788">
        <w:pPr>
          <w:pStyle w:val="NoSpacing"/>
          <w:jc w:val="right"/>
        </w:pPr>
        <w:r>
          <w:rPr>
            <w:noProof/>
          </w:rPr>
          <w:t>CRB FIL 92-96/22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9E"/>
    <w:rsid w:val="00003086"/>
    <w:rsid w:val="00004598"/>
    <w:rsid w:val="00055F1F"/>
    <w:rsid w:val="00107B8D"/>
    <w:rsid w:val="00171A48"/>
    <w:rsid w:val="00223694"/>
    <w:rsid w:val="00226DA0"/>
    <w:rsid w:val="00276D48"/>
    <w:rsid w:val="002864BC"/>
    <w:rsid w:val="002E28E8"/>
    <w:rsid w:val="00420834"/>
    <w:rsid w:val="00426A10"/>
    <w:rsid w:val="00446DCF"/>
    <w:rsid w:val="00484569"/>
    <w:rsid w:val="00504266"/>
    <w:rsid w:val="005D0D0B"/>
    <w:rsid w:val="00641BB7"/>
    <w:rsid w:val="006D18C8"/>
    <w:rsid w:val="00712C86"/>
    <w:rsid w:val="00752099"/>
    <w:rsid w:val="007E5663"/>
    <w:rsid w:val="0081169E"/>
    <w:rsid w:val="008C128D"/>
    <w:rsid w:val="009A497F"/>
    <w:rsid w:val="00A172D0"/>
    <w:rsid w:val="00A26B96"/>
    <w:rsid w:val="00A70451"/>
    <w:rsid w:val="00B42EC5"/>
    <w:rsid w:val="00BB5788"/>
    <w:rsid w:val="00BE7C1E"/>
    <w:rsid w:val="00C85A68"/>
    <w:rsid w:val="00C87AB1"/>
    <w:rsid w:val="00CC78C6"/>
    <w:rsid w:val="00D01F6C"/>
    <w:rsid w:val="00D376BC"/>
    <w:rsid w:val="00D54A35"/>
    <w:rsid w:val="00D82FED"/>
    <w:rsid w:val="00DA28A6"/>
    <w:rsid w:val="00DF56F0"/>
    <w:rsid w:val="00E70B62"/>
    <w:rsid w:val="00F149CB"/>
    <w:rsid w:val="00FD0B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84DAF-4AFF-48C0-8D49-AF5A17DB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69E"/>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69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5D0D0B"/>
    <w:pPr>
      <w:ind w:left="720"/>
      <w:contextualSpacing/>
    </w:pPr>
  </w:style>
  <w:style w:type="paragraph" w:styleId="Header">
    <w:name w:val="header"/>
    <w:basedOn w:val="Normal"/>
    <w:link w:val="HeaderChar"/>
    <w:uiPriority w:val="99"/>
    <w:unhideWhenUsed/>
    <w:rsid w:val="00F149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149CB"/>
    <w:rPr>
      <w:rFonts w:ascii="Times New Roman" w:hAnsi="Times New Roman"/>
      <w:sz w:val="24"/>
      <w:lang w:val="en-US"/>
    </w:rPr>
  </w:style>
  <w:style w:type="paragraph" w:styleId="Footer">
    <w:name w:val="footer"/>
    <w:basedOn w:val="Normal"/>
    <w:link w:val="FooterChar"/>
    <w:uiPriority w:val="99"/>
    <w:unhideWhenUsed/>
    <w:rsid w:val="00F149C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149CB"/>
    <w:rPr>
      <w:rFonts w:ascii="Times New Roman" w:hAnsi="Times New Roman"/>
      <w:sz w:val="24"/>
      <w:lang w:val="en-US"/>
    </w:rPr>
  </w:style>
  <w:style w:type="paragraph" w:styleId="BalloonText">
    <w:name w:val="Balloon Text"/>
    <w:basedOn w:val="Normal"/>
    <w:link w:val="BalloonTextChar"/>
    <w:uiPriority w:val="99"/>
    <w:semiHidden/>
    <w:unhideWhenUsed/>
    <w:rsid w:val="00A70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5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35</cp:revision>
  <cp:lastPrinted>2022-05-12T08:40:00Z</cp:lastPrinted>
  <dcterms:created xsi:type="dcterms:W3CDTF">2022-05-12T06:29:00Z</dcterms:created>
  <dcterms:modified xsi:type="dcterms:W3CDTF">2022-05-13T09:37:00Z</dcterms:modified>
</cp:coreProperties>
</file>