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12" w:rsidRPr="00CA59E9" w:rsidRDefault="00CA59E9" w:rsidP="00CA59E9">
      <w:pPr>
        <w:pStyle w:val="NoSpacing"/>
        <w:rPr>
          <w:rFonts w:ascii="Times New Roman" w:hAnsi="Times New Roman" w:cs="Times New Roman"/>
          <w:sz w:val="24"/>
          <w:szCs w:val="24"/>
        </w:rPr>
      </w:pPr>
      <w:r w:rsidRPr="00CA59E9">
        <w:rPr>
          <w:rFonts w:ascii="Times New Roman" w:hAnsi="Times New Roman" w:cs="Times New Roman"/>
          <w:sz w:val="24"/>
          <w:szCs w:val="24"/>
        </w:rPr>
        <w:t>JEREMIA TSODZAI</w:t>
      </w:r>
    </w:p>
    <w:p w:rsidR="00CA59E9" w:rsidRDefault="00B50416" w:rsidP="00CA59E9">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A7C40" w:rsidRDefault="009A7C40" w:rsidP="00CA59E9">
      <w:pPr>
        <w:pStyle w:val="NoSpacing"/>
        <w:rPr>
          <w:rFonts w:ascii="Times New Roman" w:hAnsi="Times New Roman" w:cs="Times New Roman"/>
          <w:sz w:val="24"/>
          <w:szCs w:val="24"/>
        </w:rPr>
      </w:pPr>
      <w:r>
        <w:rPr>
          <w:rFonts w:ascii="Times New Roman" w:hAnsi="Times New Roman" w:cs="Times New Roman"/>
          <w:sz w:val="24"/>
          <w:szCs w:val="24"/>
        </w:rPr>
        <w:t>COLLIN MAGEZA</w:t>
      </w:r>
    </w:p>
    <w:p w:rsidR="009A7C40" w:rsidRDefault="009A7C40" w:rsidP="00CA59E9">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9A7C40" w:rsidRDefault="009A7C40" w:rsidP="00CA59E9">
      <w:pPr>
        <w:pStyle w:val="NoSpacing"/>
        <w:rPr>
          <w:rFonts w:ascii="Times New Roman" w:hAnsi="Times New Roman" w:cs="Times New Roman"/>
          <w:sz w:val="24"/>
          <w:szCs w:val="24"/>
        </w:rPr>
      </w:pPr>
      <w:r>
        <w:rPr>
          <w:rFonts w:ascii="Times New Roman" w:hAnsi="Times New Roman" w:cs="Times New Roman"/>
          <w:sz w:val="24"/>
          <w:szCs w:val="24"/>
        </w:rPr>
        <w:t>CLIFFORD MUTUVIRA</w:t>
      </w:r>
    </w:p>
    <w:p w:rsidR="009A7C40" w:rsidRDefault="009A7C40" w:rsidP="00CA59E9">
      <w:pPr>
        <w:pStyle w:val="NoSpacing"/>
        <w:rPr>
          <w:rFonts w:ascii="Times New Roman" w:hAnsi="Times New Roman" w:cs="Times New Roman"/>
          <w:sz w:val="24"/>
          <w:szCs w:val="24"/>
        </w:rPr>
      </w:pPr>
    </w:p>
    <w:p w:rsidR="009A7C40" w:rsidRDefault="009A7C40" w:rsidP="00CA59E9">
      <w:pPr>
        <w:pStyle w:val="NoSpacing"/>
        <w:rPr>
          <w:rFonts w:ascii="Times New Roman" w:hAnsi="Times New Roman" w:cs="Times New Roman"/>
          <w:sz w:val="24"/>
          <w:szCs w:val="24"/>
        </w:rPr>
      </w:pPr>
    </w:p>
    <w:p w:rsidR="009A7C40" w:rsidRDefault="009A7C40" w:rsidP="00CA59E9">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9A7C40" w:rsidRDefault="009A7C40" w:rsidP="00CA59E9">
      <w:pPr>
        <w:pStyle w:val="NoSpacing"/>
        <w:rPr>
          <w:rFonts w:ascii="Times New Roman" w:hAnsi="Times New Roman" w:cs="Times New Roman"/>
          <w:sz w:val="24"/>
          <w:szCs w:val="24"/>
        </w:rPr>
      </w:pPr>
      <w:r>
        <w:rPr>
          <w:rFonts w:ascii="Times New Roman" w:hAnsi="Times New Roman" w:cs="Times New Roman"/>
          <w:sz w:val="24"/>
          <w:szCs w:val="24"/>
        </w:rPr>
        <w:t>BERE J</w:t>
      </w:r>
    </w:p>
    <w:p w:rsidR="009A7C40" w:rsidRDefault="009A7C40" w:rsidP="00CA59E9">
      <w:pPr>
        <w:pStyle w:val="NoSpacing"/>
        <w:rPr>
          <w:rFonts w:ascii="Times New Roman" w:hAnsi="Times New Roman" w:cs="Times New Roman"/>
          <w:sz w:val="24"/>
          <w:szCs w:val="24"/>
        </w:rPr>
      </w:pPr>
      <w:r>
        <w:rPr>
          <w:rFonts w:ascii="Times New Roman" w:hAnsi="Times New Roman" w:cs="Times New Roman"/>
          <w:sz w:val="24"/>
          <w:szCs w:val="24"/>
        </w:rPr>
        <w:t>HARARE, 20 – 21 J</w:t>
      </w:r>
      <w:r w:rsidR="00B50416">
        <w:rPr>
          <w:rFonts w:ascii="Times New Roman" w:hAnsi="Times New Roman" w:cs="Times New Roman"/>
          <w:sz w:val="24"/>
          <w:szCs w:val="24"/>
        </w:rPr>
        <w:t>uly</w:t>
      </w:r>
      <w:r>
        <w:rPr>
          <w:rFonts w:ascii="Times New Roman" w:hAnsi="Times New Roman" w:cs="Times New Roman"/>
          <w:sz w:val="24"/>
          <w:szCs w:val="24"/>
        </w:rPr>
        <w:t>, 12 &amp; 16</w:t>
      </w:r>
      <w:r w:rsidR="00B50416">
        <w:rPr>
          <w:rFonts w:ascii="Times New Roman" w:hAnsi="Times New Roman" w:cs="Times New Roman"/>
          <w:sz w:val="24"/>
          <w:szCs w:val="24"/>
        </w:rPr>
        <w:t xml:space="preserve"> September</w:t>
      </w:r>
      <w:r>
        <w:rPr>
          <w:rFonts w:ascii="Times New Roman" w:hAnsi="Times New Roman" w:cs="Times New Roman"/>
          <w:sz w:val="24"/>
          <w:szCs w:val="24"/>
        </w:rPr>
        <w:t xml:space="preserve"> 2011</w:t>
      </w:r>
    </w:p>
    <w:p w:rsidR="009A7C40" w:rsidRDefault="009A7C40" w:rsidP="00CA59E9">
      <w:pPr>
        <w:pStyle w:val="NoSpacing"/>
        <w:rPr>
          <w:rFonts w:ascii="Times New Roman" w:hAnsi="Times New Roman" w:cs="Times New Roman"/>
          <w:sz w:val="24"/>
          <w:szCs w:val="24"/>
        </w:rPr>
      </w:pPr>
    </w:p>
    <w:p w:rsidR="009A7C40" w:rsidRDefault="009A7C40" w:rsidP="00CA59E9">
      <w:pPr>
        <w:pStyle w:val="NoSpacing"/>
        <w:rPr>
          <w:rFonts w:ascii="Times New Roman" w:hAnsi="Times New Roman" w:cs="Times New Roman"/>
          <w:sz w:val="24"/>
          <w:szCs w:val="24"/>
        </w:rPr>
      </w:pPr>
    </w:p>
    <w:p w:rsidR="009A7C40" w:rsidRPr="00512D79" w:rsidRDefault="009A7C40" w:rsidP="00CA59E9">
      <w:pPr>
        <w:pStyle w:val="NoSpacing"/>
        <w:rPr>
          <w:rFonts w:ascii="Times New Roman" w:hAnsi="Times New Roman" w:cs="Times New Roman"/>
          <w:b/>
          <w:sz w:val="24"/>
          <w:szCs w:val="24"/>
        </w:rPr>
      </w:pPr>
      <w:r w:rsidRPr="00512D79">
        <w:rPr>
          <w:rFonts w:ascii="Times New Roman" w:hAnsi="Times New Roman" w:cs="Times New Roman"/>
          <w:b/>
          <w:sz w:val="24"/>
          <w:szCs w:val="24"/>
        </w:rPr>
        <w:t>Civil Trial</w:t>
      </w:r>
    </w:p>
    <w:p w:rsidR="009A7C40" w:rsidRDefault="009A7C40" w:rsidP="00CA59E9">
      <w:pPr>
        <w:pStyle w:val="NoSpacing"/>
        <w:rPr>
          <w:rFonts w:ascii="Times New Roman" w:hAnsi="Times New Roman" w:cs="Times New Roman"/>
          <w:sz w:val="24"/>
          <w:szCs w:val="24"/>
        </w:rPr>
      </w:pPr>
    </w:p>
    <w:p w:rsidR="009A7C40" w:rsidRDefault="009A7C40" w:rsidP="00CA59E9">
      <w:pPr>
        <w:pStyle w:val="NoSpacing"/>
        <w:rPr>
          <w:rFonts w:ascii="Times New Roman" w:hAnsi="Times New Roman" w:cs="Times New Roman"/>
          <w:sz w:val="24"/>
          <w:szCs w:val="24"/>
        </w:rPr>
      </w:pPr>
      <w:r w:rsidRPr="00512D79">
        <w:rPr>
          <w:rFonts w:ascii="Times New Roman" w:hAnsi="Times New Roman" w:cs="Times New Roman"/>
          <w:i/>
          <w:sz w:val="24"/>
          <w:szCs w:val="24"/>
        </w:rPr>
        <w:t xml:space="preserve">P. </w:t>
      </w:r>
      <w:proofErr w:type="spellStart"/>
      <w:r w:rsidRPr="00512D79">
        <w:rPr>
          <w:rFonts w:ascii="Times New Roman" w:hAnsi="Times New Roman" w:cs="Times New Roman"/>
          <w:i/>
          <w:sz w:val="24"/>
          <w:szCs w:val="24"/>
        </w:rPr>
        <w:t>Takawadiyi</w:t>
      </w:r>
      <w:proofErr w:type="spellEnd"/>
      <w:r>
        <w:rPr>
          <w:rFonts w:ascii="Times New Roman" w:hAnsi="Times New Roman" w:cs="Times New Roman"/>
          <w:sz w:val="24"/>
          <w:szCs w:val="24"/>
        </w:rPr>
        <w:t>, for the plaintiff</w:t>
      </w:r>
    </w:p>
    <w:p w:rsidR="009A7C40" w:rsidRDefault="009A7C40" w:rsidP="00CA59E9">
      <w:pPr>
        <w:pStyle w:val="NoSpacing"/>
        <w:rPr>
          <w:rFonts w:ascii="Times New Roman" w:hAnsi="Times New Roman" w:cs="Times New Roman"/>
          <w:sz w:val="24"/>
          <w:szCs w:val="24"/>
        </w:rPr>
      </w:pPr>
      <w:r w:rsidRPr="00512D79">
        <w:rPr>
          <w:rFonts w:ascii="Times New Roman" w:hAnsi="Times New Roman" w:cs="Times New Roman"/>
          <w:i/>
          <w:sz w:val="24"/>
          <w:szCs w:val="24"/>
        </w:rPr>
        <w:t xml:space="preserve">S. </w:t>
      </w:r>
      <w:proofErr w:type="spellStart"/>
      <w:r w:rsidRPr="00512D79">
        <w:rPr>
          <w:rFonts w:ascii="Times New Roman" w:hAnsi="Times New Roman" w:cs="Times New Roman"/>
          <w:i/>
          <w:sz w:val="24"/>
          <w:szCs w:val="24"/>
        </w:rPr>
        <w:t>Manyangwa</w:t>
      </w:r>
      <w:proofErr w:type="spellEnd"/>
      <w:r>
        <w:rPr>
          <w:rFonts w:ascii="Times New Roman" w:hAnsi="Times New Roman" w:cs="Times New Roman"/>
          <w:sz w:val="24"/>
          <w:szCs w:val="24"/>
        </w:rPr>
        <w:t>, for the defendant</w:t>
      </w:r>
    </w:p>
    <w:p w:rsidR="009A7C40" w:rsidRDefault="009A7C40" w:rsidP="00CA59E9">
      <w:pPr>
        <w:pStyle w:val="NoSpacing"/>
        <w:rPr>
          <w:rFonts w:ascii="Times New Roman" w:hAnsi="Times New Roman" w:cs="Times New Roman"/>
          <w:sz w:val="24"/>
          <w:szCs w:val="24"/>
        </w:rPr>
      </w:pPr>
    </w:p>
    <w:p w:rsidR="009A7C40" w:rsidRDefault="009A7C40" w:rsidP="00CA59E9">
      <w:pPr>
        <w:pStyle w:val="NoSpacing"/>
        <w:rPr>
          <w:rFonts w:ascii="Times New Roman" w:hAnsi="Times New Roman" w:cs="Times New Roman"/>
          <w:sz w:val="24"/>
          <w:szCs w:val="24"/>
        </w:rPr>
      </w:pPr>
    </w:p>
    <w:p w:rsidR="00512D79" w:rsidRDefault="009A7C40"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BERE J:  On 6 </w:t>
      </w:r>
      <w:r w:rsidR="00DD383C">
        <w:rPr>
          <w:rFonts w:ascii="Times New Roman" w:hAnsi="Times New Roman" w:cs="Times New Roman"/>
          <w:sz w:val="24"/>
          <w:szCs w:val="24"/>
        </w:rPr>
        <w:t xml:space="preserve">October 2009 the plaintiff </w:t>
      </w:r>
      <w:r w:rsidR="00D1474A">
        <w:rPr>
          <w:rFonts w:ascii="Times New Roman" w:hAnsi="Times New Roman" w:cs="Times New Roman"/>
          <w:sz w:val="24"/>
          <w:szCs w:val="24"/>
        </w:rPr>
        <w:t xml:space="preserve">issued summons out of this court against the two defendants claiming US$3 013.00 being the cost of repairs </w:t>
      </w:r>
      <w:r w:rsidR="00512D79">
        <w:rPr>
          <w:rFonts w:ascii="Times New Roman" w:hAnsi="Times New Roman" w:cs="Times New Roman"/>
          <w:sz w:val="24"/>
          <w:szCs w:val="24"/>
        </w:rPr>
        <w:t xml:space="preserve">caused to his motor vehicle by the alleged negligent driving conduct of the second defendant </w:t>
      </w:r>
      <w:r w:rsidR="001E28FB">
        <w:rPr>
          <w:rFonts w:ascii="Times New Roman" w:hAnsi="Times New Roman" w:cs="Times New Roman"/>
          <w:sz w:val="24"/>
          <w:szCs w:val="24"/>
        </w:rPr>
        <w:t xml:space="preserve">who </w:t>
      </w:r>
      <w:r w:rsidR="00512D79">
        <w:rPr>
          <w:rFonts w:ascii="Times New Roman" w:hAnsi="Times New Roman" w:cs="Times New Roman"/>
          <w:sz w:val="24"/>
          <w:szCs w:val="24"/>
        </w:rPr>
        <w:t>was employed by the first defendant as a driver.</w:t>
      </w:r>
    </w:p>
    <w:p w:rsidR="00512D79" w:rsidRDefault="00512D79"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basis of the plaintiff’s claim was that his motor vehicle was damaged as a result of the second defendant’s driving conduct at the corner of </w:t>
      </w:r>
      <w:proofErr w:type="spellStart"/>
      <w:r>
        <w:rPr>
          <w:rFonts w:ascii="Times New Roman" w:hAnsi="Times New Roman" w:cs="Times New Roman"/>
          <w:sz w:val="24"/>
          <w:szCs w:val="24"/>
        </w:rPr>
        <w:t>Willowvale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Nyandoro</w:t>
      </w:r>
      <w:proofErr w:type="spellEnd"/>
      <w:r>
        <w:rPr>
          <w:rFonts w:ascii="Times New Roman" w:hAnsi="Times New Roman" w:cs="Times New Roman"/>
          <w:sz w:val="24"/>
          <w:szCs w:val="24"/>
        </w:rPr>
        <w:t xml:space="preserve"> Road, Harare.</w:t>
      </w:r>
    </w:p>
    <w:p w:rsidR="00512D79" w:rsidRDefault="00512D79"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defendant’s liability derives from the concept of vicarious liability having been the employer of the first defendant who was driving the offending bus on the date in question</w:t>
      </w:r>
      <w:r w:rsidR="007C6003">
        <w:rPr>
          <w:rFonts w:ascii="Times New Roman" w:hAnsi="Times New Roman" w:cs="Times New Roman"/>
          <w:sz w:val="24"/>
          <w:szCs w:val="24"/>
        </w:rPr>
        <w:t xml:space="preserve"> and during the course and within </w:t>
      </w:r>
      <w:r w:rsidR="00AF1B03">
        <w:rPr>
          <w:rFonts w:ascii="Times New Roman" w:hAnsi="Times New Roman" w:cs="Times New Roman"/>
          <w:sz w:val="24"/>
          <w:szCs w:val="24"/>
        </w:rPr>
        <w:t>the scope of his employment.</w:t>
      </w:r>
    </w:p>
    <w:p w:rsidR="00512D79" w:rsidRDefault="00512D79"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4 June 2010 the parties held a joint pre-trial </w:t>
      </w:r>
      <w:r w:rsidR="00A91FBA">
        <w:rPr>
          <w:rFonts w:ascii="Times New Roman" w:hAnsi="Times New Roman" w:cs="Times New Roman"/>
          <w:sz w:val="24"/>
          <w:szCs w:val="24"/>
        </w:rPr>
        <w:t xml:space="preserve">conference where the issues for referral </w:t>
      </w:r>
      <w:r w:rsidR="001F0D6B">
        <w:rPr>
          <w:rFonts w:ascii="Times New Roman" w:hAnsi="Times New Roman" w:cs="Times New Roman"/>
          <w:sz w:val="24"/>
          <w:szCs w:val="24"/>
        </w:rPr>
        <w:t>for trial were basically</w:t>
      </w:r>
      <w:r w:rsidR="00AF1B03">
        <w:rPr>
          <w:rFonts w:ascii="Times New Roman" w:hAnsi="Times New Roman" w:cs="Times New Roman"/>
          <w:sz w:val="24"/>
          <w:szCs w:val="24"/>
        </w:rPr>
        <w:t xml:space="preserve"> the nature and extent</w:t>
      </w:r>
      <w:r w:rsidR="001F0D6B">
        <w:rPr>
          <w:rFonts w:ascii="Times New Roman" w:hAnsi="Times New Roman" w:cs="Times New Roman"/>
          <w:sz w:val="24"/>
          <w:szCs w:val="24"/>
        </w:rPr>
        <w:t xml:space="preserve"> of damages to the plaintiff’s motor vehicle and the quantum thereof.</w:t>
      </w:r>
    </w:p>
    <w:p w:rsidR="001E28FB" w:rsidRDefault="001E28FB" w:rsidP="00512D79">
      <w:pPr>
        <w:pStyle w:val="NoSpacing"/>
        <w:spacing w:line="360" w:lineRule="auto"/>
        <w:jc w:val="both"/>
        <w:rPr>
          <w:rFonts w:ascii="Times New Roman" w:hAnsi="Times New Roman" w:cs="Times New Roman"/>
          <w:b/>
          <w:sz w:val="24"/>
          <w:szCs w:val="24"/>
          <w:u w:val="single"/>
        </w:rPr>
      </w:pPr>
    </w:p>
    <w:p w:rsidR="001F0D6B" w:rsidRPr="001F0D6B" w:rsidRDefault="001F0D6B" w:rsidP="00512D79">
      <w:pPr>
        <w:pStyle w:val="NoSpacing"/>
        <w:spacing w:line="360" w:lineRule="auto"/>
        <w:jc w:val="both"/>
        <w:rPr>
          <w:rFonts w:ascii="Times New Roman" w:hAnsi="Times New Roman" w:cs="Times New Roman"/>
          <w:b/>
          <w:sz w:val="24"/>
          <w:szCs w:val="24"/>
          <w:u w:val="single"/>
        </w:rPr>
      </w:pPr>
      <w:r w:rsidRPr="001F0D6B">
        <w:rPr>
          <w:rFonts w:ascii="Times New Roman" w:hAnsi="Times New Roman" w:cs="Times New Roman"/>
          <w:b/>
          <w:sz w:val="24"/>
          <w:szCs w:val="24"/>
          <w:u w:val="single"/>
        </w:rPr>
        <w:t>THE EVIDENCE</w:t>
      </w:r>
    </w:p>
    <w:p w:rsidR="009A7C40" w:rsidRDefault="00D1474A"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17E9">
        <w:rPr>
          <w:rFonts w:ascii="Times New Roman" w:hAnsi="Times New Roman" w:cs="Times New Roman"/>
          <w:sz w:val="24"/>
          <w:szCs w:val="24"/>
        </w:rPr>
        <w:tab/>
        <w:t>Th</w:t>
      </w:r>
      <w:r w:rsidR="001F0D6B">
        <w:rPr>
          <w:rFonts w:ascii="Times New Roman" w:hAnsi="Times New Roman" w:cs="Times New Roman"/>
          <w:sz w:val="24"/>
          <w:szCs w:val="24"/>
        </w:rPr>
        <w:t xml:space="preserve">e plaintiff’s case was precise and to the point.  He testified that the damage caused to his motor vehicle as a result of the accident were the damages notes on </w:t>
      </w:r>
      <w:proofErr w:type="spellStart"/>
      <w:r w:rsidR="001F0D6B">
        <w:rPr>
          <w:rFonts w:ascii="Times New Roman" w:hAnsi="Times New Roman" w:cs="Times New Roman"/>
          <w:sz w:val="24"/>
          <w:szCs w:val="24"/>
        </w:rPr>
        <w:t>exh</w:t>
      </w:r>
      <w:proofErr w:type="spellEnd"/>
      <w:r w:rsidR="001F0D6B">
        <w:rPr>
          <w:rFonts w:ascii="Times New Roman" w:hAnsi="Times New Roman" w:cs="Times New Roman"/>
          <w:sz w:val="24"/>
          <w:szCs w:val="24"/>
        </w:rPr>
        <w:t xml:space="preserve"> 2, which was a quotation from the company that carried out the repairs to his motor vehicle.</w:t>
      </w:r>
    </w:p>
    <w:p w:rsidR="00F517E9" w:rsidRDefault="00F517E9"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disclosed to the court that his motor vehicle had no pre-accident damages and that all the damages were a direct result of the accident of 6 September 2009.</w:t>
      </w:r>
    </w:p>
    <w:p w:rsidR="00F517E9" w:rsidRDefault="00F517E9"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had no difficulties in following the evidence presented by the plaintiff and both defendants could not possibly</w:t>
      </w:r>
      <w:r w:rsidR="00AF1B03">
        <w:rPr>
          <w:rFonts w:ascii="Times New Roman" w:hAnsi="Times New Roman" w:cs="Times New Roman"/>
          <w:sz w:val="24"/>
          <w:szCs w:val="24"/>
        </w:rPr>
        <w:t xml:space="preserve"> have been expected to controver</w:t>
      </w:r>
      <w:r>
        <w:rPr>
          <w:rFonts w:ascii="Times New Roman" w:hAnsi="Times New Roman" w:cs="Times New Roman"/>
          <w:sz w:val="24"/>
          <w:szCs w:val="24"/>
        </w:rPr>
        <w:t xml:space="preserve">t the </w:t>
      </w:r>
      <w:r w:rsidR="008255EB">
        <w:rPr>
          <w:rFonts w:ascii="Times New Roman" w:hAnsi="Times New Roman" w:cs="Times New Roman"/>
          <w:sz w:val="24"/>
          <w:szCs w:val="24"/>
        </w:rPr>
        <w:t xml:space="preserve">plaintiff’s averments that </w:t>
      </w:r>
      <w:r w:rsidR="008255EB">
        <w:rPr>
          <w:rFonts w:ascii="Times New Roman" w:hAnsi="Times New Roman" w:cs="Times New Roman"/>
          <w:sz w:val="24"/>
          <w:szCs w:val="24"/>
        </w:rPr>
        <w:lastRenderedPageBreak/>
        <w:t xml:space="preserve">his motor vehicle was damaged as a result of the accident in question.  The defendants speculated that the motor vehicle could have been damaged on the front left mirror, the left door moulding and wheel arch moulding prior to the accident in issue.  The </w:t>
      </w:r>
      <w:r w:rsidR="00425A2E">
        <w:rPr>
          <w:rFonts w:ascii="Times New Roman" w:hAnsi="Times New Roman" w:cs="Times New Roman"/>
          <w:sz w:val="24"/>
          <w:szCs w:val="24"/>
        </w:rPr>
        <w:t>defendant</w:t>
      </w:r>
      <w:r w:rsidR="00AF1B03">
        <w:rPr>
          <w:rFonts w:ascii="Times New Roman" w:hAnsi="Times New Roman" w:cs="Times New Roman"/>
          <w:sz w:val="24"/>
          <w:szCs w:val="24"/>
        </w:rPr>
        <w:t>s’</w:t>
      </w:r>
      <w:r w:rsidR="00425A2E">
        <w:rPr>
          <w:rFonts w:ascii="Times New Roman" w:hAnsi="Times New Roman" w:cs="Times New Roman"/>
          <w:sz w:val="24"/>
          <w:szCs w:val="24"/>
        </w:rPr>
        <w:t xml:space="preserve"> natural disadvantage in this regard was that they did not enjoy the privilege of having seen the plaintiff’s motor vehicle prior to the accident.</w:t>
      </w:r>
    </w:p>
    <w:p w:rsidR="0075584F" w:rsidRDefault="00425A2E"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E28FB">
        <w:rPr>
          <w:rFonts w:ascii="Times New Roman" w:hAnsi="Times New Roman" w:cs="Times New Roman"/>
          <w:sz w:val="24"/>
          <w:szCs w:val="24"/>
        </w:rPr>
        <w:t>defendant</w:t>
      </w:r>
      <w:r>
        <w:rPr>
          <w:rFonts w:ascii="Times New Roman" w:hAnsi="Times New Roman" w:cs="Times New Roman"/>
          <w:sz w:val="24"/>
          <w:szCs w:val="24"/>
        </w:rPr>
        <w:t xml:space="preserve">s sought to rely on the damages noted and </w:t>
      </w:r>
      <w:r w:rsidR="00F53345">
        <w:rPr>
          <w:rFonts w:ascii="Times New Roman" w:hAnsi="Times New Roman" w:cs="Times New Roman"/>
          <w:sz w:val="24"/>
          <w:szCs w:val="24"/>
        </w:rPr>
        <w:t xml:space="preserve">recorded by the attending detail Sgt </w:t>
      </w:r>
      <w:proofErr w:type="spellStart"/>
      <w:r w:rsidR="00F53345">
        <w:rPr>
          <w:rFonts w:ascii="Times New Roman" w:hAnsi="Times New Roman" w:cs="Times New Roman"/>
          <w:sz w:val="24"/>
          <w:szCs w:val="24"/>
        </w:rPr>
        <w:t>Farai</w:t>
      </w:r>
      <w:proofErr w:type="spellEnd"/>
      <w:r w:rsidR="00F53345">
        <w:rPr>
          <w:rFonts w:ascii="Times New Roman" w:hAnsi="Times New Roman" w:cs="Times New Roman"/>
          <w:sz w:val="24"/>
          <w:szCs w:val="24"/>
        </w:rPr>
        <w:t xml:space="preserve"> </w:t>
      </w:r>
      <w:proofErr w:type="spellStart"/>
      <w:r w:rsidR="00F53345">
        <w:rPr>
          <w:rFonts w:ascii="Times New Roman" w:hAnsi="Times New Roman" w:cs="Times New Roman"/>
          <w:sz w:val="24"/>
          <w:szCs w:val="24"/>
        </w:rPr>
        <w:t>Musarurwa</w:t>
      </w:r>
      <w:proofErr w:type="spellEnd"/>
      <w:r w:rsidR="00F53345">
        <w:rPr>
          <w:rFonts w:ascii="Times New Roman" w:hAnsi="Times New Roman" w:cs="Times New Roman"/>
          <w:sz w:val="24"/>
          <w:szCs w:val="24"/>
        </w:rPr>
        <w:t xml:space="preserve"> on p15 of the traffic accident book, </w:t>
      </w:r>
      <w:proofErr w:type="spellStart"/>
      <w:r w:rsidR="00F53345">
        <w:rPr>
          <w:rFonts w:ascii="Times New Roman" w:hAnsi="Times New Roman" w:cs="Times New Roman"/>
          <w:sz w:val="24"/>
          <w:szCs w:val="24"/>
        </w:rPr>
        <w:t>exh</w:t>
      </w:r>
      <w:proofErr w:type="spellEnd"/>
      <w:r w:rsidR="00F53345">
        <w:rPr>
          <w:rFonts w:ascii="Times New Roman" w:hAnsi="Times New Roman" w:cs="Times New Roman"/>
          <w:sz w:val="24"/>
          <w:szCs w:val="24"/>
        </w:rPr>
        <w:t xml:space="preserve"> 8.  I do n</w:t>
      </w:r>
      <w:r w:rsidR="00AF1B03">
        <w:rPr>
          <w:rFonts w:ascii="Times New Roman" w:hAnsi="Times New Roman" w:cs="Times New Roman"/>
          <w:sz w:val="24"/>
          <w:szCs w:val="24"/>
        </w:rPr>
        <w:t>ot believe that that approach is consistent with</w:t>
      </w:r>
      <w:r w:rsidR="00F53345">
        <w:rPr>
          <w:rFonts w:ascii="Times New Roman" w:hAnsi="Times New Roman" w:cs="Times New Roman"/>
          <w:sz w:val="24"/>
          <w:szCs w:val="24"/>
        </w:rPr>
        <w:t xml:space="preserve"> the correct reading of the evidence of the </w:t>
      </w:r>
      <w:proofErr w:type="spellStart"/>
      <w:r w:rsidR="00F53345">
        <w:rPr>
          <w:rFonts w:ascii="Times New Roman" w:hAnsi="Times New Roman" w:cs="Times New Roman"/>
          <w:sz w:val="24"/>
          <w:szCs w:val="24"/>
        </w:rPr>
        <w:t>Sergent</w:t>
      </w:r>
      <w:proofErr w:type="spellEnd"/>
      <w:r w:rsidR="00F53345">
        <w:rPr>
          <w:rFonts w:ascii="Times New Roman" w:hAnsi="Times New Roman" w:cs="Times New Roman"/>
          <w:sz w:val="24"/>
          <w:szCs w:val="24"/>
        </w:rPr>
        <w:t xml:space="preserve"> in its totality.  It will be noted that the officer concerned did make a concession that the </w:t>
      </w:r>
      <w:r w:rsidR="0075584F">
        <w:rPr>
          <w:rFonts w:ascii="Times New Roman" w:hAnsi="Times New Roman" w:cs="Times New Roman"/>
          <w:sz w:val="24"/>
          <w:szCs w:val="24"/>
        </w:rPr>
        <w:t>rudimentary assessment of damages made by the police at the scene of the accident cannot possibly override the detailed damages which are recorded by those expertly qualified to carry out vehicle repairs like High Tech Panel Beaters (Pvt) Ltd who noted the damages and eventually repaired the motor vehicle.</w:t>
      </w:r>
    </w:p>
    <w:p w:rsidR="00161170" w:rsidRDefault="0075584F"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court’</w:t>
      </w:r>
      <w:r w:rsidR="000043C9">
        <w:rPr>
          <w:rFonts w:ascii="Times New Roman" w:hAnsi="Times New Roman" w:cs="Times New Roman"/>
          <w:sz w:val="24"/>
          <w:szCs w:val="24"/>
        </w:rPr>
        <w:t>s view, the da</w:t>
      </w:r>
      <w:r>
        <w:rPr>
          <w:rFonts w:ascii="Times New Roman" w:hAnsi="Times New Roman" w:cs="Times New Roman"/>
          <w:sz w:val="24"/>
          <w:szCs w:val="24"/>
        </w:rPr>
        <w:t>m</w:t>
      </w:r>
      <w:r w:rsidR="000043C9">
        <w:rPr>
          <w:rFonts w:ascii="Times New Roman" w:hAnsi="Times New Roman" w:cs="Times New Roman"/>
          <w:sz w:val="24"/>
          <w:szCs w:val="24"/>
        </w:rPr>
        <w:t>a</w:t>
      </w:r>
      <w:r>
        <w:rPr>
          <w:rFonts w:ascii="Times New Roman" w:hAnsi="Times New Roman" w:cs="Times New Roman"/>
          <w:sz w:val="24"/>
          <w:szCs w:val="24"/>
        </w:rPr>
        <w:t xml:space="preserve">ges noted by High Tech Panel Beaters (Pvt) Ltd are a fair reflection of the damages sustained by the plaintiff’s motor vehicle.  This is particularly so if regard is had to the impossible </w:t>
      </w:r>
      <w:r w:rsidR="00B04D5D">
        <w:rPr>
          <w:rFonts w:ascii="Times New Roman" w:hAnsi="Times New Roman" w:cs="Times New Roman"/>
          <w:sz w:val="24"/>
          <w:szCs w:val="24"/>
        </w:rPr>
        <w:t>to challenge evidence by the plaintiff that prior to the accident of 6 September 2009 his motor vehicle had had no damages at all</w:t>
      </w:r>
      <w:r w:rsidR="00161170">
        <w:rPr>
          <w:rFonts w:ascii="Times New Roman" w:hAnsi="Times New Roman" w:cs="Times New Roman"/>
          <w:sz w:val="24"/>
          <w:szCs w:val="24"/>
        </w:rPr>
        <w:t xml:space="preserve">. </w:t>
      </w:r>
    </w:p>
    <w:p w:rsidR="00425A2E" w:rsidRDefault="00161170"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joint plea filed </w:t>
      </w:r>
      <w:r w:rsidR="004D284D">
        <w:rPr>
          <w:rFonts w:ascii="Times New Roman" w:hAnsi="Times New Roman" w:cs="Times New Roman"/>
          <w:sz w:val="24"/>
          <w:szCs w:val="24"/>
        </w:rPr>
        <w:t>in</w:t>
      </w:r>
      <w:r>
        <w:rPr>
          <w:rFonts w:ascii="Times New Roman" w:hAnsi="Times New Roman" w:cs="Times New Roman"/>
          <w:sz w:val="24"/>
          <w:szCs w:val="24"/>
        </w:rPr>
        <w:t xml:space="preserve"> this court on 1 February 2010 both defendants did accept partial liability of the damages sustained by the plaintiff’s motor vehicle. That admission was based on the damages that they claimed to have seen at the scene of the accident coupled with the damages noted by Sgt </w:t>
      </w:r>
      <w:proofErr w:type="spellStart"/>
      <w:r>
        <w:rPr>
          <w:rFonts w:ascii="Times New Roman" w:hAnsi="Times New Roman" w:cs="Times New Roman"/>
          <w:sz w:val="24"/>
          <w:szCs w:val="24"/>
        </w:rPr>
        <w:t>Farai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 xml:space="preserve"> on the date of the accident. I have already dealt with the limitations of the evidence of the </w:t>
      </w:r>
      <w:r w:rsidR="00AF1B03">
        <w:rPr>
          <w:rFonts w:ascii="Times New Roman" w:hAnsi="Times New Roman" w:cs="Times New Roman"/>
          <w:sz w:val="24"/>
          <w:szCs w:val="24"/>
        </w:rPr>
        <w:t>attending detail</w:t>
      </w:r>
      <w:r>
        <w:rPr>
          <w:rFonts w:ascii="Times New Roman" w:hAnsi="Times New Roman" w:cs="Times New Roman"/>
          <w:sz w:val="24"/>
          <w:szCs w:val="24"/>
        </w:rPr>
        <w:t xml:space="preserve"> who himself conceded not to be an expert in vehicle repai</w:t>
      </w:r>
      <w:r w:rsidR="004D284D">
        <w:rPr>
          <w:rFonts w:ascii="Times New Roman" w:hAnsi="Times New Roman" w:cs="Times New Roman"/>
          <w:sz w:val="24"/>
          <w:szCs w:val="24"/>
        </w:rPr>
        <w:t>r</w:t>
      </w:r>
      <w:r w:rsidR="00C05F9B">
        <w:rPr>
          <w:rFonts w:ascii="Times New Roman" w:hAnsi="Times New Roman" w:cs="Times New Roman"/>
          <w:sz w:val="24"/>
          <w:szCs w:val="24"/>
        </w:rPr>
        <w:t xml:space="preserve">s </w:t>
      </w:r>
      <w:r w:rsidR="009A16C3">
        <w:rPr>
          <w:rFonts w:ascii="Times New Roman" w:hAnsi="Times New Roman" w:cs="Times New Roman"/>
          <w:sz w:val="24"/>
          <w:szCs w:val="24"/>
        </w:rPr>
        <w:t>and further that those who re</w:t>
      </w:r>
      <w:r w:rsidR="00AF1B03">
        <w:rPr>
          <w:rFonts w:ascii="Times New Roman" w:hAnsi="Times New Roman" w:cs="Times New Roman"/>
          <w:sz w:val="24"/>
          <w:szCs w:val="24"/>
        </w:rPr>
        <w:t>paired the vehicle in question we</w:t>
      </w:r>
      <w:r w:rsidR="009A16C3">
        <w:rPr>
          <w:rFonts w:ascii="Times New Roman" w:hAnsi="Times New Roman" w:cs="Times New Roman"/>
          <w:sz w:val="24"/>
          <w:szCs w:val="24"/>
        </w:rPr>
        <w:t xml:space="preserve">re better positioned to advise the court on </w:t>
      </w:r>
      <w:r w:rsidR="00C3658B">
        <w:rPr>
          <w:rFonts w:ascii="Times New Roman" w:hAnsi="Times New Roman" w:cs="Times New Roman"/>
          <w:sz w:val="24"/>
          <w:szCs w:val="24"/>
        </w:rPr>
        <w:t>the extent of the damages to the plaintiff’s vehicle.</w:t>
      </w:r>
    </w:p>
    <w:p w:rsidR="00C3658B" w:rsidRDefault="00C3658B"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7218">
        <w:rPr>
          <w:rFonts w:ascii="Times New Roman" w:hAnsi="Times New Roman" w:cs="Times New Roman"/>
          <w:sz w:val="24"/>
          <w:szCs w:val="24"/>
        </w:rPr>
        <w:t xml:space="preserve">When the </w:t>
      </w:r>
      <w:r w:rsidR="004F4511">
        <w:rPr>
          <w:rFonts w:ascii="Times New Roman" w:hAnsi="Times New Roman" w:cs="Times New Roman"/>
          <w:sz w:val="24"/>
          <w:szCs w:val="24"/>
        </w:rPr>
        <w:t>second defendant gave evidence he did not only challenge the extent of the damages to the plaintiff’s vehicle but went further to challenge the manner in which the plaintiff presented evidence of the damages in the nature of the three quotations sourced.  He reasoned that plaintiff was obliged to seek the services of a loss a</w:t>
      </w:r>
      <w:r w:rsidR="00EC5FD0">
        <w:rPr>
          <w:rFonts w:ascii="Times New Roman" w:hAnsi="Times New Roman" w:cs="Times New Roman"/>
          <w:sz w:val="24"/>
          <w:szCs w:val="24"/>
        </w:rPr>
        <w:t>djus</w:t>
      </w:r>
      <w:r w:rsidR="004319AB">
        <w:rPr>
          <w:rFonts w:ascii="Times New Roman" w:hAnsi="Times New Roman" w:cs="Times New Roman"/>
          <w:sz w:val="24"/>
          <w:szCs w:val="24"/>
        </w:rPr>
        <w:t>ter in addition to getting the three quotations.</w:t>
      </w:r>
    </w:p>
    <w:p w:rsidR="004319AB" w:rsidRDefault="004319AB"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position taken by the second defendant did not impress the court for the following reasons.  Firstly</w:t>
      </w:r>
      <w:r w:rsidR="00EC5FD0">
        <w:rPr>
          <w:rFonts w:ascii="Times New Roman" w:hAnsi="Times New Roman" w:cs="Times New Roman"/>
          <w:sz w:val="24"/>
          <w:szCs w:val="24"/>
        </w:rPr>
        <w:t>,</w:t>
      </w:r>
      <w:r>
        <w:rPr>
          <w:rFonts w:ascii="Times New Roman" w:hAnsi="Times New Roman" w:cs="Times New Roman"/>
          <w:sz w:val="24"/>
          <w:szCs w:val="24"/>
        </w:rPr>
        <w:t xml:space="preserve"> this new stance was a departure from the content and thrust of the joint plea filed where this was never taken as an issue.</w:t>
      </w:r>
    </w:p>
    <w:p w:rsidR="004319AB" w:rsidRDefault="004319AB"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Secondly, even in his proposed summary of evidence filed on 4 March 2010, the second defendant had not raised this new ground of his defence to the plaintiff’s claim.</w:t>
      </w:r>
    </w:p>
    <w:p w:rsidR="004319AB" w:rsidRDefault="004319AB"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Such approach adopted by the second defendant, is a desperat</w:t>
      </w:r>
      <w:r w:rsidR="00C05F9B">
        <w:rPr>
          <w:rFonts w:ascii="Times New Roman" w:hAnsi="Times New Roman" w:cs="Times New Roman"/>
          <w:sz w:val="24"/>
          <w:szCs w:val="24"/>
        </w:rPr>
        <w:t xml:space="preserve">e attempt to avoid the </w:t>
      </w:r>
      <w:proofErr w:type="spellStart"/>
      <w:r w:rsidR="00C05F9B">
        <w:rPr>
          <w:rFonts w:ascii="Times New Roman" w:hAnsi="Times New Roman" w:cs="Times New Roman"/>
          <w:sz w:val="24"/>
          <w:szCs w:val="24"/>
        </w:rPr>
        <w:t>abvious</w:t>
      </w:r>
      <w:proofErr w:type="spellEnd"/>
      <w:r w:rsidR="00C05F9B">
        <w:rPr>
          <w:rFonts w:ascii="Times New Roman" w:hAnsi="Times New Roman" w:cs="Times New Roman"/>
          <w:sz w:val="24"/>
          <w:szCs w:val="24"/>
        </w:rPr>
        <w:t xml:space="preserve"> </w:t>
      </w:r>
      <w:r>
        <w:rPr>
          <w:rFonts w:ascii="Times New Roman" w:hAnsi="Times New Roman" w:cs="Times New Roman"/>
          <w:sz w:val="24"/>
          <w:szCs w:val="24"/>
        </w:rPr>
        <w:t>for in ci</w:t>
      </w:r>
      <w:r w:rsidR="0088150F">
        <w:rPr>
          <w:rFonts w:ascii="Times New Roman" w:hAnsi="Times New Roman" w:cs="Times New Roman"/>
          <w:sz w:val="24"/>
          <w:szCs w:val="24"/>
        </w:rPr>
        <w:t>vil proceedings one’s plea must form the foundation of one’s case.  That plea cannot be embellished at every window of opportunity that presents itself to the defendant.  If that happens, like in this case, the defendant can only present himself in bad light to the court.</w:t>
      </w:r>
    </w:p>
    <w:p w:rsidR="008C5162" w:rsidRDefault="0088150F"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justifying the quantum for damages, the plaintiff did not only present to the court three quotations as is the practice but went further to rely on the evidence of one Clever </w:t>
      </w:r>
      <w:proofErr w:type="spellStart"/>
      <w:r>
        <w:rPr>
          <w:rFonts w:ascii="Times New Roman" w:hAnsi="Times New Roman" w:cs="Times New Roman"/>
          <w:sz w:val="24"/>
          <w:szCs w:val="24"/>
        </w:rPr>
        <w:t>Feruka</w:t>
      </w:r>
      <w:proofErr w:type="spellEnd"/>
      <w:r>
        <w:rPr>
          <w:rFonts w:ascii="Times New Roman" w:hAnsi="Times New Roman" w:cs="Times New Roman"/>
          <w:sz w:val="24"/>
          <w:szCs w:val="24"/>
        </w:rPr>
        <w:t xml:space="preserve"> who for all intents and purposes the court accepted as an expert in assessing damages.  He carried with him 12-13 years of experience and is a </w:t>
      </w:r>
      <w:r w:rsidR="008C5162">
        <w:rPr>
          <w:rFonts w:ascii="Times New Roman" w:hAnsi="Times New Roman" w:cs="Times New Roman"/>
          <w:sz w:val="24"/>
          <w:szCs w:val="24"/>
        </w:rPr>
        <w:t>foreman at High Tech Panel Beaters (Pvt) Ltd which was mandated to repair the plaintiff’s motor vehicle.</w:t>
      </w:r>
    </w:p>
    <w:p w:rsidR="0088150F" w:rsidRDefault="008C5162"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w:t>
      </w:r>
      <w:proofErr w:type="spellStart"/>
      <w:r>
        <w:rPr>
          <w:rFonts w:ascii="Times New Roman" w:hAnsi="Times New Roman" w:cs="Times New Roman"/>
          <w:sz w:val="24"/>
          <w:szCs w:val="24"/>
        </w:rPr>
        <w:t>Feruka</w:t>
      </w:r>
      <w:proofErr w:type="spellEnd"/>
      <w:r>
        <w:rPr>
          <w:rFonts w:ascii="Times New Roman" w:hAnsi="Times New Roman" w:cs="Times New Roman"/>
          <w:sz w:val="24"/>
          <w:szCs w:val="24"/>
        </w:rPr>
        <w:t xml:space="preserve"> was brief and to the point.  He was impressive.  I am satisfied from his testimony that the cost of repairs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the plaintiff’s vehicle were necessary and the cost thereof fair and reasonable if regard is had to the other two competing quotations tendered.  I am certain the approach adopted in the quantification of damages to the plaintiff’s vehicle is in</w:t>
      </w:r>
      <w:r w:rsidR="00EC5FD0">
        <w:rPr>
          <w:rFonts w:ascii="Times New Roman" w:hAnsi="Times New Roman" w:cs="Times New Roman"/>
          <w:sz w:val="24"/>
          <w:szCs w:val="24"/>
        </w:rPr>
        <w:t xml:space="preserve"> line with the ratio</w:t>
      </w:r>
      <w:r w:rsidR="006C0C45">
        <w:rPr>
          <w:rFonts w:ascii="Times New Roman" w:hAnsi="Times New Roman" w:cs="Times New Roman"/>
          <w:sz w:val="24"/>
          <w:szCs w:val="24"/>
        </w:rPr>
        <w:t xml:space="preserve"> pronounce</w:t>
      </w:r>
      <w:r>
        <w:rPr>
          <w:rFonts w:ascii="Times New Roman" w:hAnsi="Times New Roman" w:cs="Times New Roman"/>
          <w:sz w:val="24"/>
          <w:szCs w:val="24"/>
        </w:rPr>
        <w:t>d</w:t>
      </w:r>
      <w:r w:rsidR="006C0C45">
        <w:rPr>
          <w:rFonts w:ascii="Times New Roman" w:hAnsi="Times New Roman" w:cs="Times New Roman"/>
          <w:sz w:val="24"/>
          <w:szCs w:val="24"/>
        </w:rPr>
        <w:t xml:space="preserve"> </w:t>
      </w:r>
      <w:r>
        <w:rPr>
          <w:rFonts w:ascii="Times New Roman" w:hAnsi="Times New Roman" w:cs="Times New Roman"/>
          <w:sz w:val="24"/>
          <w:szCs w:val="24"/>
        </w:rPr>
        <w:t xml:space="preserve">in the case of </w:t>
      </w:r>
      <w:r w:rsidR="006C0C45" w:rsidRPr="008C63FF">
        <w:rPr>
          <w:rFonts w:ascii="Times New Roman" w:hAnsi="Times New Roman" w:cs="Times New Roman"/>
          <w:i/>
          <w:sz w:val="24"/>
          <w:szCs w:val="24"/>
        </w:rPr>
        <w:t>Heath V L.E. Grange</w:t>
      </w:r>
      <w:r w:rsidR="006C0C45">
        <w:rPr>
          <w:rFonts w:ascii="Times New Roman" w:hAnsi="Times New Roman" w:cs="Times New Roman"/>
          <w:sz w:val="24"/>
          <w:szCs w:val="24"/>
        </w:rPr>
        <w:t>.</w:t>
      </w:r>
      <w:r w:rsidR="006C0C45">
        <w:rPr>
          <w:rStyle w:val="FootnoteReference"/>
          <w:rFonts w:ascii="Times New Roman" w:hAnsi="Times New Roman" w:cs="Times New Roman"/>
          <w:sz w:val="24"/>
          <w:szCs w:val="24"/>
        </w:rPr>
        <w:footnoteReference w:id="1"/>
      </w:r>
    </w:p>
    <w:p w:rsidR="006C0C45" w:rsidRDefault="008C63FF"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all the circumstances of this case I am satisfied that the plaintiff has established </w:t>
      </w:r>
      <w:r w:rsidR="00EC5FD0">
        <w:rPr>
          <w:rFonts w:ascii="Times New Roman" w:hAnsi="Times New Roman" w:cs="Times New Roman"/>
          <w:sz w:val="24"/>
          <w:szCs w:val="24"/>
        </w:rPr>
        <w:t>to the satisfaction of the court the extent and cost of repairs to his motor vehicle.</w:t>
      </w:r>
    </w:p>
    <w:p w:rsidR="008C63FF" w:rsidRDefault="008C63FF"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However</w:t>
      </w:r>
      <w:r w:rsidR="00B02F57">
        <w:rPr>
          <w:rFonts w:ascii="Times New Roman" w:hAnsi="Times New Roman" w:cs="Times New Roman"/>
          <w:sz w:val="24"/>
          <w:szCs w:val="24"/>
        </w:rPr>
        <w:t xml:space="preserve">, the enquiry does not end here.  It will be remembered that during the course of this trial, pursuant to an enquiry made by the court, the plaintiff revealed for the first time to court, that he had been paid the same amount he was claiming in this action by his insurers and incidentally his employers </w:t>
      </w:r>
      <w:proofErr w:type="spellStart"/>
      <w:r w:rsidR="00B02F57">
        <w:rPr>
          <w:rFonts w:ascii="Times New Roman" w:hAnsi="Times New Roman" w:cs="Times New Roman"/>
          <w:sz w:val="24"/>
          <w:szCs w:val="24"/>
        </w:rPr>
        <w:t>Altfin</w:t>
      </w:r>
      <w:proofErr w:type="spellEnd"/>
      <w:r w:rsidR="00B02F57">
        <w:rPr>
          <w:rFonts w:ascii="Times New Roman" w:hAnsi="Times New Roman" w:cs="Times New Roman"/>
          <w:sz w:val="24"/>
          <w:szCs w:val="24"/>
        </w:rPr>
        <w:t xml:space="preserve"> Insurance Company Ltd.</w:t>
      </w:r>
    </w:p>
    <w:p w:rsidR="00B02F57" w:rsidRDefault="00B02F57"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revelation by the plaintiff brought to the f</w:t>
      </w:r>
      <w:r w:rsidR="00EC5FD0">
        <w:rPr>
          <w:rFonts w:ascii="Times New Roman" w:hAnsi="Times New Roman" w:cs="Times New Roman"/>
          <w:sz w:val="24"/>
          <w:szCs w:val="24"/>
        </w:rPr>
        <w:t>o</w:t>
      </w:r>
      <w:r>
        <w:rPr>
          <w:rFonts w:ascii="Times New Roman" w:hAnsi="Times New Roman" w:cs="Times New Roman"/>
          <w:sz w:val="24"/>
          <w:szCs w:val="24"/>
        </w:rPr>
        <w:t xml:space="preserve">re the issue of plaintiff’s </w:t>
      </w:r>
      <w:r w:rsidRPr="00B02F57">
        <w:rPr>
          <w:rFonts w:ascii="Times New Roman" w:hAnsi="Times New Roman" w:cs="Times New Roman"/>
          <w:i/>
          <w:sz w:val="24"/>
          <w:szCs w:val="24"/>
        </w:rPr>
        <w:t xml:space="preserve">locus </w:t>
      </w:r>
      <w:proofErr w:type="spellStart"/>
      <w:r w:rsidRPr="00B02F57">
        <w:rPr>
          <w:rFonts w:ascii="Times New Roman" w:hAnsi="Times New Roman" w:cs="Times New Roman"/>
          <w:i/>
          <w:sz w:val="24"/>
          <w:szCs w:val="24"/>
        </w:rPr>
        <w:t>standi</w:t>
      </w:r>
      <w:proofErr w:type="spellEnd"/>
      <w:r w:rsidRPr="00B02F57">
        <w:rPr>
          <w:rFonts w:ascii="Times New Roman" w:hAnsi="Times New Roman" w:cs="Times New Roman"/>
          <w:i/>
          <w:sz w:val="24"/>
          <w:szCs w:val="24"/>
        </w:rPr>
        <w:t xml:space="preserve"> </w:t>
      </w:r>
      <w:r w:rsidRPr="004822AD">
        <w:rPr>
          <w:rFonts w:ascii="Times New Roman" w:hAnsi="Times New Roman" w:cs="Times New Roman"/>
          <w:sz w:val="24"/>
          <w:szCs w:val="24"/>
        </w:rPr>
        <w:t>in</w:t>
      </w:r>
      <w:r w:rsidRPr="00B02F57">
        <w:rPr>
          <w:rFonts w:ascii="Times New Roman" w:hAnsi="Times New Roman" w:cs="Times New Roman"/>
          <w:i/>
          <w:sz w:val="24"/>
          <w:szCs w:val="24"/>
        </w:rPr>
        <w:t xml:space="preserve"> </w:t>
      </w:r>
      <w:proofErr w:type="spellStart"/>
      <w:r w:rsidR="00600AAA">
        <w:rPr>
          <w:rFonts w:ascii="Times New Roman" w:hAnsi="Times New Roman" w:cs="Times New Roman"/>
          <w:i/>
          <w:sz w:val="24"/>
          <w:szCs w:val="24"/>
        </w:rPr>
        <w:t>judicio</w:t>
      </w:r>
      <w:proofErr w:type="spellEnd"/>
      <w:r w:rsidR="00600AAA">
        <w:rPr>
          <w:rFonts w:ascii="Times New Roman" w:hAnsi="Times New Roman" w:cs="Times New Roman"/>
          <w:sz w:val="24"/>
          <w:szCs w:val="24"/>
        </w:rPr>
        <w:t xml:space="preserve"> in bringing up this action and this then triggered the consideration of the principle of subrogation.</w:t>
      </w:r>
    </w:p>
    <w:p w:rsidR="00600AAA" w:rsidRPr="00600AAA" w:rsidRDefault="00600AAA" w:rsidP="00512D79">
      <w:pPr>
        <w:pStyle w:val="NoSpacing"/>
        <w:spacing w:line="360" w:lineRule="auto"/>
        <w:jc w:val="both"/>
        <w:rPr>
          <w:rFonts w:ascii="Times New Roman" w:hAnsi="Times New Roman" w:cs="Times New Roman"/>
          <w:b/>
          <w:sz w:val="24"/>
          <w:szCs w:val="24"/>
          <w:u w:val="single"/>
        </w:rPr>
      </w:pPr>
      <w:r w:rsidRPr="00600AAA">
        <w:rPr>
          <w:rFonts w:ascii="Times New Roman" w:hAnsi="Times New Roman" w:cs="Times New Roman"/>
          <w:b/>
          <w:sz w:val="24"/>
          <w:szCs w:val="24"/>
          <w:u w:val="single"/>
        </w:rPr>
        <w:t>SUBROGATION</w:t>
      </w:r>
    </w:p>
    <w:p w:rsidR="00600AAA" w:rsidRDefault="00600AAA"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plaintiff gave a spirited and persuasive argument calculated to justify that at law the plaintiff had a recognised right to bring this action against the defendants.  Counsel referred me to several authorities which I </w:t>
      </w:r>
      <w:r w:rsidR="00044304">
        <w:rPr>
          <w:rFonts w:ascii="Times New Roman" w:hAnsi="Times New Roman" w:cs="Times New Roman"/>
          <w:sz w:val="24"/>
          <w:szCs w:val="24"/>
        </w:rPr>
        <w:t>found to be quite instructive</w:t>
      </w:r>
      <w:r w:rsidR="00312587">
        <w:rPr>
          <w:rFonts w:ascii="Times New Roman" w:hAnsi="Times New Roman" w:cs="Times New Roman"/>
          <w:sz w:val="24"/>
          <w:szCs w:val="24"/>
        </w:rPr>
        <w:t>.</w:t>
      </w:r>
    </w:p>
    <w:p w:rsidR="00312587" w:rsidRDefault="00312587"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Defendants counsel held a completely different view.  Her view</w:t>
      </w:r>
      <w:r w:rsidR="00044304">
        <w:rPr>
          <w:rFonts w:ascii="Times New Roman" w:hAnsi="Times New Roman" w:cs="Times New Roman"/>
          <w:sz w:val="24"/>
          <w:szCs w:val="24"/>
        </w:rPr>
        <w:t>,</w:t>
      </w:r>
      <w:r>
        <w:rPr>
          <w:rFonts w:ascii="Times New Roman" w:hAnsi="Times New Roman" w:cs="Times New Roman"/>
          <w:sz w:val="24"/>
          <w:szCs w:val="24"/>
        </w:rPr>
        <w:t xml:space="preserve"> well expressed in the various authorities she cited was that the plaintiff, having been indemnified by his insurer </w:t>
      </w:r>
      <w:r>
        <w:rPr>
          <w:rFonts w:ascii="Times New Roman" w:hAnsi="Times New Roman" w:cs="Times New Roman"/>
          <w:sz w:val="24"/>
          <w:szCs w:val="24"/>
        </w:rPr>
        <w:lastRenderedPageBreak/>
        <w:t>could not possibly have had a right to in</w:t>
      </w:r>
      <w:r w:rsidR="00634729">
        <w:rPr>
          <w:rFonts w:ascii="Times New Roman" w:hAnsi="Times New Roman" w:cs="Times New Roman"/>
          <w:sz w:val="24"/>
          <w:szCs w:val="24"/>
        </w:rPr>
        <w:t>i</w:t>
      </w:r>
      <w:r>
        <w:rPr>
          <w:rFonts w:ascii="Times New Roman" w:hAnsi="Times New Roman" w:cs="Times New Roman"/>
          <w:sz w:val="24"/>
          <w:szCs w:val="24"/>
        </w:rPr>
        <w:t xml:space="preserve">tiate action against the defendants to recover the </w:t>
      </w:r>
      <w:r w:rsidR="00634729">
        <w:rPr>
          <w:rFonts w:ascii="Times New Roman" w:hAnsi="Times New Roman" w:cs="Times New Roman"/>
          <w:sz w:val="24"/>
          <w:szCs w:val="24"/>
        </w:rPr>
        <w:t>same amount paid to him</w:t>
      </w:r>
      <w:r w:rsidR="00685092">
        <w:rPr>
          <w:rFonts w:ascii="Times New Roman" w:hAnsi="Times New Roman" w:cs="Times New Roman"/>
          <w:sz w:val="24"/>
          <w:szCs w:val="24"/>
        </w:rPr>
        <w:t xml:space="preserve">.  In support of her position counsel sought </w:t>
      </w:r>
      <w:r w:rsidR="00685092" w:rsidRPr="00685092">
        <w:rPr>
          <w:rFonts w:ascii="Times New Roman" w:hAnsi="Times New Roman" w:cs="Times New Roman"/>
          <w:i/>
          <w:sz w:val="24"/>
          <w:szCs w:val="24"/>
        </w:rPr>
        <w:t xml:space="preserve">inter alia </w:t>
      </w:r>
      <w:r w:rsidR="00685092">
        <w:rPr>
          <w:rFonts w:ascii="Times New Roman" w:hAnsi="Times New Roman" w:cs="Times New Roman"/>
          <w:sz w:val="24"/>
          <w:szCs w:val="24"/>
        </w:rPr>
        <w:t xml:space="preserve">to lean on the ratio stated in the case of </w:t>
      </w:r>
      <w:r w:rsidR="00685092" w:rsidRPr="008A4618">
        <w:rPr>
          <w:rFonts w:ascii="Times New Roman" w:hAnsi="Times New Roman" w:cs="Times New Roman"/>
          <w:i/>
          <w:sz w:val="24"/>
          <w:szCs w:val="24"/>
        </w:rPr>
        <w:t xml:space="preserve">Ackerman v </w:t>
      </w:r>
      <w:proofErr w:type="spellStart"/>
      <w:r w:rsidR="00685092" w:rsidRPr="008A4618">
        <w:rPr>
          <w:rFonts w:ascii="Times New Roman" w:hAnsi="Times New Roman" w:cs="Times New Roman"/>
          <w:i/>
          <w:sz w:val="24"/>
          <w:szCs w:val="24"/>
        </w:rPr>
        <w:t>Loubser</w:t>
      </w:r>
      <w:proofErr w:type="spellEnd"/>
      <w:r w:rsidR="00685092">
        <w:rPr>
          <w:rFonts w:ascii="Times New Roman" w:hAnsi="Times New Roman" w:cs="Times New Roman"/>
          <w:sz w:val="24"/>
          <w:szCs w:val="24"/>
        </w:rPr>
        <w:t>.</w:t>
      </w:r>
      <w:r w:rsidR="00685092">
        <w:rPr>
          <w:rStyle w:val="FootnoteReference"/>
          <w:rFonts w:ascii="Times New Roman" w:hAnsi="Times New Roman" w:cs="Times New Roman"/>
          <w:sz w:val="24"/>
          <w:szCs w:val="24"/>
        </w:rPr>
        <w:footnoteReference w:id="2"/>
      </w:r>
    </w:p>
    <w:p w:rsidR="00685092" w:rsidRDefault="00685092"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Perhaps before I deal with the issue </w:t>
      </w:r>
      <w:r w:rsidR="008A4618">
        <w:rPr>
          <w:rFonts w:ascii="Times New Roman" w:hAnsi="Times New Roman" w:cs="Times New Roman"/>
          <w:sz w:val="24"/>
          <w:szCs w:val="24"/>
        </w:rPr>
        <w:t>of subrogation</w:t>
      </w:r>
      <w:r w:rsidR="00C05F9B">
        <w:rPr>
          <w:rFonts w:ascii="Times New Roman" w:hAnsi="Times New Roman" w:cs="Times New Roman"/>
          <w:sz w:val="24"/>
          <w:szCs w:val="24"/>
        </w:rPr>
        <w:t xml:space="preserve">, </w:t>
      </w:r>
      <w:r w:rsidR="008A4618">
        <w:rPr>
          <w:rFonts w:ascii="Times New Roman" w:hAnsi="Times New Roman" w:cs="Times New Roman"/>
          <w:sz w:val="24"/>
          <w:szCs w:val="24"/>
        </w:rPr>
        <w:t xml:space="preserve">I should deal first with the implications of the pre-trial conference minute held by the parties which formed the basis for referral of this matter to court.  </w:t>
      </w:r>
      <w:r w:rsidR="005473C3">
        <w:rPr>
          <w:rFonts w:ascii="Times New Roman" w:hAnsi="Times New Roman" w:cs="Times New Roman"/>
          <w:sz w:val="24"/>
          <w:szCs w:val="24"/>
        </w:rPr>
        <w:t>One school of thought</w:t>
      </w:r>
      <w:r w:rsidR="008A4618">
        <w:rPr>
          <w:rFonts w:ascii="Times New Roman" w:hAnsi="Times New Roman" w:cs="Times New Roman"/>
          <w:sz w:val="24"/>
          <w:szCs w:val="24"/>
        </w:rPr>
        <w:t xml:space="preserve"> seems to be that once the parties have agreed on the pre-trial conference minute, that should form the basis of the subsequent trial proceedings and the </w:t>
      </w:r>
      <w:r w:rsidR="007E0941">
        <w:rPr>
          <w:rFonts w:ascii="Times New Roman" w:hAnsi="Times New Roman" w:cs="Times New Roman"/>
          <w:sz w:val="24"/>
          <w:szCs w:val="24"/>
        </w:rPr>
        <w:t>outcome of that trial must be determined by such issues as agreed at the pre-trial hearing.</w:t>
      </w:r>
      <w:r w:rsidR="008A4618">
        <w:rPr>
          <w:rFonts w:ascii="Times New Roman" w:hAnsi="Times New Roman" w:cs="Times New Roman"/>
          <w:sz w:val="24"/>
          <w:szCs w:val="24"/>
        </w:rPr>
        <w:t xml:space="preserve"> </w:t>
      </w:r>
    </w:p>
    <w:p w:rsidR="007E0941" w:rsidRDefault="007E0941"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473C3">
        <w:rPr>
          <w:rFonts w:ascii="Times New Roman" w:hAnsi="Times New Roman" w:cs="Times New Roman"/>
          <w:sz w:val="24"/>
          <w:szCs w:val="24"/>
        </w:rPr>
        <w:t>other competing position</w:t>
      </w:r>
      <w:r>
        <w:rPr>
          <w:rFonts w:ascii="Times New Roman" w:hAnsi="Times New Roman" w:cs="Times New Roman"/>
          <w:sz w:val="24"/>
          <w:szCs w:val="24"/>
        </w:rPr>
        <w:t xml:space="preserve"> is that whilst it is desirable to be guided by the pre-trial</w:t>
      </w:r>
      <w:r w:rsidR="005473C3">
        <w:rPr>
          <w:rFonts w:ascii="Times New Roman" w:hAnsi="Times New Roman" w:cs="Times New Roman"/>
          <w:sz w:val="24"/>
          <w:szCs w:val="24"/>
        </w:rPr>
        <w:t xml:space="preserve"> conference </w:t>
      </w:r>
      <w:r>
        <w:rPr>
          <w:rFonts w:ascii="Times New Roman" w:hAnsi="Times New Roman" w:cs="Times New Roman"/>
          <w:sz w:val="24"/>
          <w:szCs w:val="24"/>
        </w:rPr>
        <w:t xml:space="preserve">issues </w:t>
      </w:r>
      <w:r w:rsidR="005473C3">
        <w:rPr>
          <w:rFonts w:ascii="Times New Roman" w:hAnsi="Times New Roman" w:cs="Times New Roman"/>
          <w:sz w:val="24"/>
          <w:szCs w:val="24"/>
        </w:rPr>
        <w:t xml:space="preserve">as </w:t>
      </w:r>
      <w:r>
        <w:rPr>
          <w:rFonts w:ascii="Times New Roman" w:hAnsi="Times New Roman" w:cs="Times New Roman"/>
          <w:sz w:val="24"/>
          <w:szCs w:val="24"/>
        </w:rPr>
        <w:t xml:space="preserve">agreed, there </w:t>
      </w:r>
      <w:r w:rsidR="005473C3">
        <w:rPr>
          <w:rFonts w:ascii="Times New Roman" w:hAnsi="Times New Roman" w:cs="Times New Roman"/>
          <w:sz w:val="24"/>
          <w:szCs w:val="24"/>
        </w:rPr>
        <w:t xml:space="preserve">may be </w:t>
      </w:r>
      <w:r>
        <w:rPr>
          <w:rFonts w:ascii="Times New Roman" w:hAnsi="Times New Roman" w:cs="Times New Roman"/>
          <w:sz w:val="24"/>
          <w:szCs w:val="24"/>
        </w:rPr>
        <w:t xml:space="preserve">occasions </w:t>
      </w:r>
      <w:r w:rsidR="006D7257">
        <w:rPr>
          <w:rFonts w:ascii="Times New Roman" w:hAnsi="Times New Roman" w:cs="Times New Roman"/>
          <w:sz w:val="24"/>
          <w:szCs w:val="24"/>
        </w:rPr>
        <w:t>when the outcome of a case is determined on a completely different issue which may have completely escaped the attention of the parties as well as the judge presiding over such a pre-hearing meeting.</w:t>
      </w:r>
    </w:p>
    <w:p w:rsidR="006D7257" w:rsidRDefault="006D7257"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473C3">
        <w:rPr>
          <w:rFonts w:ascii="Times New Roman" w:hAnsi="Times New Roman" w:cs="Times New Roman"/>
          <w:sz w:val="24"/>
          <w:szCs w:val="24"/>
        </w:rPr>
        <w:t xml:space="preserve">The position that I take is that a </w:t>
      </w:r>
      <w:r>
        <w:rPr>
          <w:rFonts w:ascii="Times New Roman" w:hAnsi="Times New Roman" w:cs="Times New Roman"/>
          <w:sz w:val="24"/>
          <w:szCs w:val="24"/>
        </w:rPr>
        <w:t xml:space="preserve">pre-trial minute must never be looked upon as an immutable document but merely as </w:t>
      </w:r>
      <w:r w:rsidR="009003A3">
        <w:rPr>
          <w:rFonts w:ascii="Times New Roman" w:hAnsi="Times New Roman" w:cs="Times New Roman"/>
          <w:sz w:val="24"/>
          <w:szCs w:val="24"/>
        </w:rPr>
        <w:t xml:space="preserve">a </w:t>
      </w:r>
      <w:r>
        <w:rPr>
          <w:rFonts w:ascii="Times New Roman" w:hAnsi="Times New Roman" w:cs="Times New Roman"/>
          <w:sz w:val="24"/>
          <w:szCs w:val="24"/>
        </w:rPr>
        <w:t xml:space="preserve">guide.  It is a document which must not </w:t>
      </w:r>
      <w:r w:rsidR="009003A3">
        <w:rPr>
          <w:rFonts w:ascii="Times New Roman" w:hAnsi="Times New Roman" w:cs="Times New Roman"/>
          <w:sz w:val="24"/>
          <w:szCs w:val="24"/>
        </w:rPr>
        <w:t>enslave</w:t>
      </w:r>
      <w:r>
        <w:rPr>
          <w:rFonts w:ascii="Times New Roman" w:hAnsi="Times New Roman" w:cs="Times New Roman"/>
          <w:sz w:val="24"/>
          <w:szCs w:val="24"/>
        </w:rPr>
        <w:t xml:space="preserve"> or hold the presiding judge hostage.  It must be departed from where the ends of justice so demand like in this case where the determining issue arises unexpectedly.</w:t>
      </w:r>
    </w:p>
    <w:p w:rsidR="006D7257" w:rsidRDefault="006D7257"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Having taken the view that it is possible to expand the pre-trial issues</w:t>
      </w:r>
      <w:r w:rsidR="00E61D30">
        <w:rPr>
          <w:rFonts w:ascii="Times New Roman" w:hAnsi="Times New Roman" w:cs="Times New Roman"/>
          <w:sz w:val="24"/>
          <w:szCs w:val="24"/>
        </w:rPr>
        <w:t xml:space="preserve"> during the course of trial</w:t>
      </w:r>
      <w:r w:rsidR="004822AD">
        <w:rPr>
          <w:rFonts w:ascii="Times New Roman" w:hAnsi="Times New Roman" w:cs="Times New Roman"/>
          <w:sz w:val="24"/>
          <w:szCs w:val="24"/>
        </w:rPr>
        <w:t xml:space="preserve">, </w:t>
      </w:r>
      <w:r w:rsidR="00E61D30">
        <w:rPr>
          <w:rFonts w:ascii="Times New Roman" w:hAnsi="Times New Roman" w:cs="Times New Roman"/>
          <w:sz w:val="24"/>
          <w:szCs w:val="24"/>
        </w:rPr>
        <w:t xml:space="preserve">I must now go back and consider whether or not the plaintiff has </w:t>
      </w:r>
      <w:r w:rsidR="00E61D30" w:rsidRPr="00E61D30">
        <w:rPr>
          <w:rFonts w:ascii="Times New Roman" w:hAnsi="Times New Roman" w:cs="Times New Roman"/>
          <w:i/>
          <w:sz w:val="24"/>
          <w:szCs w:val="24"/>
        </w:rPr>
        <w:t xml:space="preserve">locus </w:t>
      </w:r>
      <w:proofErr w:type="spellStart"/>
      <w:r w:rsidR="00E61D30" w:rsidRPr="00E61D30">
        <w:rPr>
          <w:rFonts w:ascii="Times New Roman" w:hAnsi="Times New Roman" w:cs="Times New Roman"/>
          <w:i/>
          <w:sz w:val="24"/>
          <w:szCs w:val="24"/>
        </w:rPr>
        <w:t>standi</w:t>
      </w:r>
      <w:proofErr w:type="spellEnd"/>
      <w:r w:rsidR="00E61D30" w:rsidRPr="00E61D30">
        <w:rPr>
          <w:rFonts w:ascii="Times New Roman" w:hAnsi="Times New Roman" w:cs="Times New Roman"/>
          <w:i/>
          <w:sz w:val="24"/>
          <w:szCs w:val="24"/>
        </w:rPr>
        <w:t xml:space="preserve"> </w:t>
      </w:r>
      <w:r w:rsidR="00E61D30" w:rsidRPr="004822AD">
        <w:rPr>
          <w:rFonts w:ascii="Times New Roman" w:hAnsi="Times New Roman" w:cs="Times New Roman"/>
          <w:sz w:val="24"/>
          <w:szCs w:val="24"/>
        </w:rPr>
        <w:t>in</w:t>
      </w:r>
      <w:r w:rsidR="00E61D30" w:rsidRPr="00E61D30">
        <w:rPr>
          <w:rFonts w:ascii="Times New Roman" w:hAnsi="Times New Roman" w:cs="Times New Roman"/>
          <w:i/>
          <w:sz w:val="24"/>
          <w:szCs w:val="24"/>
        </w:rPr>
        <w:t xml:space="preserve"> </w:t>
      </w:r>
      <w:proofErr w:type="spellStart"/>
      <w:r w:rsidR="00E61D30" w:rsidRPr="00E61D30">
        <w:rPr>
          <w:rFonts w:ascii="Times New Roman" w:hAnsi="Times New Roman" w:cs="Times New Roman"/>
          <w:i/>
          <w:sz w:val="24"/>
          <w:szCs w:val="24"/>
        </w:rPr>
        <w:t>judicio</w:t>
      </w:r>
      <w:proofErr w:type="spellEnd"/>
      <w:r w:rsidR="00E61D30">
        <w:rPr>
          <w:rFonts w:ascii="Times New Roman" w:hAnsi="Times New Roman" w:cs="Times New Roman"/>
          <w:sz w:val="24"/>
          <w:szCs w:val="24"/>
        </w:rPr>
        <w:t xml:space="preserve"> to bring this action against the defendants in the light of him having been indemnified by his insures.</w:t>
      </w:r>
    </w:p>
    <w:p w:rsidR="00E61D30" w:rsidRDefault="00E61D30"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03A3">
        <w:rPr>
          <w:rFonts w:ascii="Times New Roman" w:hAnsi="Times New Roman" w:cs="Times New Roman"/>
          <w:sz w:val="24"/>
          <w:szCs w:val="24"/>
        </w:rPr>
        <w:t xml:space="preserve">By way of </w:t>
      </w:r>
      <w:proofErr w:type="gramStart"/>
      <w:r w:rsidR="009003A3">
        <w:rPr>
          <w:rFonts w:ascii="Times New Roman" w:hAnsi="Times New Roman" w:cs="Times New Roman"/>
          <w:sz w:val="24"/>
          <w:szCs w:val="24"/>
        </w:rPr>
        <w:t xml:space="preserve">definition  </w:t>
      </w:r>
      <w:r>
        <w:rPr>
          <w:rFonts w:ascii="Times New Roman" w:hAnsi="Times New Roman" w:cs="Times New Roman"/>
          <w:sz w:val="24"/>
          <w:szCs w:val="24"/>
        </w:rPr>
        <w:t>I</w:t>
      </w:r>
      <w:proofErr w:type="gramEnd"/>
      <w:r>
        <w:rPr>
          <w:rFonts w:ascii="Times New Roman" w:hAnsi="Times New Roman" w:cs="Times New Roman"/>
          <w:sz w:val="24"/>
          <w:szCs w:val="24"/>
        </w:rPr>
        <w:t xml:space="preserve"> </w:t>
      </w:r>
      <w:r w:rsidR="00F3796B">
        <w:rPr>
          <w:rFonts w:ascii="Times New Roman" w:hAnsi="Times New Roman" w:cs="Times New Roman"/>
          <w:sz w:val="24"/>
          <w:szCs w:val="24"/>
        </w:rPr>
        <w:t xml:space="preserve">find the following </w:t>
      </w:r>
      <w:r w:rsidR="005564EF">
        <w:rPr>
          <w:rFonts w:ascii="Times New Roman" w:hAnsi="Times New Roman" w:cs="Times New Roman"/>
          <w:sz w:val="24"/>
          <w:szCs w:val="24"/>
        </w:rPr>
        <w:t xml:space="preserve">to be quite instructive.  “Subrogation means the substitution of one person for another so that the person substituted or subrogated succeeds to the rights of the person whose place he takes.  It expresses the insurer’s right to </w:t>
      </w:r>
      <w:r w:rsidR="00666ED7">
        <w:rPr>
          <w:rFonts w:ascii="Times New Roman" w:hAnsi="Times New Roman" w:cs="Times New Roman"/>
          <w:sz w:val="24"/>
          <w:szCs w:val="24"/>
        </w:rPr>
        <w:t>b</w:t>
      </w:r>
      <w:r w:rsidR="005564EF">
        <w:rPr>
          <w:rFonts w:ascii="Times New Roman" w:hAnsi="Times New Roman" w:cs="Times New Roman"/>
          <w:sz w:val="24"/>
          <w:szCs w:val="24"/>
        </w:rPr>
        <w:t xml:space="preserve">e placed in the insured’s position so as to be entitled to the advantage of all the latter’s rights and remedies against the third parties.  </w:t>
      </w:r>
      <w:r w:rsidR="005564EF" w:rsidRPr="009003A3">
        <w:rPr>
          <w:rFonts w:ascii="Times New Roman" w:hAnsi="Times New Roman" w:cs="Times New Roman"/>
          <w:sz w:val="24"/>
          <w:szCs w:val="24"/>
          <w:u w:val="single"/>
        </w:rPr>
        <w:t>The law of subrogation rest on the principle that no</w:t>
      </w:r>
      <w:r w:rsidR="005564EF">
        <w:rPr>
          <w:rFonts w:ascii="Times New Roman" w:hAnsi="Times New Roman" w:cs="Times New Roman"/>
          <w:sz w:val="24"/>
          <w:szCs w:val="24"/>
        </w:rPr>
        <w:t xml:space="preserve"> </w:t>
      </w:r>
      <w:r w:rsidR="005564EF" w:rsidRPr="009003A3">
        <w:rPr>
          <w:rFonts w:ascii="Times New Roman" w:hAnsi="Times New Roman" w:cs="Times New Roman"/>
          <w:sz w:val="24"/>
          <w:szCs w:val="24"/>
          <w:u w:val="single"/>
        </w:rPr>
        <w:t>main should be paid twice over same loss</w:t>
      </w:r>
      <w:r w:rsidR="00FD4E09">
        <w:rPr>
          <w:rFonts w:ascii="Times New Roman" w:hAnsi="Times New Roman" w:cs="Times New Roman"/>
          <w:sz w:val="24"/>
          <w:szCs w:val="24"/>
        </w:rPr>
        <w:t xml:space="preserve">.” </w:t>
      </w:r>
      <w:r w:rsidR="00FD4E09">
        <w:rPr>
          <w:rStyle w:val="FootnoteReference"/>
          <w:rFonts w:ascii="Times New Roman" w:hAnsi="Times New Roman" w:cs="Times New Roman"/>
          <w:sz w:val="24"/>
          <w:szCs w:val="24"/>
        </w:rPr>
        <w:footnoteReference w:id="3"/>
      </w:r>
      <w:r w:rsidR="009003A3">
        <w:rPr>
          <w:rFonts w:ascii="Times New Roman" w:hAnsi="Times New Roman" w:cs="Times New Roman"/>
          <w:sz w:val="24"/>
          <w:szCs w:val="24"/>
        </w:rPr>
        <w:t xml:space="preserve"> </w:t>
      </w:r>
      <w:proofErr w:type="gramStart"/>
      <w:r w:rsidR="009003A3">
        <w:rPr>
          <w:rFonts w:ascii="Times New Roman" w:hAnsi="Times New Roman" w:cs="Times New Roman"/>
          <w:sz w:val="24"/>
          <w:szCs w:val="24"/>
        </w:rPr>
        <w:t>(My emphasis).</w:t>
      </w:r>
      <w:proofErr w:type="gramEnd"/>
    </w:p>
    <w:p w:rsidR="00FD4E09" w:rsidRDefault="00FD4E09" w:rsidP="00512D7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principle of law finds eloquent expression in</w:t>
      </w:r>
      <w:r w:rsidR="00C2076C">
        <w:rPr>
          <w:rFonts w:ascii="Times New Roman" w:hAnsi="Times New Roman" w:cs="Times New Roman"/>
          <w:sz w:val="24"/>
          <w:szCs w:val="24"/>
        </w:rPr>
        <w:t xml:space="preserve"> </w:t>
      </w:r>
      <w:r w:rsidR="009003A3">
        <w:rPr>
          <w:rFonts w:ascii="Times New Roman" w:hAnsi="Times New Roman" w:cs="Times New Roman"/>
          <w:sz w:val="24"/>
          <w:szCs w:val="24"/>
        </w:rPr>
        <w:t xml:space="preserve">among other authorities in </w:t>
      </w:r>
      <w:r>
        <w:rPr>
          <w:rFonts w:ascii="Times New Roman" w:hAnsi="Times New Roman" w:cs="Times New Roman"/>
          <w:sz w:val="24"/>
          <w:szCs w:val="24"/>
        </w:rPr>
        <w:t xml:space="preserve">the much celebrated case of </w:t>
      </w:r>
      <w:r w:rsidRPr="00FD4E09">
        <w:rPr>
          <w:rFonts w:ascii="Times New Roman" w:hAnsi="Times New Roman" w:cs="Times New Roman"/>
          <w:i/>
          <w:sz w:val="24"/>
          <w:szCs w:val="24"/>
        </w:rPr>
        <w:t xml:space="preserve">Ackerman v </w:t>
      </w:r>
      <w:proofErr w:type="spellStart"/>
      <w:r w:rsidRPr="00FD4E09">
        <w:rPr>
          <w:rFonts w:ascii="Times New Roman" w:hAnsi="Times New Roman" w:cs="Times New Roman"/>
          <w:i/>
          <w:sz w:val="24"/>
          <w:szCs w:val="24"/>
        </w:rPr>
        <w:t>Loubser</w:t>
      </w:r>
      <w:proofErr w:type="spellEnd"/>
      <w:r w:rsidRPr="00FD4E09">
        <w:rPr>
          <w:rFonts w:ascii="Times New Roman" w:hAnsi="Times New Roman" w:cs="Times New Roman"/>
          <w:i/>
          <w:sz w:val="24"/>
          <w:szCs w:val="24"/>
        </w:rPr>
        <w:t xml:space="preserve"> (supra)</w:t>
      </w:r>
      <w:r>
        <w:rPr>
          <w:rFonts w:ascii="Times New Roman" w:hAnsi="Times New Roman" w:cs="Times New Roman"/>
          <w:sz w:val="24"/>
          <w:szCs w:val="24"/>
        </w:rPr>
        <w:t xml:space="preserve"> where the headnote reads:</w:t>
      </w:r>
    </w:p>
    <w:p w:rsidR="00FD4E09" w:rsidRDefault="00FD4E09" w:rsidP="006A49E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a person insured against accident has the right to recover damages from a wrongdoer for any wrong done to him although he </w:t>
      </w:r>
      <w:r w:rsidR="00666ED7">
        <w:rPr>
          <w:rFonts w:ascii="Times New Roman" w:hAnsi="Times New Roman" w:cs="Times New Roman"/>
          <w:sz w:val="24"/>
          <w:szCs w:val="24"/>
        </w:rPr>
        <w:t xml:space="preserve">has </w:t>
      </w:r>
      <w:r>
        <w:rPr>
          <w:rFonts w:ascii="Times New Roman" w:hAnsi="Times New Roman" w:cs="Times New Roman"/>
          <w:sz w:val="24"/>
          <w:szCs w:val="24"/>
        </w:rPr>
        <w:t xml:space="preserve">already been compensated in respect of </w:t>
      </w:r>
      <w:r w:rsidR="00086F29">
        <w:rPr>
          <w:rFonts w:ascii="Times New Roman" w:hAnsi="Times New Roman" w:cs="Times New Roman"/>
          <w:sz w:val="24"/>
          <w:szCs w:val="24"/>
        </w:rPr>
        <w:lastRenderedPageBreak/>
        <w:t>s</w:t>
      </w:r>
      <w:r>
        <w:rPr>
          <w:rFonts w:ascii="Times New Roman" w:hAnsi="Times New Roman" w:cs="Times New Roman"/>
          <w:sz w:val="24"/>
          <w:szCs w:val="24"/>
        </w:rPr>
        <w:t>u</w:t>
      </w:r>
      <w:r w:rsidR="00086F29">
        <w:rPr>
          <w:rFonts w:ascii="Times New Roman" w:hAnsi="Times New Roman" w:cs="Times New Roman"/>
          <w:sz w:val="24"/>
          <w:szCs w:val="24"/>
        </w:rPr>
        <w:t>c</w:t>
      </w:r>
      <w:r>
        <w:rPr>
          <w:rFonts w:ascii="Times New Roman" w:hAnsi="Times New Roman" w:cs="Times New Roman"/>
          <w:sz w:val="24"/>
          <w:szCs w:val="24"/>
        </w:rPr>
        <w:t>h wrong by the insurers</w:t>
      </w:r>
      <w:r w:rsidR="00086F29">
        <w:rPr>
          <w:rFonts w:ascii="Times New Roman" w:hAnsi="Times New Roman" w:cs="Times New Roman"/>
          <w:sz w:val="24"/>
          <w:szCs w:val="24"/>
        </w:rPr>
        <w:t>, but, as the principle of subrogation is applicable in our law, the insured, if fully compensated by the insurer, becomes a trustee for any compens</w:t>
      </w:r>
      <w:r w:rsidR="00F95E9F">
        <w:rPr>
          <w:rFonts w:ascii="Times New Roman" w:hAnsi="Times New Roman" w:cs="Times New Roman"/>
          <w:sz w:val="24"/>
          <w:szCs w:val="24"/>
        </w:rPr>
        <w:t xml:space="preserve">ation paid him </w:t>
      </w:r>
      <w:r w:rsidR="00086F29">
        <w:rPr>
          <w:rFonts w:ascii="Times New Roman" w:hAnsi="Times New Roman" w:cs="Times New Roman"/>
          <w:sz w:val="24"/>
          <w:szCs w:val="24"/>
        </w:rPr>
        <w:t xml:space="preserve">by the wrongdoer and is bound to </w:t>
      </w:r>
      <w:r w:rsidR="00576ABC">
        <w:rPr>
          <w:rFonts w:ascii="Times New Roman" w:hAnsi="Times New Roman" w:cs="Times New Roman"/>
          <w:sz w:val="24"/>
          <w:szCs w:val="24"/>
        </w:rPr>
        <w:t>hand over to the insurer whatever money he receives from the wrongdoer over and above the actual loss he has sustained after taking into ac</w:t>
      </w:r>
      <w:r w:rsidR="00F95E9F">
        <w:rPr>
          <w:rFonts w:ascii="Times New Roman" w:hAnsi="Times New Roman" w:cs="Times New Roman"/>
          <w:sz w:val="24"/>
          <w:szCs w:val="24"/>
        </w:rPr>
        <w:t>count the amount he has receive</w:t>
      </w:r>
      <w:r w:rsidR="00576ABC">
        <w:rPr>
          <w:rFonts w:ascii="Times New Roman" w:hAnsi="Times New Roman" w:cs="Times New Roman"/>
          <w:sz w:val="24"/>
          <w:szCs w:val="24"/>
        </w:rPr>
        <w:t>d under the contract of insurance.</w:t>
      </w:r>
    </w:p>
    <w:p w:rsidR="00576ABC" w:rsidRDefault="00F95E9F" w:rsidP="006A49E3">
      <w:pPr>
        <w:pStyle w:val="NoSpacing"/>
        <w:ind w:left="720"/>
        <w:jc w:val="both"/>
        <w:rPr>
          <w:rFonts w:ascii="Times New Roman" w:hAnsi="Times New Roman" w:cs="Times New Roman"/>
          <w:sz w:val="24"/>
          <w:szCs w:val="24"/>
        </w:rPr>
      </w:pPr>
      <w:proofErr w:type="spellStart"/>
      <w:r>
        <w:rPr>
          <w:rFonts w:ascii="Times New Roman" w:hAnsi="Times New Roman" w:cs="Times New Roman"/>
          <w:sz w:val="24"/>
          <w:szCs w:val="24"/>
        </w:rPr>
        <w:t>Semble</w:t>
      </w:r>
      <w:proofErr w:type="spellEnd"/>
      <w:r>
        <w:rPr>
          <w:rFonts w:ascii="Times New Roman" w:hAnsi="Times New Roman" w:cs="Times New Roman"/>
          <w:sz w:val="24"/>
          <w:szCs w:val="24"/>
        </w:rPr>
        <w:t>:  A</w:t>
      </w:r>
      <w:r w:rsidR="00576ABC">
        <w:rPr>
          <w:rFonts w:ascii="Times New Roman" w:hAnsi="Times New Roman" w:cs="Times New Roman"/>
          <w:sz w:val="24"/>
          <w:szCs w:val="24"/>
        </w:rPr>
        <w:t xml:space="preserve">n insured </w:t>
      </w:r>
      <w:proofErr w:type="gramStart"/>
      <w:r w:rsidR="00576ABC">
        <w:rPr>
          <w:rFonts w:ascii="Times New Roman" w:hAnsi="Times New Roman" w:cs="Times New Roman"/>
          <w:sz w:val="24"/>
          <w:szCs w:val="24"/>
        </w:rPr>
        <w:t>who</w:t>
      </w:r>
      <w:proofErr w:type="gramEnd"/>
      <w:r w:rsidR="00576ABC">
        <w:rPr>
          <w:rFonts w:ascii="Times New Roman" w:hAnsi="Times New Roman" w:cs="Times New Roman"/>
          <w:sz w:val="24"/>
          <w:szCs w:val="24"/>
        </w:rPr>
        <w:t xml:space="preserve"> has been fully compensated by the insurer may cede his right of action against the wrongdoer to the insurer and the insurer may then sue in the name of the insured</w:t>
      </w:r>
      <w:r w:rsidR="006A49E3">
        <w:rPr>
          <w:rFonts w:ascii="Times New Roman" w:hAnsi="Times New Roman" w:cs="Times New Roman"/>
          <w:sz w:val="24"/>
          <w:szCs w:val="24"/>
        </w:rPr>
        <w:t>.”</w:t>
      </w:r>
      <w:r w:rsidR="006A49E3">
        <w:rPr>
          <w:rStyle w:val="FootnoteReference"/>
          <w:rFonts w:ascii="Times New Roman" w:hAnsi="Times New Roman" w:cs="Times New Roman"/>
          <w:sz w:val="24"/>
          <w:szCs w:val="24"/>
        </w:rPr>
        <w:footnoteReference w:id="4"/>
      </w:r>
    </w:p>
    <w:p w:rsidR="00204E37" w:rsidRDefault="00204E37" w:rsidP="006A49E3">
      <w:pPr>
        <w:pStyle w:val="NoSpacing"/>
        <w:ind w:left="720"/>
        <w:jc w:val="both"/>
        <w:rPr>
          <w:rFonts w:ascii="Times New Roman" w:hAnsi="Times New Roman" w:cs="Times New Roman"/>
          <w:sz w:val="24"/>
          <w:szCs w:val="24"/>
        </w:rPr>
      </w:pPr>
    </w:p>
    <w:p w:rsidR="00204E37" w:rsidRDefault="00204E37"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do make a firm observation and deduction from precedent that where the insured take</w:t>
      </w:r>
      <w:r w:rsidR="009003A3">
        <w:rPr>
          <w:rFonts w:ascii="Times New Roman" w:hAnsi="Times New Roman" w:cs="Times New Roman"/>
          <w:sz w:val="24"/>
          <w:szCs w:val="24"/>
        </w:rPr>
        <w:t>s</w:t>
      </w:r>
      <w:r>
        <w:rPr>
          <w:rFonts w:ascii="Times New Roman" w:hAnsi="Times New Roman" w:cs="Times New Roman"/>
          <w:sz w:val="24"/>
          <w:szCs w:val="24"/>
        </w:rPr>
        <w:t xml:space="preserve"> the initiative to institute action against </w:t>
      </w:r>
      <w:r w:rsidR="009003A3">
        <w:rPr>
          <w:rFonts w:ascii="Times New Roman" w:hAnsi="Times New Roman" w:cs="Times New Roman"/>
          <w:sz w:val="24"/>
          <w:szCs w:val="24"/>
        </w:rPr>
        <w:t>an offending party</w:t>
      </w:r>
      <w:r>
        <w:rPr>
          <w:rFonts w:ascii="Times New Roman" w:hAnsi="Times New Roman" w:cs="Times New Roman"/>
          <w:sz w:val="24"/>
          <w:szCs w:val="24"/>
        </w:rPr>
        <w:t xml:space="preserve"> like in the case before me, the pleadings must leave no one in any doubt that the insured is taking action for the benefit of his insurer.  Anything short of that would lead to the inevitable conclusion that he intends to have a double benefit over the same loss.  The court must not be left to speculate </w:t>
      </w:r>
      <w:r w:rsidR="009003A3">
        <w:rPr>
          <w:rFonts w:ascii="Times New Roman" w:hAnsi="Times New Roman" w:cs="Times New Roman"/>
          <w:sz w:val="24"/>
          <w:szCs w:val="24"/>
        </w:rPr>
        <w:t xml:space="preserve">as to whether </w:t>
      </w:r>
      <w:r>
        <w:rPr>
          <w:rFonts w:ascii="Times New Roman" w:hAnsi="Times New Roman" w:cs="Times New Roman"/>
          <w:sz w:val="24"/>
          <w:szCs w:val="24"/>
        </w:rPr>
        <w:t xml:space="preserve">the plaintiff may or may not hand over the benefits of his litigation to the insurer. </w:t>
      </w:r>
    </w:p>
    <w:p w:rsidR="00204E37" w:rsidRDefault="00204E37"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17334">
        <w:rPr>
          <w:rFonts w:ascii="Times New Roman" w:hAnsi="Times New Roman" w:cs="Times New Roman"/>
          <w:i/>
          <w:sz w:val="24"/>
          <w:szCs w:val="24"/>
        </w:rPr>
        <w:t xml:space="preserve">Ackerman v </w:t>
      </w:r>
      <w:proofErr w:type="spellStart"/>
      <w:r w:rsidRPr="00E17334">
        <w:rPr>
          <w:rFonts w:ascii="Times New Roman" w:hAnsi="Times New Roman" w:cs="Times New Roman"/>
          <w:i/>
          <w:sz w:val="24"/>
          <w:szCs w:val="24"/>
        </w:rPr>
        <w:t>Loubser</w:t>
      </w:r>
      <w:proofErr w:type="spellEnd"/>
      <w:r w:rsidRPr="00E17334">
        <w:rPr>
          <w:rFonts w:ascii="Times New Roman" w:hAnsi="Times New Roman" w:cs="Times New Roman"/>
          <w:i/>
          <w:sz w:val="24"/>
          <w:szCs w:val="24"/>
        </w:rPr>
        <w:t xml:space="preserve"> (supra</w:t>
      </w:r>
      <w:r>
        <w:rPr>
          <w:rFonts w:ascii="Times New Roman" w:hAnsi="Times New Roman" w:cs="Times New Roman"/>
          <w:sz w:val="24"/>
          <w:szCs w:val="24"/>
        </w:rPr>
        <w:t xml:space="preserve">) the pleadings made the plaintiff’s intention </w:t>
      </w:r>
      <w:r w:rsidR="00E17334">
        <w:rPr>
          <w:rFonts w:ascii="Times New Roman" w:hAnsi="Times New Roman" w:cs="Times New Roman"/>
          <w:sz w:val="24"/>
          <w:szCs w:val="24"/>
        </w:rPr>
        <w:t xml:space="preserve">abundantly clear and this is what his evidence stated.  “I am bringing the action to recover the amount of damage sustained.  The amount has been paid by the African Guarantee and Indemnity Company with whom the car was insured.  I produce the policy.  By condition 16 I am compelled to take action if requested by the company.  </w:t>
      </w:r>
      <w:r w:rsidR="00E17334" w:rsidRPr="00E17334">
        <w:rPr>
          <w:rFonts w:ascii="Times New Roman" w:hAnsi="Times New Roman" w:cs="Times New Roman"/>
          <w:sz w:val="24"/>
          <w:szCs w:val="24"/>
          <w:u w:val="single"/>
        </w:rPr>
        <w:t>The company have requested me to take action</w:t>
      </w:r>
      <w:r w:rsidR="00E17334">
        <w:rPr>
          <w:rFonts w:ascii="Times New Roman" w:hAnsi="Times New Roman" w:cs="Times New Roman"/>
          <w:sz w:val="24"/>
          <w:szCs w:val="24"/>
        </w:rPr>
        <w:t>.”  In cross-examination he states:  “The claim I bring before the court today has been paid on the understanding that I take action against the defendant….”</w:t>
      </w:r>
      <w:r w:rsidR="00BC7E58">
        <w:rPr>
          <w:rFonts w:ascii="Times New Roman" w:hAnsi="Times New Roman" w:cs="Times New Roman"/>
          <w:sz w:val="24"/>
          <w:szCs w:val="24"/>
        </w:rPr>
        <w:t xml:space="preserve"> </w:t>
      </w:r>
      <w:r w:rsidR="00E17334">
        <w:rPr>
          <w:rStyle w:val="FootnoteReference"/>
          <w:rFonts w:ascii="Times New Roman" w:hAnsi="Times New Roman" w:cs="Times New Roman"/>
          <w:sz w:val="24"/>
          <w:szCs w:val="24"/>
        </w:rPr>
        <w:footnoteReference w:id="5"/>
      </w:r>
    </w:p>
    <w:p w:rsidR="00BC7E58" w:rsidRDefault="00BC7E58"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Compare the plaintiff’s disclosure in Ackerman’s case (</w:t>
      </w:r>
      <w:r w:rsidRPr="00BC7E58">
        <w:rPr>
          <w:rFonts w:ascii="Times New Roman" w:hAnsi="Times New Roman" w:cs="Times New Roman"/>
          <w:i/>
          <w:sz w:val="24"/>
          <w:szCs w:val="24"/>
        </w:rPr>
        <w:t>supra</w:t>
      </w:r>
      <w:r>
        <w:rPr>
          <w:rFonts w:ascii="Times New Roman" w:hAnsi="Times New Roman" w:cs="Times New Roman"/>
          <w:sz w:val="24"/>
          <w:szCs w:val="24"/>
        </w:rPr>
        <w:t>) with the apparent non-disclosure by the plaintiff in the instant case.</w:t>
      </w:r>
    </w:p>
    <w:p w:rsidR="00BC7E58" w:rsidRDefault="00BC7E58"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Had the plaintiff not inadvertently revealed to the court that he had been indemnified, it is quite clear that the plaintiff intended t</w:t>
      </w:r>
      <w:r w:rsidR="004822AD">
        <w:rPr>
          <w:rFonts w:ascii="Times New Roman" w:hAnsi="Times New Roman" w:cs="Times New Roman"/>
          <w:sz w:val="24"/>
          <w:szCs w:val="24"/>
        </w:rPr>
        <w:t xml:space="preserve">o keep that development to </w:t>
      </w:r>
      <w:r w:rsidR="00E50CAE">
        <w:rPr>
          <w:rFonts w:ascii="Times New Roman" w:hAnsi="Times New Roman" w:cs="Times New Roman"/>
          <w:sz w:val="24"/>
          <w:szCs w:val="24"/>
        </w:rPr>
        <w:t>his</w:t>
      </w:r>
      <w:r w:rsidR="004822AD">
        <w:rPr>
          <w:rFonts w:ascii="Times New Roman" w:hAnsi="Times New Roman" w:cs="Times New Roman"/>
          <w:sz w:val="24"/>
          <w:szCs w:val="24"/>
        </w:rPr>
        <w:t xml:space="preserve"> </w:t>
      </w:r>
      <w:r>
        <w:rPr>
          <w:rFonts w:ascii="Times New Roman" w:hAnsi="Times New Roman" w:cs="Times New Roman"/>
          <w:sz w:val="24"/>
          <w:szCs w:val="24"/>
        </w:rPr>
        <w:t>breast.</w:t>
      </w:r>
    </w:p>
    <w:p w:rsidR="00C933C3" w:rsidRDefault="00BC7E58"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Even after the issue of</w:t>
      </w:r>
      <w:r w:rsidR="00E50CAE">
        <w:rPr>
          <w:rFonts w:ascii="Times New Roman" w:hAnsi="Times New Roman" w:cs="Times New Roman"/>
          <w:sz w:val="24"/>
          <w:szCs w:val="24"/>
        </w:rPr>
        <w:t xml:space="preserve"> his </w:t>
      </w:r>
      <w:bookmarkStart w:id="0" w:name="_GoBack"/>
      <w:bookmarkEnd w:id="0"/>
      <w:r>
        <w:rPr>
          <w:rFonts w:ascii="Times New Roman" w:hAnsi="Times New Roman" w:cs="Times New Roman"/>
          <w:sz w:val="24"/>
          <w:szCs w:val="24"/>
        </w:rPr>
        <w:t>indemnifi</w:t>
      </w:r>
      <w:r w:rsidR="00E50CAE">
        <w:rPr>
          <w:rFonts w:ascii="Times New Roman" w:hAnsi="Times New Roman" w:cs="Times New Roman"/>
          <w:sz w:val="24"/>
          <w:szCs w:val="24"/>
        </w:rPr>
        <w:t>c</w:t>
      </w:r>
      <w:r>
        <w:rPr>
          <w:rFonts w:ascii="Times New Roman" w:hAnsi="Times New Roman" w:cs="Times New Roman"/>
          <w:sz w:val="24"/>
          <w:szCs w:val="24"/>
        </w:rPr>
        <w:t xml:space="preserve">ation came to light, the plaintiff did not through his evidence advise </w:t>
      </w:r>
      <w:r w:rsidR="00E50CAE">
        <w:rPr>
          <w:rFonts w:ascii="Times New Roman" w:hAnsi="Times New Roman" w:cs="Times New Roman"/>
          <w:sz w:val="24"/>
          <w:szCs w:val="24"/>
        </w:rPr>
        <w:t xml:space="preserve">the </w:t>
      </w:r>
      <w:r w:rsidR="00C933C3">
        <w:rPr>
          <w:rFonts w:ascii="Times New Roman" w:hAnsi="Times New Roman" w:cs="Times New Roman"/>
          <w:sz w:val="24"/>
          <w:szCs w:val="24"/>
        </w:rPr>
        <w:t>court that he intended to hold the “fruits of his action” for the benefit of</w:t>
      </w:r>
      <w:r w:rsidR="00E50CAE">
        <w:rPr>
          <w:rFonts w:ascii="Times New Roman" w:hAnsi="Times New Roman" w:cs="Times New Roman"/>
          <w:sz w:val="24"/>
          <w:szCs w:val="24"/>
        </w:rPr>
        <w:t xml:space="preserve"> his insurer</w:t>
      </w:r>
      <w:r w:rsidR="00C933C3">
        <w:rPr>
          <w:rFonts w:ascii="Times New Roman" w:hAnsi="Times New Roman" w:cs="Times New Roman"/>
          <w:sz w:val="24"/>
          <w:szCs w:val="24"/>
        </w:rPr>
        <w:t>.</w:t>
      </w:r>
    </w:p>
    <w:p w:rsidR="00BC7E58" w:rsidRDefault="00C933C3"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To further compound his position, the plaintiff’s declaration and his summary of evidence deliberately withh</w:t>
      </w:r>
      <w:r w:rsidR="00E50CAE">
        <w:rPr>
          <w:rFonts w:ascii="Times New Roman" w:hAnsi="Times New Roman" w:cs="Times New Roman"/>
          <w:sz w:val="24"/>
          <w:szCs w:val="24"/>
        </w:rPr>
        <w:t>e</w:t>
      </w:r>
      <w:r>
        <w:rPr>
          <w:rFonts w:ascii="Times New Roman" w:hAnsi="Times New Roman" w:cs="Times New Roman"/>
          <w:sz w:val="24"/>
          <w:szCs w:val="24"/>
        </w:rPr>
        <w:t xml:space="preserve">ld this vital </w:t>
      </w:r>
      <w:r w:rsidR="00E50CAE">
        <w:rPr>
          <w:rFonts w:ascii="Times New Roman" w:hAnsi="Times New Roman" w:cs="Times New Roman"/>
          <w:sz w:val="24"/>
          <w:szCs w:val="24"/>
        </w:rPr>
        <w:t>information about his indemnific</w:t>
      </w:r>
      <w:r>
        <w:rPr>
          <w:rFonts w:ascii="Times New Roman" w:hAnsi="Times New Roman" w:cs="Times New Roman"/>
          <w:sz w:val="24"/>
          <w:szCs w:val="24"/>
        </w:rPr>
        <w:t>ation.  I am unable to countenance such level of dishonesty.  In my v</w:t>
      </w:r>
      <w:r w:rsidR="001570A3">
        <w:rPr>
          <w:rFonts w:ascii="Times New Roman" w:hAnsi="Times New Roman" w:cs="Times New Roman"/>
          <w:sz w:val="24"/>
          <w:szCs w:val="24"/>
        </w:rPr>
        <w:t>i</w:t>
      </w:r>
      <w:r>
        <w:rPr>
          <w:rFonts w:ascii="Times New Roman" w:hAnsi="Times New Roman" w:cs="Times New Roman"/>
          <w:sz w:val="24"/>
          <w:szCs w:val="24"/>
        </w:rPr>
        <w:t xml:space="preserve">ew all this was calculated to ensure </w:t>
      </w:r>
      <w:r w:rsidR="00E50CAE">
        <w:rPr>
          <w:rFonts w:ascii="Times New Roman" w:hAnsi="Times New Roman" w:cs="Times New Roman"/>
          <w:sz w:val="24"/>
          <w:szCs w:val="24"/>
        </w:rPr>
        <w:t xml:space="preserve">that </w:t>
      </w:r>
      <w:r>
        <w:rPr>
          <w:rFonts w:ascii="Times New Roman" w:hAnsi="Times New Roman" w:cs="Times New Roman"/>
          <w:sz w:val="24"/>
          <w:szCs w:val="24"/>
        </w:rPr>
        <w:t xml:space="preserve">the plaintiff would quietly enjoy a double benefit over a single loss knowing fully well that his </w:t>
      </w:r>
      <w:r>
        <w:rPr>
          <w:rFonts w:ascii="Times New Roman" w:hAnsi="Times New Roman" w:cs="Times New Roman"/>
          <w:sz w:val="24"/>
          <w:szCs w:val="24"/>
        </w:rPr>
        <w:lastRenderedPageBreak/>
        <w:t xml:space="preserve">insurer, </w:t>
      </w:r>
      <w:proofErr w:type="spellStart"/>
      <w:r>
        <w:rPr>
          <w:rFonts w:ascii="Times New Roman" w:hAnsi="Times New Roman" w:cs="Times New Roman"/>
          <w:sz w:val="24"/>
          <w:szCs w:val="24"/>
        </w:rPr>
        <w:t>Altfin</w:t>
      </w:r>
      <w:proofErr w:type="spellEnd"/>
      <w:r>
        <w:rPr>
          <w:rFonts w:ascii="Times New Roman" w:hAnsi="Times New Roman" w:cs="Times New Roman"/>
          <w:sz w:val="24"/>
          <w:szCs w:val="24"/>
        </w:rPr>
        <w:t xml:space="preserve"> Insurance had adequately indemnified him.  There is nothing on paper or in his </w:t>
      </w:r>
      <w:r w:rsidR="00F807B7">
        <w:rPr>
          <w:rFonts w:ascii="Times New Roman" w:hAnsi="Times New Roman" w:cs="Times New Roman"/>
          <w:sz w:val="24"/>
          <w:szCs w:val="24"/>
        </w:rPr>
        <w:t xml:space="preserve">evidence that his </w:t>
      </w:r>
      <w:r w:rsidR="001570A3">
        <w:rPr>
          <w:rFonts w:ascii="Times New Roman" w:hAnsi="Times New Roman" w:cs="Times New Roman"/>
          <w:sz w:val="24"/>
          <w:szCs w:val="24"/>
        </w:rPr>
        <w:t>actions were meant to b</w:t>
      </w:r>
      <w:r w:rsidR="00E50CAE">
        <w:rPr>
          <w:rFonts w:ascii="Times New Roman" w:hAnsi="Times New Roman" w:cs="Times New Roman"/>
          <w:sz w:val="24"/>
          <w:szCs w:val="24"/>
        </w:rPr>
        <w:t>enefit his insurer</w:t>
      </w:r>
      <w:r w:rsidR="001570A3">
        <w:rPr>
          <w:rFonts w:ascii="Times New Roman" w:hAnsi="Times New Roman" w:cs="Times New Roman"/>
          <w:sz w:val="24"/>
          <w:szCs w:val="24"/>
        </w:rPr>
        <w:t>.  If anything, there is overwhelming evidence that he intended to line up his pockets, thus running foul to the very basic principle of subrogation.  I am</w:t>
      </w:r>
      <w:r w:rsidR="008B66DE">
        <w:rPr>
          <w:rFonts w:ascii="Times New Roman" w:hAnsi="Times New Roman" w:cs="Times New Roman"/>
          <w:sz w:val="24"/>
          <w:szCs w:val="24"/>
        </w:rPr>
        <w:t xml:space="preserve"> unable to </w:t>
      </w:r>
      <w:r w:rsidR="00E50CAE">
        <w:rPr>
          <w:rFonts w:ascii="Times New Roman" w:hAnsi="Times New Roman" w:cs="Times New Roman"/>
          <w:sz w:val="24"/>
          <w:szCs w:val="24"/>
        </w:rPr>
        <w:t xml:space="preserve">positively </w:t>
      </w:r>
      <w:r w:rsidR="008B66DE">
        <w:rPr>
          <w:rFonts w:ascii="Times New Roman" w:hAnsi="Times New Roman" w:cs="Times New Roman"/>
          <w:sz w:val="24"/>
          <w:szCs w:val="24"/>
        </w:rPr>
        <w:t>r</w:t>
      </w:r>
      <w:r w:rsidR="001570A3">
        <w:rPr>
          <w:rFonts w:ascii="Times New Roman" w:hAnsi="Times New Roman" w:cs="Times New Roman"/>
          <w:sz w:val="24"/>
          <w:szCs w:val="24"/>
        </w:rPr>
        <w:t>eward the plaintiff’</w:t>
      </w:r>
      <w:r w:rsidR="008B66DE">
        <w:rPr>
          <w:rFonts w:ascii="Times New Roman" w:hAnsi="Times New Roman" w:cs="Times New Roman"/>
          <w:sz w:val="24"/>
          <w:szCs w:val="24"/>
        </w:rPr>
        <w:t>s non-</w:t>
      </w:r>
      <w:r w:rsidR="00E50CAE">
        <w:rPr>
          <w:rFonts w:ascii="Times New Roman" w:hAnsi="Times New Roman" w:cs="Times New Roman"/>
          <w:sz w:val="24"/>
          <w:szCs w:val="24"/>
        </w:rPr>
        <w:t>disclosure</w:t>
      </w:r>
      <w:r w:rsidR="008B66DE">
        <w:rPr>
          <w:rFonts w:ascii="Times New Roman" w:hAnsi="Times New Roman" w:cs="Times New Roman"/>
          <w:sz w:val="24"/>
          <w:szCs w:val="24"/>
        </w:rPr>
        <w:t>.</w:t>
      </w:r>
    </w:p>
    <w:p w:rsidR="008B66DE" w:rsidRDefault="008B66DE"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I am more than satisfied that the plaintiff has no </w:t>
      </w:r>
      <w:r w:rsidRPr="008B66DE">
        <w:rPr>
          <w:rFonts w:ascii="Times New Roman" w:hAnsi="Times New Roman" w:cs="Times New Roman"/>
          <w:i/>
          <w:sz w:val="24"/>
          <w:szCs w:val="24"/>
        </w:rPr>
        <w:t xml:space="preserve">locus </w:t>
      </w:r>
      <w:proofErr w:type="spellStart"/>
      <w:r w:rsidRPr="008B66DE">
        <w:rPr>
          <w:rFonts w:ascii="Times New Roman" w:hAnsi="Times New Roman" w:cs="Times New Roman"/>
          <w:i/>
          <w:sz w:val="24"/>
          <w:szCs w:val="24"/>
        </w:rPr>
        <w:t>standi</w:t>
      </w:r>
      <w:proofErr w:type="spellEnd"/>
      <w:r>
        <w:rPr>
          <w:rFonts w:ascii="Times New Roman" w:hAnsi="Times New Roman" w:cs="Times New Roman"/>
          <w:sz w:val="24"/>
          <w:szCs w:val="24"/>
        </w:rPr>
        <w:t xml:space="preserve"> in </w:t>
      </w:r>
      <w:proofErr w:type="spellStart"/>
      <w:r w:rsidRPr="008B66DE">
        <w:rPr>
          <w:rFonts w:ascii="Times New Roman" w:hAnsi="Times New Roman" w:cs="Times New Roman"/>
          <w:i/>
          <w:sz w:val="24"/>
          <w:szCs w:val="24"/>
        </w:rPr>
        <w:t>judicio</w:t>
      </w:r>
      <w:proofErr w:type="spellEnd"/>
      <w:r>
        <w:rPr>
          <w:rFonts w:ascii="Times New Roman" w:hAnsi="Times New Roman" w:cs="Times New Roman"/>
          <w:sz w:val="24"/>
          <w:szCs w:val="24"/>
        </w:rPr>
        <w:t xml:space="preserve"> to bring this action against the defendants.</w:t>
      </w:r>
    </w:p>
    <w:p w:rsidR="008B66DE" w:rsidRDefault="008B66DE" w:rsidP="004822A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this technicality the plaintiff’s action is dismissed with costs.</w:t>
      </w:r>
    </w:p>
    <w:p w:rsidR="00BA0856" w:rsidRDefault="00BA0856" w:rsidP="00204E37">
      <w:pPr>
        <w:pStyle w:val="NoSpacing"/>
        <w:spacing w:line="360" w:lineRule="auto"/>
        <w:ind w:left="720"/>
        <w:jc w:val="both"/>
        <w:rPr>
          <w:rFonts w:ascii="Times New Roman" w:hAnsi="Times New Roman" w:cs="Times New Roman"/>
          <w:sz w:val="24"/>
          <w:szCs w:val="24"/>
        </w:rPr>
      </w:pPr>
    </w:p>
    <w:p w:rsidR="004822AD" w:rsidRDefault="004822AD" w:rsidP="00204E37">
      <w:pPr>
        <w:pStyle w:val="NoSpacing"/>
        <w:spacing w:line="360" w:lineRule="auto"/>
        <w:ind w:left="720"/>
        <w:jc w:val="both"/>
        <w:rPr>
          <w:rFonts w:ascii="Times New Roman" w:hAnsi="Times New Roman" w:cs="Times New Roman"/>
          <w:sz w:val="24"/>
          <w:szCs w:val="24"/>
        </w:rPr>
      </w:pPr>
    </w:p>
    <w:p w:rsidR="004822AD" w:rsidRDefault="004822AD" w:rsidP="00204E37">
      <w:pPr>
        <w:pStyle w:val="NoSpacing"/>
        <w:spacing w:line="360" w:lineRule="auto"/>
        <w:ind w:left="720"/>
        <w:jc w:val="both"/>
        <w:rPr>
          <w:rFonts w:ascii="Times New Roman" w:hAnsi="Times New Roman" w:cs="Times New Roman"/>
          <w:sz w:val="24"/>
          <w:szCs w:val="24"/>
        </w:rPr>
      </w:pPr>
    </w:p>
    <w:p w:rsidR="00BA0856" w:rsidRDefault="00BA0856" w:rsidP="00204E37">
      <w:pPr>
        <w:pStyle w:val="NoSpacing"/>
        <w:spacing w:line="360" w:lineRule="auto"/>
        <w:ind w:left="720"/>
        <w:jc w:val="both"/>
        <w:rPr>
          <w:rFonts w:ascii="Times New Roman" w:hAnsi="Times New Roman" w:cs="Times New Roman"/>
          <w:sz w:val="24"/>
          <w:szCs w:val="24"/>
        </w:rPr>
      </w:pPr>
    </w:p>
    <w:p w:rsidR="00BA0856" w:rsidRPr="00BA0856" w:rsidRDefault="00BA0856" w:rsidP="00820347">
      <w:pPr>
        <w:pStyle w:val="NoSpacing"/>
        <w:jc w:val="both"/>
        <w:rPr>
          <w:rFonts w:ascii="Times New Roman" w:hAnsi="Times New Roman" w:cs="Times New Roman"/>
          <w:i/>
          <w:sz w:val="24"/>
          <w:szCs w:val="24"/>
        </w:rPr>
      </w:pPr>
      <w:r w:rsidRPr="00BA0856">
        <w:rPr>
          <w:rFonts w:ascii="Times New Roman" w:hAnsi="Times New Roman" w:cs="Times New Roman"/>
          <w:i/>
          <w:sz w:val="24"/>
          <w:szCs w:val="24"/>
        </w:rPr>
        <w:t xml:space="preserve">P. </w:t>
      </w:r>
      <w:proofErr w:type="spellStart"/>
      <w:r w:rsidRPr="00BA0856">
        <w:rPr>
          <w:rFonts w:ascii="Times New Roman" w:hAnsi="Times New Roman" w:cs="Times New Roman"/>
          <w:i/>
          <w:sz w:val="24"/>
          <w:szCs w:val="24"/>
        </w:rPr>
        <w:t>Taka</w:t>
      </w:r>
      <w:r w:rsidR="00B50416">
        <w:rPr>
          <w:rFonts w:ascii="Times New Roman" w:hAnsi="Times New Roman" w:cs="Times New Roman"/>
          <w:i/>
          <w:sz w:val="24"/>
          <w:szCs w:val="24"/>
        </w:rPr>
        <w:t>wa</w:t>
      </w:r>
      <w:r w:rsidRPr="00BA0856">
        <w:rPr>
          <w:rFonts w:ascii="Times New Roman" w:hAnsi="Times New Roman" w:cs="Times New Roman"/>
          <w:i/>
          <w:sz w:val="24"/>
          <w:szCs w:val="24"/>
        </w:rPr>
        <w:t>diyi</w:t>
      </w:r>
      <w:proofErr w:type="spellEnd"/>
      <w:r w:rsidRPr="00BA0856">
        <w:rPr>
          <w:rFonts w:ascii="Times New Roman" w:hAnsi="Times New Roman" w:cs="Times New Roman"/>
          <w:i/>
          <w:sz w:val="24"/>
          <w:szCs w:val="24"/>
        </w:rPr>
        <w:t xml:space="preserve"> and Associates, plaintiff’s legal practitioners</w:t>
      </w:r>
    </w:p>
    <w:p w:rsidR="00BA0856" w:rsidRPr="00BA0856" w:rsidRDefault="004822AD" w:rsidP="00820347">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M</w:t>
      </w:r>
      <w:r w:rsidR="00BA0856">
        <w:rPr>
          <w:rFonts w:ascii="Times New Roman" w:hAnsi="Times New Roman" w:cs="Times New Roman"/>
          <w:i/>
          <w:sz w:val="24"/>
          <w:szCs w:val="24"/>
        </w:rPr>
        <w:t>abuye</w:t>
      </w:r>
      <w:proofErr w:type="spellEnd"/>
      <w:r w:rsidR="00BA0856">
        <w:rPr>
          <w:rFonts w:ascii="Times New Roman" w:hAnsi="Times New Roman" w:cs="Times New Roman"/>
          <w:i/>
          <w:sz w:val="24"/>
          <w:szCs w:val="24"/>
        </w:rPr>
        <w:t xml:space="preserve"> and company, def</w:t>
      </w:r>
      <w:r w:rsidR="00BA0856" w:rsidRPr="00BA0856">
        <w:rPr>
          <w:rFonts w:ascii="Times New Roman" w:hAnsi="Times New Roman" w:cs="Times New Roman"/>
          <w:i/>
          <w:sz w:val="24"/>
          <w:szCs w:val="24"/>
        </w:rPr>
        <w:t xml:space="preserve">endants’ legal practitioners </w:t>
      </w:r>
    </w:p>
    <w:p w:rsidR="008B66DE" w:rsidRPr="00BC7E58" w:rsidRDefault="008B66DE" w:rsidP="00204E37">
      <w:pPr>
        <w:pStyle w:val="NoSpacing"/>
        <w:spacing w:line="360" w:lineRule="auto"/>
        <w:ind w:left="720"/>
        <w:jc w:val="both"/>
        <w:rPr>
          <w:rFonts w:ascii="Times New Roman" w:hAnsi="Times New Roman" w:cs="Times New Roman"/>
          <w:sz w:val="24"/>
          <w:szCs w:val="24"/>
        </w:rPr>
      </w:pPr>
    </w:p>
    <w:sectPr w:rsidR="008B66DE" w:rsidRPr="00BC7E58" w:rsidSect="00BC1E1F">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E21" w:rsidRDefault="00F35E21" w:rsidP="006C0C45">
      <w:pPr>
        <w:spacing w:after="0" w:line="240" w:lineRule="auto"/>
      </w:pPr>
      <w:r>
        <w:separator/>
      </w:r>
    </w:p>
  </w:endnote>
  <w:endnote w:type="continuationSeparator" w:id="0">
    <w:p w:rsidR="00F35E21" w:rsidRDefault="00F35E21" w:rsidP="006C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E21" w:rsidRDefault="00F35E21" w:rsidP="006C0C45">
      <w:pPr>
        <w:spacing w:after="0" w:line="240" w:lineRule="auto"/>
      </w:pPr>
      <w:r>
        <w:separator/>
      </w:r>
    </w:p>
  </w:footnote>
  <w:footnote w:type="continuationSeparator" w:id="0">
    <w:p w:rsidR="00F35E21" w:rsidRDefault="00F35E21" w:rsidP="006C0C45">
      <w:pPr>
        <w:spacing w:after="0" w:line="240" w:lineRule="auto"/>
      </w:pPr>
      <w:r>
        <w:continuationSeparator/>
      </w:r>
    </w:p>
  </w:footnote>
  <w:footnote w:id="1">
    <w:p w:rsidR="006C0C45" w:rsidRDefault="006C0C45">
      <w:pPr>
        <w:pStyle w:val="FootnoteText"/>
      </w:pPr>
      <w:r>
        <w:rPr>
          <w:rStyle w:val="FootnoteReference"/>
        </w:rPr>
        <w:footnoteRef/>
      </w:r>
      <w:r>
        <w:t xml:space="preserve"> 1974 (II) SA 262</w:t>
      </w:r>
    </w:p>
    <w:p w:rsidR="006C0C45" w:rsidRDefault="006C0C45">
      <w:pPr>
        <w:pStyle w:val="FootnoteText"/>
      </w:pPr>
    </w:p>
  </w:footnote>
  <w:footnote w:id="2">
    <w:p w:rsidR="00685092" w:rsidRDefault="00685092">
      <w:pPr>
        <w:pStyle w:val="FootnoteText"/>
      </w:pPr>
      <w:r>
        <w:rPr>
          <w:rStyle w:val="FootnoteReference"/>
        </w:rPr>
        <w:footnoteRef/>
      </w:r>
      <w:r>
        <w:t xml:space="preserve"> 1918 OPD 31 per WARD and MACGREGOR JJ</w:t>
      </w:r>
    </w:p>
  </w:footnote>
  <w:footnote w:id="3">
    <w:p w:rsidR="00FD4E09" w:rsidRDefault="00FD4E09">
      <w:pPr>
        <w:pStyle w:val="FootnoteText"/>
      </w:pPr>
      <w:r>
        <w:rPr>
          <w:rStyle w:val="FootnoteReference"/>
        </w:rPr>
        <w:footnoteRef/>
      </w:r>
      <w:r w:rsidR="004822AD">
        <w:t xml:space="preserve"> </w:t>
      </w:r>
      <w:proofErr w:type="gramStart"/>
      <w:r w:rsidR="004822AD">
        <w:t>The S</w:t>
      </w:r>
      <w:r>
        <w:t xml:space="preserve">outh African law of Insurance by Gordon and Getz, third edition, </w:t>
      </w:r>
      <w:proofErr w:type="spellStart"/>
      <w:r>
        <w:t>Juta</w:t>
      </w:r>
      <w:proofErr w:type="spellEnd"/>
      <w:r>
        <w:t xml:space="preserve"> &amp; Co Ltd 1983 p 243.</w:t>
      </w:r>
      <w:proofErr w:type="gramEnd"/>
    </w:p>
  </w:footnote>
  <w:footnote w:id="4">
    <w:p w:rsidR="006A49E3" w:rsidRDefault="006A49E3">
      <w:pPr>
        <w:pStyle w:val="FootnoteText"/>
      </w:pPr>
      <w:r>
        <w:rPr>
          <w:rStyle w:val="FootnoteReference"/>
        </w:rPr>
        <w:footnoteRef/>
      </w:r>
      <w:r>
        <w:t xml:space="preserve"> </w:t>
      </w:r>
      <w:r w:rsidR="00204E37">
        <w:t xml:space="preserve">Ackerman v </w:t>
      </w:r>
      <w:proofErr w:type="spellStart"/>
      <w:r w:rsidR="00204E37">
        <w:t>Loubser</w:t>
      </w:r>
      <w:proofErr w:type="spellEnd"/>
      <w:r w:rsidR="00204E37">
        <w:t xml:space="preserve"> p31</w:t>
      </w:r>
    </w:p>
  </w:footnote>
  <w:footnote w:id="5">
    <w:p w:rsidR="00E17334" w:rsidRDefault="00E17334">
      <w:pPr>
        <w:pStyle w:val="FootnoteText"/>
      </w:pPr>
      <w:r>
        <w:rPr>
          <w:rStyle w:val="FootnoteReference"/>
        </w:rPr>
        <w:footnoteRef/>
      </w:r>
      <w:r>
        <w:t xml:space="preserve"> </w:t>
      </w:r>
      <w:r w:rsidR="00BC7E58">
        <w:t xml:space="preserve">Ackerman v </w:t>
      </w:r>
      <w:proofErr w:type="spellStart"/>
      <w:r w:rsidR="00BC7E58">
        <w:t>Loubser</w:t>
      </w:r>
      <w:proofErr w:type="spellEnd"/>
      <w:r w:rsidR="00BC7E58">
        <w:t xml:space="preserve"> p33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462666"/>
      <w:docPartObj>
        <w:docPartGallery w:val="Page Numbers (Top of Page)"/>
        <w:docPartUnique/>
      </w:docPartObj>
    </w:sdtPr>
    <w:sdtEndPr>
      <w:rPr>
        <w:rFonts w:ascii="Times New Roman" w:hAnsi="Times New Roman" w:cs="Times New Roman"/>
        <w:noProof/>
        <w:sz w:val="24"/>
        <w:szCs w:val="24"/>
      </w:rPr>
    </w:sdtEndPr>
    <w:sdtContent>
      <w:p w:rsidR="002E002C" w:rsidRPr="002E002C" w:rsidRDefault="002E002C">
        <w:pPr>
          <w:pStyle w:val="Header"/>
          <w:rPr>
            <w:rFonts w:ascii="Times New Roman" w:hAnsi="Times New Roman" w:cs="Times New Roman"/>
            <w:noProof/>
            <w:sz w:val="24"/>
            <w:szCs w:val="24"/>
          </w:rPr>
        </w:pPr>
        <w:r w:rsidRPr="002E002C">
          <w:rPr>
            <w:rFonts w:ascii="Times New Roman" w:hAnsi="Times New Roman" w:cs="Times New Roman"/>
            <w:sz w:val="24"/>
            <w:szCs w:val="24"/>
          </w:rPr>
          <w:fldChar w:fldCharType="begin"/>
        </w:r>
        <w:r w:rsidRPr="002E002C">
          <w:rPr>
            <w:rFonts w:ascii="Times New Roman" w:hAnsi="Times New Roman" w:cs="Times New Roman"/>
            <w:sz w:val="24"/>
            <w:szCs w:val="24"/>
          </w:rPr>
          <w:instrText xml:space="preserve"> PAGE   \* MERGEFORMAT </w:instrText>
        </w:r>
        <w:r w:rsidRPr="002E002C">
          <w:rPr>
            <w:rFonts w:ascii="Times New Roman" w:hAnsi="Times New Roman" w:cs="Times New Roman"/>
            <w:sz w:val="24"/>
            <w:szCs w:val="24"/>
          </w:rPr>
          <w:fldChar w:fldCharType="separate"/>
        </w:r>
        <w:r w:rsidR="00664EB3">
          <w:rPr>
            <w:rFonts w:ascii="Times New Roman" w:hAnsi="Times New Roman" w:cs="Times New Roman"/>
            <w:noProof/>
            <w:sz w:val="24"/>
            <w:szCs w:val="24"/>
          </w:rPr>
          <w:t>6</w:t>
        </w:r>
        <w:r w:rsidRPr="002E002C">
          <w:rPr>
            <w:rFonts w:ascii="Times New Roman" w:hAnsi="Times New Roman" w:cs="Times New Roman"/>
            <w:noProof/>
            <w:sz w:val="24"/>
            <w:szCs w:val="24"/>
          </w:rPr>
          <w:fldChar w:fldCharType="end"/>
        </w:r>
      </w:p>
      <w:p w:rsidR="002E002C" w:rsidRPr="002E002C" w:rsidRDefault="002E002C">
        <w:pPr>
          <w:pStyle w:val="Header"/>
          <w:rPr>
            <w:rFonts w:ascii="Times New Roman" w:hAnsi="Times New Roman" w:cs="Times New Roman"/>
            <w:noProof/>
            <w:sz w:val="24"/>
            <w:szCs w:val="24"/>
          </w:rPr>
        </w:pPr>
        <w:r w:rsidRPr="002E002C">
          <w:rPr>
            <w:rFonts w:ascii="Times New Roman" w:hAnsi="Times New Roman" w:cs="Times New Roman"/>
            <w:noProof/>
            <w:sz w:val="24"/>
            <w:szCs w:val="24"/>
          </w:rPr>
          <w:t>HH 193-2011</w:t>
        </w:r>
      </w:p>
      <w:p w:rsidR="002E002C" w:rsidRPr="002E002C" w:rsidRDefault="002E002C">
        <w:pPr>
          <w:pStyle w:val="Header"/>
          <w:rPr>
            <w:rFonts w:ascii="Times New Roman" w:hAnsi="Times New Roman" w:cs="Times New Roman"/>
            <w:sz w:val="24"/>
            <w:szCs w:val="24"/>
          </w:rPr>
        </w:pPr>
        <w:r w:rsidRPr="002E002C">
          <w:rPr>
            <w:rFonts w:ascii="Times New Roman" w:hAnsi="Times New Roman" w:cs="Times New Roman"/>
            <w:noProof/>
            <w:sz w:val="24"/>
            <w:szCs w:val="24"/>
          </w:rPr>
          <w:t>HC 4725/09</w:t>
        </w:r>
      </w:p>
    </w:sdtContent>
  </w:sdt>
  <w:p w:rsidR="00BC1E1F" w:rsidRPr="00BC1E1F" w:rsidRDefault="00BC1E1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52089"/>
      <w:docPartObj>
        <w:docPartGallery w:val="Page Numbers (Top of Page)"/>
        <w:docPartUnique/>
      </w:docPartObj>
    </w:sdtPr>
    <w:sdtEndPr>
      <w:rPr>
        <w:rFonts w:ascii="Times New Roman" w:hAnsi="Times New Roman" w:cs="Times New Roman"/>
        <w:noProof/>
        <w:sz w:val="24"/>
        <w:szCs w:val="24"/>
      </w:rPr>
    </w:sdtEndPr>
    <w:sdtContent>
      <w:p w:rsidR="00BC1E1F" w:rsidRPr="002E002C" w:rsidRDefault="00BC1E1F">
        <w:pPr>
          <w:pStyle w:val="Header"/>
          <w:jc w:val="right"/>
          <w:rPr>
            <w:rFonts w:ascii="Times New Roman" w:hAnsi="Times New Roman" w:cs="Times New Roman"/>
            <w:noProof/>
            <w:sz w:val="24"/>
            <w:szCs w:val="24"/>
          </w:rPr>
        </w:pPr>
        <w:r w:rsidRPr="002E002C">
          <w:rPr>
            <w:rFonts w:ascii="Times New Roman" w:hAnsi="Times New Roman" w:cs="Times New Roman"/>
            <w:sz w:val="24"/>
            <w:szCs w:val="24"/>
          </w:rPr>
          <w:fldChar w:fldCharType="begin"/>
        </w:r>
        <w:r w:rsidRPr="002E002C">
          <w:rPr>
            <w:rFonts w:ascii="Times New Roman" w:hAnsi="Times New Roman" w:cs="Times New Roman"/>
            <w:sz w:val="24"/>
            <w:szCs w:val="24"/>
          </w:rPr>
          <w:instrText xml:space="preserve"> PAGE   \* MERGEFORMAT </w:instrText>
        </w:r>
        <w:r w:rsidRPr="002E002C">
          <w:rPr>
            <w:rFonts w:ascii="Times New Roman" w:hAnsi="Times New Roman" w:cs="Times New Roman"/>
            <w:sz w:val="24"/>
            <w:szCs w:val="24"/>
          </w:rPr>
          <w:fldChar w:fldCharType="separate"/>
        </w:r>
        <w:r w:rsidR="00664EB3">
          <w:rPr>
            <w:rFonts w:ascii="Times New Roman" w:hAnsi="Times New Roman" w:cs="Times New Roman"/>
            <w:noProof/>
            <w:sz w:val="24"/>
            <w:szCs w:val="24"/>
          </w:rPr>
          <w:t>5</w:t>
        </w:r>
        <w:r w:rsidRPr="002E002C">
          <w:rPr>
            <w:rFonts w:ascii="Times New Roman" w:hAnsi="Times New Roman" w:cs="Times New Roman"/>
            <w:noProof/>
            <w:sz w:val="24"/>
            <w:szCs w:val="24"/>
          </w:rPr>
          <w:fldChar w:fldCharType="end"/>
        </w:r>
      </w:p>
      <w:p w:rsidR="00BC1E1F" w:rsidRPr="002E002C" w:rsidRDefault="00BC1E1F">
        <w:pPr>
          <w:pStyle w:val="Header"/>
          <w:jc w:val="right"/>
          <w:rPr>
            <w:rFonts w:ascii="Times New Roman" w:hAnsi="Times New Roman" w:cs="Times New Roman"/>
            <w:noProof/>
            <w:sz w:val="24"/>
            <w:szCs w:val="24"/>
          </w:rPr>
        </w:pPr>
        <w:r w:rsidRPr="002E002C">
          <w:rPr>
            <w:rFonts w:ascii="Times New Roman" w:hAnsi="Times New Roman" w:cs="Times New Roman"/>
            <w:noProof/>
            <w:sz w:val="24"/>
            <w:szCs w:val="24"/>
          </w:rPr>
          <w:t>HH I93-2011</w:t>
        </w:r>
      </w:p>
      <w:p w:rsidR="00BC1E1F" w:rsidRPr="002E002C" w:rsidRDefault="00BC1E1F">
        <w:pPr>
          <w:pStyle w:val="Header"/>
          <w:jc w:val="right"/>
          <w:rPr>
            <w:rFonts w:ascii="Times New Roman" w:hAnsi="Times New Roman" w:cs="Times New Roman"/>
            <w:sz w:val="24"/>
            <w:szCs w:val="24"/>
          </w:rPr>
        </w:pPr>
        <w:r w:rsidRPr="002E002C">
          <w:rPr>
            <w:rFonts w:ascii="Times New Roman" w:hAnsi="Times New Roman" w:cs="Times New Roman"/>
            <w:noProof/>
            <w:sz w:val="24"/>
            <w:szCs w:val="24"/>
          </w:rPr>
          <w:t>HC 4725/09</w:t>
        </w:r>
      </w:p>
    </w:sdtContent>
  </w:sdt>
  <w:p w:rsidR="00B2255D" w:rsidRPr="002E002C" w:rsidRDefault="00B2255D">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5D" w:rsidRDefault="00BC1E1F" w:rsidP="00BC1E1F">
    <w:pPr>
      <w:pStyle w:val="Header"/>
      <w:jc w:val="right"/>
      <w:rPr>
        <w:rFonts w:ascii="Times New Roman" w:hAnsi="Times New Roman" w:cs="Times New Roman"/>
        <w:sz w:val="24"/>
        <w:szCs w:val="24"/>
      </w:rPr>
    </w:pPr>
    <w:r>
      <w:rPr>
        <w:rFonts w:ascii="Times New Roman" w:hAnsi="Times New Roman" w:cs="Times New Roman"/>
        <w:sz w:val="24"/>
        <w:szCs w:val="24"/>
      </w:rPr>
      <w:t>HH 193-2011</w:t>
    </w:r>
  </w:p>
  <w:p w:rsidR="00BC1E1F" w:rsidRPr="00BC1E1F" w:rsidRDefault="00BC1E1F" w:rsidP="00BC1E1F">
    <w:pPr>
      <w:pStyle w:val="Header"/>
      <w:jc w:val="right"/>
      <w:rPr>
        <w:rFonts w:ascii="Times New Roman" w:hAnsi="Times New Roman" w:cs="Times New Roman"/>
        <w:sz w:val="24"/>
        <w:szCs w:val="24"/>
      </w:rPr>
    </w:pPr>
    <w:r>
      <w:rPr>
        <w:rFonts w:ascii="Times New Roman" w:hAnsi="Times New Roman" w:cs="Times New Roman"/>
        <w:sz w:val="24"/>
        <w:szCs w:val="24"/>
      </w:rPr>
      <w:t>HC 4725/09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E9"/>
    <w:rsid w:val="000043C9"/>
    <w:rsid w:val="000121D7"/>
    <w:rsid w:val="00044304"/>
    <w:rsid w:val="00086F29"/>
    <w:rsid w:val="001570A3"/>
    <w:rsid w:val="00161170"/>
    <w:rsid w:val="001E28FB"/>
    <w:rsid w:val="001F0D6B"/>
    <w:rsid w:val="00204E37"/>
    <w:rsid w:val="00221D12"/>
    <w:rsid w:val="00267218"/>
    <w:rsid w:val="002E002C"/>
    <w:rsid w:val="00312587"/>
    <w:rsid w:val="00425A2E"/>
    <w:rsid w:val="004319AB"/>
    <w:rsid w:val="00442545"/>
    <w:rsid w:val="004822AD"/>
    <w:rsid w:val="004D284D"/>
    <w:rsid w:val="004F4511"/>
    <w:rsid w:val="00512D79"/>
    <w:rsid w:val="005473C3"/>
    <w:rsid w:val="005564EF"/>
    <w:rsid w:val="00576ABC"/>
    <w:rsid w:val="005977EE"/>
    <w:rsid w:val="00600AAA"/>
    <w:rsid w:val="00634729"/>
    <w:rsid w:val="00664EB3"/>
    <w:rsid w:val="00666ED7"/>
    <w:rsid w:val="00685092"/>
    <w:rsid w:val="006A49E3"/>
    <w:rsid w:val="006A787F"/>
    <w:rsid w:val="006C0C45"/>
    <w:rsid w:val="006D7257"/>
    <w:rsid w:val="0075584F"/>
    <w:rsid w:val="007C6003"/>
    <w:rsid w:val="007E0941"/>
    <w:rsid w:val="00820347"/>
    <w:rsid w:val="00821800"/>
    <w:rsid w:val="008255EB"/>
    <w:rsid w:val="0088150F"/>
    <w:rsid w:val="008A4618"/>
    <w:rsid w:val="008B4535"/>
    <w:rsid w:val="008B66DE"/>
    <w:rsid w:val="008C5162"/>
    <w:rsid w:val="008C63FF"/>
    <w:rsid w:val="009003A3"/>
    <w:rsid w:val="009A16C3"/>
    <w:rsid w:val="009A7C40"/>
    <w:rsid w:val="00A415CC"/>
    <w:rsid w:val="00A91FBA"/>
    <w:rsid w:val="00AF1B03"/>
    <w:rsid w:val="00B02F57"/>
    <w:rsid w:val="00B04D5D"/>
    <w:rsid w:val="00B2255D"/>
    <w:rsid w:val="00B50416"/>
    <w:rsid w:val="00BA0856"/>
    <w:rsid w:val="00BC1E1F"/>
    <w:rsid w:val="00BC7E58"/>
    <w:rsid w:val="00C05F9B"/>
    <w:rsid w:val="00C2076C"/>
    <w:rsid w:val="00C3658B"/>
    <w:rsid w:val="00C933C3"/>
    <w:rsid w:val="00CA59E9"/>
    <w:rsid w:val="00D1474A"/>
    <w:rsid w:val="00DD383C"/>
    <w:rsid w:val="00E001CC"/>
    <w:rsid w:val="00E17334"/>
    <w:rsid w:val="00E50CAE"/>
    <w:rsid w:val="00E61D30"/>
    <w:rsid w:val="00E85C9D"/>
    <w:rsid w:val="00EC5FD0"/>
    <w:rsid w:val="00F35E21"/>
    <w:rsid w:val="00F3796B"/>
    <w:rsid w:val="00F517E9"/>
    <w:rsid w:val="00F53345"/>
    <w:rsid w:val="00F807B7"/>
    <w:rsid w:val="00F95E9F"/>
    <w:rsid w:val="00FD4E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9E9"/>
    <w:pPr>
      <w:spacing w:after="0" w:line="240" w:lineRule="auto"/>
    </w:pPr>
  </w:style>
  <w:style w:type="paragraph" w:styleId="FootnoteText">
    <w:name w:val="footnote text"/>
    <w:basedOn w:val="Normal"/>
    <w:link w:val="FootnoteTextChar"/>
    <w:uiPriority w:val="99"/>
    <w:semiHidden/>
    <w:unhideWhenUsed/>
    <w:rsid w:val="006C0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C45"/>
    <w:rPr>
      <w:sz w:val="20"/>
      <w:szCs w:val="20"/>
    </w:rPr>
  </w:style>
  <w:style w:type="character" w:styleId="FootnoteReference">
    <w:name w:val="footnote reference"/>
    <w:basedOn w:val="DefaultParagraphFont"/>
    <w:uiPriority w:val="99"/>
    <w:semiHidden/>
    <w:unhideWhenUsed/>
    <w:rsid w:val="006C0C45"/>
    <w:rPr>
      <w:vertAlign w:val="superscript"/>
    </w:rPr>
  </w:style>
  <w:style w:type="paragraph" w:styleId="Header">
    <w:name w:val="header"/>
    <w:basedOn w:val="Normal"/>
    <w:link w:val="HeaderChar"/>
    <w:uiPriority w:val="99"/>
    <w:unhideWhenUsed/>
    <w:rsid w:val="00B22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55D"/>
  </w:style>
  <w:style w:type="paragraph" w:styleId="Footer">
    <w:name w:val="footer"/>
    <w:basedOn w:val="Normal"/>
    <w:link w:val="FooterChar"/>
    <w:uiPriority w:val="99"/>
    <w:unhideWhenUsed/>
    <w:rsid w:val="00B22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55D"/>
  </w:style>
  <w:style w:type="paragraph" w:styleId="BalloonText">
    <w:name w:val="Balloon Text"/>
    <w:basedOn w:val="Normal"/>
    <w:link w:val="BalloonTextChar"/>
    <w:uiPriority w:val="99"/>
    <w:semiHidden/>
    <w:unhideWhenUsed/>
    <w:rsid w:val="00B2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9E9"/>
    <w:pPr>
      <w:spacing w:after="0" w:line="240" w:lineRule="auto"/>
    </w:pPr>
  </w:style>
  <w:style w:type="paragraph" w:styleId="FootnoteText">
    <w:name w:val="footnote text"/>
    <w:basedOn w:val="Normal"/>
    <w:link w:val="FootnoteTextChar"/>
    <w:uiPriority w:val="99"/>
    <w:semiHidden/>
    <w:unhideWhenUsed/>
    <w:rsid w:val="006C0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C45"/>
    <w:rPr>
      <w:sz w:val="20"/>
      <w:szCs w:val="20"/>
    </w:rPr>
  </w:style>
  <w:style w:type="character" w:styleId="FootnoteReference">
    <w:name w:val="footnote reference"/>
    <w:basedOn w:val="DefaultParagraphFont"/>
    <w:uiPriority w:val="99"/>
    <w:semiHidden/>
    <w:unhideWhenUsed/>
    <w:rsid w:val="006C0C45"/>
    <w:rPr>
      <w:vertAlign w:val="superscript"/>
    </w:rPr>
  </w:style>
  <w:style w:type="paragraph" w:styleId="Header">
    <w:name w:val="header"/>
    <w:basedOn w:val="Normal"/>
    <w:link w:val="HeaderChar"/>
    <w:uiPriority w:val="99"/>
    <w:unhideWhenUsed/>
    <w:rsid w:val="00B22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55D"/>
  </w:style>
  <w:style w:type="paragraph" w:styleId="Footer">
    <w:name w:val="footer"/>
    <w:basedOn w:val="Normal"/>
    <w:link w:val="FooterChar"/>
    <w:uiPriority w:val="99"/>
    <w:unhideWhenUsed/>
    <w:rsid w:val="00B22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55D"/>
  </w:style>
  <w:style w:type="paragraph" w:styleId="BalloonText">
    <w:name w:val="Balloon Text"/>
    <w:basedOn w:val="Normal"/>
    <w:link w:val="BalloonTextChar"/>
    <w:uiPriority w:val="99"/>
    <w:semiHidden/>
    <w:unhideWhenUsed/>
    <w:rsid w:val="00B2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8AD0C-7B1F-4AE8-9FDB-E95AA0EC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2011-09-22T13:53:00Z</cp:lastPrinted>
  <dcterms:created xsi:type="dcterms:W3CDTF">2011-09-28T12:59:00Z</dcterms:created>
  <dcterms:modified xsi:type="dcterms:W3CDTF">2011-09-28T12:59:00Z</dcterms:modified>
</cp:coreProperties>
</file>