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JEFAT CHAGANDA</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THE STATE</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AND</w:t>
      </w:r>
    </w:p>
    <w:p w:rsidR="00CA7F69" w:rsidRDefault="00CA7F69" w:rsidP="005C2CBD">
      <w:pPr>
        <w:pStyle w:val="NoSpacing"/>
        <w:jc w:val="both"/>
        <w:rPr>
          <w:rFonts w:ascii="Times New Roman" w:hAnsi="Times New Roman" w:cs="Times New Roman"/>
          <w:b/>
          <w:szCs w:val="24"/>
        </w:rPr>
      </w:pPr>
    </w:p>
    <w:p w:rsidR="00CA7F69" w:rsidRDefault="00634E70" w:rsidP="005C2CBD">
      <w:pPr>
        <w:pStyle w:val="NoSpacing"/>
        <w:jc w:val="both"/>
        <w:rPr>
          <w:rFonts w:ascii="Times New Roman" w:hAnsi="Times New Roman" w:cs="Times New Roman"/>
          <w:b/>
          <w:szCs w:val="24"/>
        </w:rPr>
      </w:pPr>
      <w:r>
        <w:rPr>
          <w:rFonts w:ascii="Times New Roman" w:hAnsi="Times New Roman" w:cs="Times New Roman"/>
          <w:b/>
          <w:szCs w:val="24"/>
        </w:rPr>
        <w:t>SIDINGU</w:t>
      </w:r>
      <w:r w:rsidR="00CA7F69">
        <w:rPr>
          <w:rFonts w:ascii="Times New Roman" w:hAnsi="Times New Roman" w:cs="Times New Roman"/>
          <w:b/>
          <w:szCs w:val="24"/>
        </w:rPr>
        <w:t>MUZI NCUBE</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AND</w:t>
      </w:r>
    </w:p>
    <w:p w:rsidR="00CA7F69" w:rsidRDefault="00CA7F69" w:rsidP="005C2CBD">
      <w:pPr>
        <w:pStyle w:val="NoSpacing"/>
        <w:jc w:val="both"/>
        <w:rPr>
          <w:rFonts w:ascii="Times New Roman" w:hAnsi="Times New Roman" w:cs="Times New Roman"/>
          <w:b/>
          <w:szCs w:val="24"/>
        </w:rPr>
      </w:pPr>
    </w:p>
    <w:p w:rsidR="00CA7F69" w:rsidRDefault="00634E70" w:rsidP="005C2CBD">
      <w:pPr>
        <w:pStyle w:val="NoSpacing"/>
        <w:jc w:val="both"/>
        <w:rPr>
          <w:rFonts w:ascii="Times New Roman" w:hAnsi="Times New Roman" w:cs="Times New Roman"/>
          <w:b/>
          <w:szCs w:val="24"/>
        </w:rPr>
      </w:pPr>
      <w:r>
        <w:rPr>
          <w:rFonts w:ascii="Times New Roman" w:hAnsi="Times New Roman" w:cs="Times New Roman"/>
          <w:b/>
          <w:szCs w:val="24"/>
        </w:rPr>
        <w:t>TYSON RU</w:t>
      </w:r>
      <w:r w:rsidR="00CA7F69">
        <w:rPr>
          <w:rFonts w:ascii="Times New Roman" w:hAnsi="Times New Roman" w:cs="Times New Roman"/>
          <w:b/>
          <w:szCs w:val="24"/>
        </w:rPr>
        <w:t>VAMBO</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AND</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GODFREY MAKUVADZE</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AND</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ADMIRE RUBAYA</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AND</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LADISLOUS TAMBOONEI</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 xml:space="preserve">AND </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LADISLOUS TINACHO</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AND</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STANLEY CHINYANGANYA</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t>AND</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szCs w:val="24"/>
        </w:rPr>
      </w:pPr>
      <w:r>
        <w:rPr>
          <w:rFonts w:ascii="Times New Roman" w:hAnsi="Times New Roman" w:cs="Times New Roman"/>
          <w:b/>
          <w:szCs w:val="24"/>
        </w:rPr>
        <w:t>TIMEON TAVENGWA MAKUNDE</w:t>
      </w:r>
    </w:p>
    <w:p w:rsidR="00CA7F69" w:rsidRDefault="00CA7F69" w:rsidP="005C2CBD">
      <w:pPr>
        <w:pStyle w:val="NoSpacing"/>
        <w:jc w:val="both"/>
        <w:rPr>
          <w:rFonts w:ascii="Times New Roman" w:hAnsi="Times New Roman" w:cs="Times New Roman"/>
          <w:szCs w:val="24"/>
        </w:rPr>
      </w:pPr>
    </w:p>
    <w:p w:rsidR="00CA7F69" w:rsidRDefault="00CA7F69" w:rsidP="005C2CBD">
      <w:pPr>
        <w:pStyle w:val="NoSpacing"/>
        <w:jc w:val="both"/>
        <w:rPr>
          <w:rFonts w:ascii="Times New Roman" w:hAnsi="Times New Roman" w:cs="Times New Roman"/>
          <w:szCs w:val="24"/>
        </w:rPr>
      </w:pPr>
    </w:p>
    <w:p w:rsidR="00CA7F69" w:rsidRDefault="00CA7F69" w:rsidP="005C2CBD">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CA7F69" w:rsidRDefault="00CA7F69" w:rsidP="005C2CBD">
      <w:pPr>
        <w:pStyle w:val="NoSpacing"/>
        <w:jc w:val="both"/>
        <w:rPr>
          <w:rFonts w:ascii="Times New Roman" w:hAnsi="Times New Roman" w:cs="Times New Roman"/>
          <w:szCs w:val="24"/>
        </w:rPr>
      </w:pPr>
      <w:r>
        <w:rPr>
          <w:rFonts w:ascii="Times New Roman" w:hAnsi="Times New Roman" w:cs="Times New Roman"/>
          <w:szCs w:val="24"/>
        </w:rPr>
        <w:t>MABHIKWA J</w:t>
      </w:r>
      <w:r w:rsidR="00744AB3">
        <w:rPr>
          <w:rFonts w:ascii="Times New Roman" w:hAnsi="Times New Roman" w:cs="Times New Roman"/>
          <w:szCs w:val="24"/>
        </w:rPr>
        <w:t xml:space="preserve"> with Assessor Mr O Dewa</w:t>
      </w:r>
    </w:p>
    <w:p w:rsidR="00CA7F69" w:rsidRDefault="00634E70" w:rsidP="005C2CBD">
      <w:pPr>
        <w:pStyle w:val="NoSpacing"/>
        <w:jc w:val="both"/>
        <w:rPr>
          <w:rFonts w:ascii="Times New Roman" w:hAnsi="Times New Roman" w:cs="Times New Roman"/>
          <w:szCs w:val="24"/>
        </w:rPr>
      </w:pPr>
      <w:r>
        <w:rPr>
          <w:rFonts w:ascii="Times New Roman" w:hAnsi="Times New Roman" w:cs="Times New Roman"/>
          <w:szCs w:val="24"/>
        </w:rPr>
        <w:t>BULAWAYO 6, 7,8 AND 9 NOVEMBER 2018,</w:t>
      </w:r>
    </w:p>
    <w:p w:rsidR="00634E70" w:rsidRDefault="00634E70" w:rsidP="005C2CBD">
      <w:pPr>
        <w:pStyle w:val="NoSpacing"/>
        <w:jc w:val="both"/>
        <w:rPr>
          <w:rFonts w:ascii="Times New Roman" w:hAnsi="Times New Roman" w:cs="Times New Roman"/>
          <w:szCs w:val="24"/>
        </w:rPr>
      </w:pPr>
      <w:r>
        <w:rPr>
          <w:rFonts w:ascii="Times New Roman" w:hAnsi="Times New Roman" w:cs="Times New Roman"/>
          <w:szCs w:val="24"/>
        </w:rPr>
        <w:t>4, 4, 5, 6 AND 7 DECEMBER 2018, 17, 18 AND 21 JANUARY 2019,</w:t>
      </w:r>
    </w:p>
    <w:p w:rsidR="00634E70" w:rsidRDefault="00634E70" w:rsidP="005C2CBD">
      <w:pPr>
        <w:pStyle w:val="NoSpacing"/>
        <w:jc w:val="both"/>
        <w:rPr>
          <w:rFonts w:ascii="Times New Roman" w:hAnsi="Times New Roman" w:cs="Times New Roman"/>
          <w:szCs w:val="24"/>
        </w:rPr>
      </w:pPr>
      <w:r>
        <w:rPr>
          <w:rFonts w:ascii="Times New Roman" w:hAnsi="Times New Roman" w:cs="Times New Roman"/>
          <w:szCs w:val="24"/>
        </w:rPr>
        <w:t>12, 13 AND 14 MARCH 2019, 13 MAY 2019 AND 5 JULY 2019,</w:t>
      </w:r>
    </w:p>
    <w:p w:rsidR="00634E70" w:rsidRDefault="00634E70" w:rsidP="005C2CBD">
      <w:pPr>
        <w:pStyle w:val="NoSpacing"/>
        <w:jc w:val="both"/>
        <w:rPr>
          <w:rFonts w:ascii="Times New Roman" w:hAnsi="Times New Roman" w:cs="Times New Roman"/>
          <w:szCs w:val="24"/>
        </w:rPr>
      </w:pPr>
      <w:r>
        <w:rPr>
          <w:rFonts w:ascii="Times New Roman" w:hAnsi="Times New Roman" w:cs="Times New Roman"/>
          <w:szCs w:val="24"/>
        </w:rPr>
        <w:t>17 SEPTEMBER, 29 OCTOBER 2019, 14 JANUARY AND 3 MARCH 2020</w:t>
      </w:r>
    </w:p>
    <w:p w:rsidR="00CA7F69" w:rsidRDefault="00CA7F69" w:rsidP="005C2CBD">
      <w:pPr>
        <w:pStyle w:val="NoSpacing"/>
        <w:jc w:val="both"/>
        <w:rPr>
          <w:rFonts w:ascii="Times New Roman" w:hAnsi="Times New Roman" w:cs="Times New Roman"/>
          <w:szCs w:val="24"/>
        </w:rPr>
      </w:pPr>
    </w:p>
    <w:p w:rsidR="00CA7F69" w:rsidRDefault="00CA7F69" w:rsidP="005C2CBD">
      <w:pPr>
        <w:pStyle w:val="NoSpacing"/>
        <w:jc w:val="both"/>
        <w:rPr>
          <w:rFonts w:ascii="Times New Roman" w:hAnsi="Times New Roman" w:cs="Times New Roman"/>
          <w:b/>
          <w:szCs w:val="24"/>
        </w:rPr>
      </w:pPr>
    </w:p>
    <w:p w:rsidR="00634E70" w:rsidRDefault="00634E70"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b/>
          <w:szCs w:val="24"/>
        </w:rPr>
        <w:lastRenderedPageBreak/>
        <w:t>Ruling on application for leave to appeal</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i/>
          <w:szCs w:val="24"/>
        </w:rPr>
      </w:pPr>
      <w:r>
        <w:rPr>
          <w:rFonts w:ascii="Times New Roman" w:hAnsi="Times New Roman" w:cs="Times New Roman"/>
          <w:i/>
          <w:szCs w:val="24"/>
        </w:rPr>
        <w:t xml:space="preserve">C Ndlovu standing in for Advocate S M Hashiti, </w:t>
      </w:r>
      <w:r w:rsidRPr="00CA7F69">
        <w:rPr>
          <w:rFonts w:ascii="Times New Roman" w:hAnsi="Times New Roman" w:cs="Times New Roman"/>
          <w:szCs w:val="24"/>
        </w:rPr>
        <w:t>for the applicant</w:t>
      </w:r>
    </w:p>
    <w:p w:rsidR="00CA7F69" w:rsidRDefault="00CA7F69" w:rsidP="005C2CBD">
      <w:pPr>
        <w:pStyle w:val="NoSpacing"/>
        <w:jc w:val="both"/>
        <w:rPr>
          <w:rFonts w:ascii="Times New Roman" w:hAnsi="Times New Roman" w:cs="Times New Roman"/>
          <w:i/>
          <w:szCs w:val="24"/>
        </w:rPr>
      </w:pPr>
      <w:r>
        <w:rPr>
          <w:rFonts w:ascii="Times New Roman" w:hAnsi="Times New Roman" w:cs="Times New Roman"/>
          <w:i/>
          <w:szCs w:val="24"/>
        </w:rPr>
        <w:t xml:space="preserve">Mrs T R Takuva with Ms N Ndlovu, </w:t>
      </w:r>
      <w:r w:rsidRPr="00CA7F69">
        <w:rPr>
          <w:rFonts w:ascii="Times New Roman" w:hAnsi="Times New Roman" w:cs="Times New Roman"/>
          <w:szCs w:val="24"/>
        </w:rPr>
        <w:t>for the 1</w:t>
      </w:r>
      <w:r w:rsidRPr="00CA7F69">
        <w:rPr>
          <w:rFonts w:ascii="Times New Roman" w:hAnsi="Times New Roman" w:cs="Times New Roman"/>
          <w:szCs w:val="24"/>
          <w:vertAlign w:val="superscript"/>
        </w:rPr>
        <w:t>st</w:t>
      </w:r>
      <w:r w:rsidRPr="00CA7F69">
        <w:rPr>
          <w:rFonts w:ascii="Times New Roman" w:hAnsi="Times New Roman" w:cs="Times New Roman"/>
          <w:szCs w:val="24"/>
        </w:rPr>
        <w:t xml:space="preserve"> respondent</w:t>
      </w:r>
    </w:p>
    <w:p w:rsidR="00CA7F69" w:rsidRDefault="00CA7F69" w:rsidP="005C2CBD">
      <w:pPr>
        <w:pStyle w:val="NoSpacing"/>
        <w:jc w:val="both"/>
        <w:rPr>
          <w:rFonts w:ascii="Times New Roman" w:hAnsi="Times New Roman" w:cs="Times New Roman"/>
          <w:i/>
          <w:szCs w:val="24"/>
        </w:rPr>
      </w:pPr>
      <w:r>
        <w:rPr>
          <w:rFonts w:ascii="Times New Roman" w:hAnsi="Times New Roman" w:cs="Times New Roman"/>
          <w:i/>
          <w:szCs w:val="24"/>
        </w:rPr>
        <w:t xml:space="preserve">C Ndlovu, </w:t>
      </w:r>
      <w:r w:rsidRPr="00CA7F69">
        <w:rPr>
          <w:rFonts w:ascii="Times New Roman" w:hAnsi="Times New Roman" w:cs="Times New Roman"/>
          <w:szCs w:val="24"/>
        </w:rPr>
        <w:t>for the 2</w:t>
      </w:r>
      <w:r w:rsidRPr="00CA7F69">
        <w:rPr>
          <w:rFonts w:ascii="Times New Roman" w:hAnsi="Times New Roman" w:cs="Times New Roman"/>
          <w:szCs w:val="24"/>
          <w:vertAlign w:val="superscript"/>
        </w:rPr>
        <w:t>nd</w:t>
      </w:r>
      <w:r w:rsidRPr="00CA7F69">
        <w:rPr>
          <w:rFonts w:ascii="Times New Roman" w:hAnsi="Times New Roman" w:cs="Times New Roman"/>
          <w:szCs w:val="24"/>
        </w:rPr>
        <w:t>, 3</w:t>
      </w:r>
      <w:r w:rsidRPr="00CA7F69">
        <w:rPr>
          <w:rFonts w:ascii="Times New Roman" w:hAnsi="Times New Roman" w:cs="Times New Roman"/>
          <w:szCs w:val="24"/>
          <w:vertAlign w:val="superscript"/>
        </w:rPr>
        <w:t>rd</w:t>
      </w:r>
      <w:r w:rsidRPr="00CA7F69">
        <w:rPr>
          <w:rFonts w:ascii="Times New Roman" w:hAnsi="Times New Roman" w:cs="Times New Roman"/>
          <w:szCs w:val="24"/>
        </w:rPr>
        <w:t xml:space="preserve"> and 4</w:t>
      </w:r>
      <w:r w:rsidRPr="00CA7F69">
        <w:rPr>
          <w:rFonts w:ascii="Times New Roman" w:hAnsi="Times New Roman" w:cs="Times New Roman"/>
          <w:szCs w:val="24"/>
          <w:vertAlign w:val="superscript"/>
        </w:rPr>
        <w:t>th</w:t>
      </w:r>
      <w:r w:rsidRPr="00CA7F69">
        <w:rPr>
          <w:rFonts w:ascii="Times New Roman" w:hAnsi="Times New Roman" w:cs="Times New Roman"/>
          <w:szCs w:val="24"/>
        </w:rPr>
        <w:t xml:space="preserve"> respondents</w:t>
      </w:r>
    </w:p>
    <w:p w:rsidR="00CA7F69" w:rsidRDefault="00634E70" w:rsidP="005C2CBD">
      <w:pPr>
        <w:pStyle w:val="NoSpacing"/>
        <w:jc w:val="both"/>
        <w:rPr>
          <w:rFonts w:ascii="Times New Roman" w:hAnsi="Times New Roman" w:cs="Times New Roman"/>
          <w:i/>
          <w:szCs w:val="24"/>
        </w:rPr>
      </w:pPr>
      <w:r>
        <w:rPr>
          <w:rFonts w:ascii="Times New Roman" w:hAnsi="Times New Roman" w:cs="Times New Roman"/>
          <w:i/>
          <w:szCs w:val="24"/>
        </w:rPr>
        <w:t>O M</w:t>
      </w:r>
      <w:r w:rsidR="00CA7F69">
        <w:rPr>
          <w:rFonts w:ascii="Times New Roman" w:hAnsi="Times New Roman" w:cs="Times New Roman"/>
          <w:i/>
          <w:szCs w:val="24"/>
        </w:rPr>
        <w:t xml:space="preserve">arwa and T Tabana, </w:t>
      </w:r>
      <w:r w:rsidR="00CA7F69" w:rsidRPr="00CA7F69">
        <w:rPr>
          <w:rFonts w:ascii="Times New Roman" w:hAnsi="Times New Roman" w:cs="Times New Roman"/>
          <w:szCs w:val="24"/>
        </w:rPr>
        <w:t>for the 5</w:t>
      </w:r>
      <w:r w:rsidR="00CA7F69" w:rsidRPr="00CA7F69">
        <w:rPr>
          <w:rFonts w:ascii="Times New Roman" w:hAnsi="Times New Roman" w:cs="Times New Roman"/>
          <w:szCs w:val="24"/>
          <w:vertAlign w:val="superscript"/>
        </w:rPr>
        <w:t>th</w:t>
      </w:r>
      <w:r w:rsidR="00CA7F69" w:rsidRPr="00CA7F69">
        <w:rPr>
          <w:rFonts w:ascii="Times New Roman" w:hAnsi="Times New Roman" w:cs="Times New Roman"/>
          <w:szCs w:val="24"/>
        </w:rPr>
        <w:t xml:space="preserve"> respondent</w:t>
      </w:r>
    </w:p>
    <w:p w:rsidR="00CA7F69" w:rsidRDefault="00634E70" w:rsidP="005C2CBD">
      <w:pPr>
        <w:pStyle w:val="NoSpacing"/>
        <w:jc w:val="both"/>
        <w:rPr>
          <w:rFonts w:ascii="Times New Roman" w:hAnsi="Times New Roman" w:cs="Times New Roman"/>
          <w:i/>
          <w:szCs w:val="24"/>
        </w:rPr>
      </w:pPr>
      <w:r>
        <w:rPr>
          <w:rFonts w:ascii="Times New Roman" w:hAnsi="Times New Roman" w:cs="Times New Roman"/>
          <w:i/>
          <w:szCs w:val="24"/>
        </w:rPr>
        <w:t xml:space="preserve">T Muganyi and </w:t>
      </w:r>
      <w:r w:rsidR="00CA7F69">
        <w:rPr>
          <w:rFonts w:ascii="Times New Roman" w:hAnsi="Times New Roman" w:cs="Times New Roman"/>
          <w:i/>
          <w:szCs w:val="24"/>
        </w:rPr>
        <w:t xml:space="preserve">M Mahaso, </w:t>
      </w:r>
      <w:r w:rsidR="00CA7F69" w:rsidRPr="00CA7F69">
        <w:rPr>
          <w:rFonts w:ascii="Times New Roman" w:hAnsi="Times New Roman" w:cs="Times New Roman"/>
          <w:szCs w:val="24"/>
        </w:rPr>
        <w:t>for the 6</w:t>
      </w:r>
      <w:r w:rsidR="00CA7F69" w:rsidRPr="00CA7F69">
        <w:rPr>
          <w:rFonts w:ascii="Times New Roman" w:hAnsi="Times New Roman" w:cs="Times New Roman"/>
          <w:szCs w:val="24"/>
          <w:vertAlign w:val="superscript"/>
        </w:rPr>
        <w:t>th</w:t>
      </w:r>
      <w:r w:rsidR="00CA7F69" w:rsidRPr="00CA7F69">
        <w:rPr>
          <w:rFonts w:ascii="Times New Roman" w:hAnsi="Times New Roman" w:cs="Times New Roman"/>
          <w:szCs w:val="24"/>
        </w:rPr>
        <w:t xml:space="preserve"> and 7</w:t>
      </w:r>
      <w:r w:rsidR="00CA7F69" w:rsidRPr="00CA7F69">
        <w:rPr>
          <w:rFonts w:ascii="Times New Roman" w:hAnsi="Times New Roman" w:cs="Times New Roman"/>
          <w:szCs w:val="24"/>
          <w:vertAlign w:val="superscript"/>
        </w:rPr>
        <w:t>th</w:t>
      </w:r>
      <w:r w:rsidR="00CA7F69" w:rsidRPr="00CA7F69">
        <w:rPr>
          <w:rFonts w:ascii="Times New Roman" w:hAnsi="Times New Roman" w:cs="Times New Roman"/>
          <w:szCs w:val="24"/>
        </w:rPr>
        <w:t xml:space="preserve"> respondents</w:t>
      </w:r>
    </w:p>
    <w:p w:rsidR="00CA7F69" w:rsidRDefault="00CA7F69" w:rsidP="005C2CBD">
      <w:pPr>
        <w:pStyle w:val="NoSpacing"/>
        <w:jc w:val="both"/>
        <w:rPr>
          <w:rFonts w:ascii="Times New Roman" w:hAnsi="Times New Roman" w:cs="Times New Roman"/>
          <w:i/>
          <w:szCs w:val="24"/>
        </w:rPr>
      </w:pPr>
      <w:r>
        <w:rPr>
          <w:rFonts w:ascii="Times New Roman" w:hAnsi="Times New Roman" w:cs="Times New Roman"/>
          <w:i/>
          <w:szCs w:val="24"/>
        </w:rPr>
        <w:t xml:space="preserve">P Butshe, </w:t>
      </w:r>
      <w:r w:rsidRPr="00CA7F69">
        <w:rPr>
          <w:rFonts w:ascii="Times New Roman" w:hAnsi="Times New Roman" w:cs="Times New Roman"/>
          <w:szCs w:val="24"/>
        </w:rPr>
        <w:t>for the 8</w:t>
      </w:r>
      <w:r w:rsidRPr="00CA7F69">
        <w:rPr>
          <w:rFonts w:ascii="Times New Roman" w:hAnsi="Times New Roman" w:cs="Times New Roman"/>
          <w:szCs w:val="24"/>
          <w:vertAlign w:val="superscript"/>
        </w:rPr>
        <w:t>th</w:t>
      </w:r>
      <w:r w:rsidRPr="00CA7F69">
        <w:rPr>
          <w:rFonts w:ascii="Times New Roman" w:hAnsi="Times New Roman" w:cs="Times New Roman"/>
          <w:szCs w:val="24"/>
        </w:rPr>
        <w:t xml:space="preserve"> respondent</w:t>
      </w:r>
    </w:p>
    <w:p w:rsidR="00CA7F69" w:rsidRDefault="00CA7F69" w:rsidP="005C2CBD">
      <w:pPr>
        <w:pStyle w:val="NoSpacing"/>
        <w:jc w:val="both"/>
        <w:rPr>
          <w:rFonts w:ascii="Times New Roman" w:hAnsi="Times New Roman" w:cs="Times New Roman"/>
          <w:b/>
          <w:szCs w:val="24"/>
        </w:rPr>
      </w:pPr>
      <w:r>
        <w:rPr>
          <w:rFonts w:ascii="Times New Roman" w:hAnsi="Times New Roman" w:cs="Times New Roman"/>
          <w:i/>
          <w:szCs w:val="24"/>
        </w:rPr>
        <w:t xml:space="preserve">Mr P Butshe standing in for B Mufadza, </w:t>
      </w:r>
      <w:r w:rsidRPr="00CA7F69">
        <w:rPr>
          <w:rFonts w:ascii="Times New Roman" w:hAnsi="Times New Roman" w:cs="Times New Roman"/>
          <w:szCs w:val="24"/>
        </w:rPr>
        <w:t>for the 9</w:t>
      </w:r>
      <w:r w:rsidRPr="00CA7F69">
        <w:rPr>
          <w:rFonts w:ascii="Times New Roman" w:hAnsi="Times New Roman" w:cs="Times New Roman"/>
          <w:szCs w:val="24"/>
          <w:vertAlign w:val="superscript"/>
        </w:rPr>
        <w:t>th</w:t>
      </w:r>
      <w:r w:rsidRPr="00CA7F69">
        <w:rPr>
          <w:rFonts w:ascii="Times New Roman" w:hAnsi="Times New Roman" w:cs="Times New Roman"/>
          <w:szCs w:val="24"/>
        </w:rPr>
        <w:t xml:space="preserve"> respondent</w:t>
      </w:r>
    </w:p>
    <w:p w:rsidR="00CA7F69" w:rsidRDefault="00CA7F69" w:rsidP="005C2CBD">
      <w:pPr>
        <w:pStyle w:val="NoSpacing"/>
        <w:jc w:val="both"/>
        <w:rPr>
          <w:rFonts w:ascii="Times New Roman" w:hAnsi="Times New Roman" w:cs="Times New Roman"/>
          <w:b/>
          <w:szCs w:val="24"/>
        </w:rPr>
      </w:pPr>
    </w:p>
    <w:p w:rsidR="00CA7F69" w:rsidRDefault="00CA7F69" w:rsidP="005C2CBD">
      <w:pPr>
        <w:pStyle w:val="NoSpacing"/>
        <w:jc w:val="both"/>
        <w:rPr>
          <w:rFonts w:ascii="Times New Roman" w:hAnsi="Times New Roman" w:cs="Times New Roman"/>
          <w:i/>
          <w:szCs w:val="24"/>
        </w:rPr>
      </w:pPr>
    </w:p>
    <w:p w:rsidR="005B27CF" w:rsidRDefault="00CA7F69" w:rsidP="005C2CBD">
      <w:pPr>
        <w:spacing w:line="360" w:lineRule="auto"/>
        <w:jc w:val="both"/>
        <w:rPr>
          <w:rFonts w:ascii="Times New Roman" w:hAnsi="Times New Roman" w:cs="Times New Roman"/>
          <w:szCs w:val="24"/>
        </w:rPr>
      </w:pPr>
      <w:r>
        <w:rPr>
          <w:szCs w:val="24"/>
        </w:rPr>
        <w:tab/>
      </w:r>
      <w:r>
        <w:rPr>
          <w:rFonts w:ascii="Times New Roman" w:hAnsi="Times New Roman" w:cs="Times New Roman"/>
          <w:b/>
          <w:szCs w:val="24"/>
        </w:rPr>
        <w:t>MABHIKWA J:</w:t>
      </w:r>
      <w:r>
        <w:rPr>
          <w:b/>
          <w:szCs w:val="24"/>
        </w:rPr>
        <w:tab/>
      </w:r>
      <w:r w:rsidRPr="004D0AE2">
        <w:rPr>
          <w:rFonts w:ascii="Times New Roman" w:hAnsi="Times New Roman" w:cs="Times New Roman"/>
          <w:szCs w:val="24"/>
        </w:rPr>
        <w:t xml:space="preserve">This </w:t>
      </w:r>
      <w:r>
        <w:rPr>
          <w:rFonts w:ascii="Times New Roman" w:hAnsi="Times New Roman" w:cs="Times New Roman"/>
          <w:szCs w:val="24"/>
        </w:rPr>
        <w:t>court handed down its ruling in which it dismissed an application</w:t>
      </w:r>
      <w:r w:rsidR="005B27CF">
        <w:rPr>
          <w:rFonts w:ascii="Times New Roman" w:hAnsi="Times New Roman" w:cs="Times New Roman"/>
          <w:szCs w:val="24"/>
        </w:rPr>
        <w:t xml:space="preserve"> for discharge at the close of the state case brought by the applicant together with the 2</w:t>
      </w:r>
      <w:r w:rsidR="005B27CF" w:rsidRPr="005B27CF">
        <w:rPr>
          <w:rFonts w:ascii="Times New Roman" w:hAnsi="Times New Roman" w:cs="Times New Roman"/>
          <w:szCs w:val="24"/>
          <w:vertAlign w:val="superscript"/>
        </w:rPr>
        <w:t>nd</w:t>
      </w:r>
      <w:r w:rsidR="005B27CF">
        <w:rPr>
          <w:rFonts w:ascii="Times New Roman" w:hAnsi="Times New Roman" w:cs="Times New Roman"/>
          <w:szCs w:val="24"/>
        </w:rPr>
        <w:t xml:space="preserve"> to the 9</w:t>
      </w:r>
      <w:r w:rsidR="005B27CF" w:rsidRPr="005B27CF">
        <w:rPr>
          <w:rFonts w:ascii="Times New Roman" w:hAnsi="Times New Roman" w:cs="Times New Roman"/>
          <w:szCs w:val="24"/>
          <w:vertAlign w:val="superscript"/>
        </w:rPr>
        <w:t>th</w:t>
      </w:r>
      <w:r w:rsidR="005B27CF">
        <w:rPr>
          <w:rFonts w:ascii="Times New Roman" w:hAnsi="Times New Roman" w:cs="Times New Roman"/>
          <w:szCs w:val="24"/>
        </w:rPr>
        <w:t xml:space="preserve"> respondents herein but who were co-applicants in that application.</w:t>
      </w:r>
    </w:p>
    <w:p w:rsidR="005B27CF" w:rsidRDefault="005B27CF" w:rsidP="005C2CBD">
      <w:pPr>
        <w:spacing w:line="360" w:lineRule="auto"/>
        <w:jc w:val="both"/>
        <w:rPr>
          <w:rFonts w:ascii="Times New Roman" w:hAnsi="Times New Roman" w:cs="Times New Roman"/>
          <w:szCs w:val="24"/>
        </w:rPr>
      </w:pPr>
      <w:r>
        <w:rPr>
          <w:rFonts w:ascii="Times New Roman" w:hAnsi="Times New Roman" w:cs="Times New Roman"/>
          <w:szCs w:val="24"/>
        </w:rPr>
        <w:tab/>
        <w:t>On 29 October 2019, the applicant filed an application for the Judge’s recusal in the matter.  This court dismissed the application on 14 January 2020.</w:t>
      </w:r>
    </w:p>
    <w:p w:rsidR="005B27CF" w:rsidRDefault="001D6DD8" w:rsidP="005C2CBD">
      <w:pPr>
        <w:spacing w:line="360" w:lineRule="auto"/>
        <w:jc w:val="both"/>
        <w:rPr>
          <w:rFonts w:ascii="Times New Roman" w:hAnsi="Times New Roman" w:cs="Times New Roman"/>
          <w:szCs w:val="24"/>
        </w:rPr>
      </w:pPr>
      <w:r>
        <w:rPr>
          <w:rFonts w:ascii="Times New Roman" w:hAnsi="Times New Roman" w:cs="Times New Roman"/>
          <w:szCs w:val="24"/>
        </w:rPr>
        <w:tab/>
        <w:t>On 16 January 2020</w:t>
      </w:r>
      <w:r w:rsidR="005B27CF">
        <w:rPr>
          <w:rFonts w:ascii="Times New Roman" w:hAnsi="Times New Roman" w:cs="Times New Roman"/>
          <w:szCs w:val="24"/>
        </w:rPr>
        <w:t>, applicant then filed the current application in terms of Order 34 Rule 263 of the High Court Rules</w:t>
      </w:r>
      <w:r w:rsidR="00744AB3">
        <w:rPr>
          <w:rFonts w:ascii="Times New Roman" w:hAnsi="Times New Roman" w:cs="Times New Roman"/>
          <w:szCs w:val="24"/>
        </w:rPr>
        <w:t>,</w:t>
      </w:r>
      <w:r w:rsidR="005B27CF">
        <w:rPr>
          <w:rFonts w:ascii="Times New Roman" w:hAnsi="Times New Roman" w:cs="Times New Roman"/>
          <w:szCs w:val="24"/>
        </w:rPr>
        <w:t xml:space="preserve"> 1971 seeking leave to appeal against the said interlocutory judgement of 14 January 2020.</w:t>
      </w:r>
    </w:p>
    <w:p w:rsidR="005B27CF" w:rsidRDefault="005B27CF" w:rsidP="005C2CBD">
      <w:pPr>
        <w:spacing w:line="360" w:lineRule="auto"/>
        <w:jc w:val="both"/>
        <w:rPr>
          <w:rFonts w:ascii="Times New Roman" w:hAnsi="Times New Roman" w:cs="Times New Roman"/>
          <w:szCs w:val="24"/>
        </w:rPr>
      </w:pPr>
      <w:r>
        <w:rPr>
          <w:rFonts w:ascii="Times New Roman" w:hAnsi="Times New Roman" w:cs="Times New Roman"/>
          <w:szCs w:val="24"/>
        </w:rPr>
        <w:tab/>
        <w:t>The court notes that there is perhaps an inadvertent error throughout the applicant’s application in reference to another interlocutory application brought by the “7</w:t>
      </w:r>
      <w:r w:rsidRPr="005B27CF">
        <w:rPr>
          <w:rFonts w:ascii="Times New Roman" w:hAnsi="Times New Roman" w:cs="Times New Roman"/>
          <w:szCs w:val="24"/>
          <w:vertAlign w:val="superscript"/>
        </w:rPr>
        <w:t>th</w:t>
      </w:r>
      <w:r>
        <w:rPr>
          <w:rFonts w:ascii="Times New Roman" w:hAnsi="Times New Roman" w:cs="Times New Roman"/>
          <w:szCs w:val="24"/>
        </w:rPr>
        <w:t xml:space="preserve"> respondent.”  This may be an unintended error in that </w:t>
      </w:r>
      <w:r w:rsidRPr="001D6DD8">
        <w:rPr>
          <w:rFonts w:ascii="Times New Roman" w:hAnsi="Times New Roman" w:cs="Times New Roman"/>
          <w:b/>
          <w:szCs w:val="24"/>
        </w:rPr>
        <w:t>LADISLOUS TINACHO</w:t>
      </w:r>
      <w:r>
        <w:rPr>
          <w:rFonts w:ascii="Times New Roman" w:hAnsi="Times New Roman" w:cs="Times New Roman"/>
          <w:szCs w:val="24"/>
        </w:rPr>
        <w:t xml:space="preserve"> (7</w:t>
      </w:r>
      <w:r w:rsidRPr="005B27CF">
        <w:rPr>
          <w:rFonts w:ascii="Times New Roman" w:hAnsi="Times New Roman" w:cs="Times New Roman"/>
          <w:szCs w:val="24"/>
          <w:vertAlign w:val="superscript"/>
        </w:rPr>
        <w:t>th</w:t>
      </w:r>
      <w:r>
        <w:rPr>
          <w:rFonts w:ascii="Times New Roman" w:hAnsi="Times New Roman" w:cs="Times New Roman"/>
          <w:szCs w:val="24"/>
        </w:rPr>
        <w:t xml:space="preserve"> respondent herein), apart from the application for discharge at the close of the state case which he and all others made</w:t>
      </w:r>
      <w:r w:rsidR="00744AB3">
        <w:rPr>
          <w:rFonts w:ascii="Times New Roman" w:hAnsi="Times New Roman" w:cs="Times New Roman"/>
          <w:szCs w:val="24"/>
        </w:rPr>
        <w:t>,</w:t>
      </w:r>
      <w:r>
        <w:rPr>
          <w:rFonts w:ascii="Times New Roman" w:hAnsi="Times New Roman" w:cs="Times New Roman"/>
          <w:szCs w:val="24"/>
        </w:rPr>
        <w:t xml:space="preserve"> has not brought any interlocutory application standing alone.  Applicant therefore intended to refer to the interlocutory application for leave to appeal brought by the 5</w:t>
      </w:r>
      <w:r w:rsidRPr="005B27CF">
        <w:rPr>
          <w:rFonts w:ascii="Times New Roman" w:hAnsi="Times New Roman" w:cs="Times New Roman"/>
          <w:szCs w:val="24"/>
          <w:vertAlign w:val="superscript"/>
        </w:rPr>
        <w:t>th</w:t>
      </w:r>
      <w:r>
        <w:rPr>
          <w:rFonts w:ascii="Times New Roman" w:hAnsi="Times New Roman" w:cs="Times New Roman"/>
          <w:szCs w:val="24"/>
        </w:rPr>
        <w:t xml:space="preserve"> responde</w:t>
      </w:r>
      <w:r w:rsidR="00744AB3">
        <w:rPr>
          <w:rFonts w:ascii="Times New Roman" w:hAnsi="Times New Roman" w:cs="Times New Roman"/>
          <w:szCs w:val="24"/>
        </w:rPr>
        <w:t>nt herein who is also 6</w:t>
      </w:r>
      <w:r w:rsidR="00744AB3" w:rsidRPr="00744AB3">
        <w:rPr>
          <w:rFonts w:ascii="Times New Roman" w:hAnsi="Times New Roman" w:cs="Times New Roman"/>
          <w:szCs w:val="24"/>
          <w:vertAlign w:val="superscript"/>
        </w:rPr>
        <w:t>th</w:t>
      </w:r>
      <w:r w:rsidR="00744AB3">
        <w:rPr>
          <w:rFonts w:ascii="Times New Roman" w:hAnsi="Times New Roman" w:cs="Times New Roman"/>
          <w:szCs w:val="24"/>
        </w:rPr>
        <w:t xml:space="preserve"> accused </w:t>
      </w:r>
      <w:r>
        <w:rPr>
          <w:rFonts w:ascii="Times New Roman" w:hAnsi="Times New Roman" w:cs="Times New Roman"/>
          <w:szCs w:val="24"/>
        </w:rPr>
        <w:t>in the main trial .</w:t>
      </w:r>
    </w:p>
    <w:p w:rsidR="005B27CF" w:rsidRDefault="005B27CF" w:rsidP="005C2CBD">
      <w:pPr>
        <w:spacing w:line="360" w:lineRule="auto"/>
        <w:jc w:val="both"/>
        <w:rPr>
          <w:rFonts w:ascii="Times New Roman" w:hAnsi="Times New Roman" w:cs="Times New Roman"/>
          <w:szCs w:val="24"/>
        </w:rPr>
      </w:pPr>
      <w:r>
        <w:rPr>
          <w:rFonts w:ascii="Times New Roman" w:hAnsi="Times New Roman" w:cs="Times New Roman"/>
          <w:szCs w:val="24"/>
        </w:rPr>
        <w:tab/>
        <w:t xml:space="preserve">It is true that the legal position is that leave to appeal should not be granted unless the applicant has reasonable prospects of success on appeal.To that extent, and in particular on the issue of recusal, this court cited and analysed at length all decided cases, including all those that </w:t>
      </w:r>
      <w:r w:rsidR="00744AB3">
        <w:rPr>
          <w:rFonts w:ascii="Times New Roman" w:hAnsi="Times New Roman" w:cs="Times New Roman"/>
          <w:szCs w:val="24"/>
        </w:rPr>
        <w:t>had been cited by the applicant</w:t>
      </w:r>
      <w:r>
        <w:rPr>
          <w:rFonts w:ascii="Times New Roman" w:hAnsi="Times New Roman" w:cs="Times New Roman"/>
          <w:szCs w:val="24"/>
        </w:rPr>
        <w:t xml:space="preserve"> in the judgement dismissing the application for recusal.  The court therefore does not intend to revisit its findings therein and the pleathora of authorities cited in that ruling.</w:t>
      </w:r>
    </w:p>
    <w:p w:rsidR="005B27CF" w:rsidRDefault="005B27CF" w:rsidP="005C2CBD">
      <w:pPr>
        <w:spacing w:line="360" w:lineRule="auto"/>
        <w:jc w:val="both"/>
        <w:rPr>
          <w:rFonts w:ascii="Times New Roman" w:hAnsi="Times New Roman" w:cs="Times New Roman"/>
          <w:szCs w:val="24"/>
        </w:rPr>
      </w:pPr>
      <w:r>
        <w:rPr>
          <w:rFonts w:ascii="Times New Roman" w:hAnsi="Times New Roman" w:cs="Times New Roman"/>
          <w:szCs w:val="24"/>
        </w:rPr>
        <w:tab/>
      </w:r>
      <w:r w:rsidR="00A56934">
        <w:rPr>
          <w:rFonts w:ascii="Times New Roman" w:hAnsi="Times New Roman" w:cs="Times New Roman"/>
          <w:szCs w:val="24"/>
        </w:rPr>
        <w:t>S</w:t>
      </w:r>
      <w:r w:rsidR="00DF353F">
        <w:rPr>
          <w:rFonts w:ascii="Times New Roman" w:hAnsi="Times New Roman" w:cs="Times New Roman"/>
          <w:szCs w:val="24"/>
        </w:rPr>
        <w:t>u</w:t>
      </w:r>
      <w:r w:rsidR="00A56934">
        <w:rPr>
          <w:rFonts w:ascii="Times New Roman" w:hAnsi="Times New Roman" w:cs="Times New Roman"/>
          <w:szCs w:val="24"/>
        </w:rPr>
        <w:t>f</w:t>
      </w:r>
      <w:r w:rsidR="00DF353F">
        <w:rPr>
          <w:rFonts w:ascii="Times New Roman" w:hAnsi="Times New Roman" w:cs="Times New Roman"/>
          <w:szCs w:val="24"/>
        </w:rPr>
        <w:t>f</w:t>
      </w:r>
      <w:r w:rsidR="00A56934">
        <w:rPr>
          <w:rFonts w:ascii="Times New Roman" w:hAnsi="Times New Roman" w:cs="Times New Roman"/>
          <w:szCs w:val="24"/>
        </w:rPr>
        <w:t>ice to state that from the applicant’s submissions, the application for recusal was premised on the 2</w:t>
      </w:r>
      <w:r w:rsidR="00A56934" w:rsidRPr="00A56934">
        <w:rPr>
          <w:rFonts w:ascii="Times New Roman" w:hAnsi="Times New Roman" w:cs="Times New Roman"/>
          <w:szCs w:val="24"/>
          <w:vertAlign w:val="superscript"/>
        </w:rPr>
        <w:t>nd</w:t>
      </w:r>
      <w:r w:rsidR="00A56934">
        <w:rPr>
          <w:rFonts w:ascii="Times New Roman" w:hAnsi="Times New Roman" w:cs="Times New Roman"/>
          <w:szCs w:val="24"/>
        </w:rPr>
        <w:t xml:space="preserve"> paragraph on page 9 of the court’s said j</w:t>
      </w:r>
      <w:r w:rsidR="00744AB3">
        <w:rPr>
          <w:rFonts w:ascii="Times New Roman" w:hAnsi="Times New Roman" w:cs="Times New Roman"/>
          <w:szCs w:val="24"/>
        </w:rPr>
        <w:t>udgement in case number HB 74/</w:t>
      </w:r>
      <w:r w:rsidR="00A56934">
        <w:rPr>
          <w:rFonts w:ascii="Times New Roman" w:hAnsi="Times New Roman" w:cs="Times New Roman"/>
          <w:szCs w:val="24"/>
        </w:rPr>
        <w:t>19 which dismissed the applicant’s application together with those of his co-accused.</w:t>
      </w:r>
      <w:r>
        <w:rPr>
          <w:rFonts w:ascii="Times New Roman" w:hAnsi="Times New Roman" w:cs="Times New Roman"/>
          <w:szCs w:val="24"/>
        </w:rPr>
        <w:t xml:space="preserve"> </w:t>
      </w:r>
      <w:r w:rsidR="00A56934">
        <w:rPr>
          <w:rFonts w:ascii="Times New Roman" w:hAnsi="Times New Roman" w:cs="Times New Roman"/>
          <w:szCs w:val="24"/>
        </w:rPr>
        <w:t xml:space="preserve">  In short the </w:t>
      </w:r>
      <w:r w:rsidR="00A56934">
        <w:rPr>
          <w:rFonts w:ascii="Times New Roman" w:hAnsi="Times New Roman" w:cs="Times New Roman"/>
          <w:szCs w:val="24"/>
        </w:rPr>
        <w:lastRenderedPageBreak/>
        <w:t>application was premised on an alleged apprehension that the court’s findings in that paragraph meant that the 2</w:t>
      </w:r>
      <w:r w:rsidR="00A56934" w:rsidRPr="00A56934">
        <w:rPr>
          <w:rFonts w:ascii="Times New Roman" w:hAnsi="Times New Roman" w:cs="Times New Roman"/>
          <w:szCs w:val="24"/>
          <w:vertAlign w:val="superscript"/>
        </w:rPr>
        <w:t>nd</w:t>
      </w:r>
      <w:r w:rsidR="00A56934">
        <w:rPr>
          <w:rFonts w:ascii="Times New Roman" w:hAnsi="Times New Roman" w:cs="Times New Roman"/>
          <w:szCs w:val="24"/>
        </w:rPr>
        <w:t xml:space="preserve"> accused (applicant) was likely to be convicted at the end of the trial.</w:t>
      </w:r>
    </w:p>
    <w:p w:rsidR="00A56934" w:rsidRDefault="00A56934" w:rsidP="005C2CBD">
      <w:pPr>
        <w:spacing w:line="360" w:lineRule="auto"/>
        <w:jc w:val="both"/>
        <w:rPr>
          <w:rFonts w:ascii="Times New Roman" w:hAnsi="Times New Roman" w:cs="Times New Roman"/>
          <w:szCs w:val="24"/>
        </w:rPr>
      </w:pPr>
      <w:r>
        <w:rPr>
          <w:rFonts w:ascii="Times New Roman" w:hAnsi="Times New Roman" w:cs="Times New Roman"/>
          <w:szCs w:val="24"/>
        </w:rPr>
        <w:tab/>
        <w:t xml:space="preserve">The law is clear as shown by case authorities, that an application for recusal, or a judicial officer’s recusal, should be premised on alleged </w:t>
      </w:r>
      <w:r w:rsidRPr="00DF353F">
        <w:rPr>
          <w:rFonts w:ascii="Times New Roman" w:hAnsi="Times New Roman" w:cs="Times New Roman"/>
          <w:szCs w:val="24"/>
          <w:u w:val="single"/>
        </w:rPr>
        <w:t>bias</w:t>
      </w:r>
      <w:r>
        <w:rPr>
          <w:rFonts w:ascii="Times New Roman" w:hAnsi="Times New Roman" w:cs="Times New Roman"/>
          <w:szCs w:val="24"/>
        </w:rPr>
        <w:t xml:space="preserve"> or a reasonable apprehension of </w:t>
      </w:r>
      <w:r w:rsidRPr="005C2CBD">
        <w:rPr>
          <w:rFonts w:ascii="Times New Roman" w:hAnsi="Times New Roman" w:cs="Times New Roman"/>
          <w:szCs w:val="24"/>
          <w:u w:val="single"/>
        </w:rPr>
        <w:t>bias</w:t>
      </w:r>
      <w:r>
        <w:rPr>
          <w:rFonts w:ascii="Times New Roman" w:hAnsi="Times New Roman" w:cs="Times New Roman"/>
          <w:szCs w:val="24"/>
        </w:rPr>
        <w:t>, not one’s a</w:t>
      </w:r>
      <w:r w:rsidR="00744AB3">
        <w:rPr>
          <w:rFonts w:ascii="Times New Roman" w:hAnsi="Times New Roman" w:cs="Times New Roman"/>
          <w:szCs w:val="24"/>
        </w:rPr>
        <w:t>lleged fear of possible conviction.</w:t>
      </w:r>
    </w:p>
    <w:p w:rsidR="00A56934" w:rsidRDefault="00A56934" w:rsidP="005C2CBD">
      <w:pPr>
        <w:spacing w:line="360" w:lineRule="auto"/>
        <w:jc w:val="both"/>
        <w:rPr>
          <w:rFonts w:ascii="Times New Roman" w:hAnsi="Times New Roman" w:cs="Times New Roman"/>
          <w:szCs w:val="24"/>
        </w:rPr>
      </w:pPr>
      <w:r>
        <w:rPr>
          <w:rFonts w:ascii="Times New Roman" w:hAnsi="Times New Roman" w:cs="Times New Roman"/>
          <w:szCs w:val="24"/>
        </w:rPr>
        <w:tab/>
        <w:t xml:space="preserve">In applicant’s application, this court found that the application was premised on an erroneous legal principle.  The court found that the applicant had not alleged and shown any bias, </w:t>
      </w:r>
      <w:r w:rsidRPr="005C2CBD">
        <w:rPr>
          <w:rFonts w:ascii="Times New Roman" w:hAnsi="Times New Roman" w:cs="Times New Roman"/>
          <w:szCs w:val="24"/>
          <w:u w:val="single"/>
        </w:rPr>
        <w:t>simpliciter</w:t>
      </w:r>
      <w:r>
        <w:rPr>
          <w:rFonts w:ascii="Times New Roman" w:hAnsi="Times New Roman" w:cs="Times New Roman"/>
          <w:szCs w:val="24"/>
        </w:rPr>
        <w:t xml:space="preserve"> or </w:t>
      </w:r>
      <w:r w:rsidRPr="005C2CBD">
        <w:rPr>
          <w:rFonts w:ascii="Times New Roman" w:hAnsi="Times New Roman" w:cs="Times New Roman"/>
          <w:szCs w:val="24"/>
          <w:u w:val="single"/>
        </w:rPr>
        <w:t>judicial</w:t>
      </w:r>
      <w:r>
        <w:rPr>
          <w:rFonts w:ascii="Times New Roman" w:hAnsi="Times New Roman" w:cs="Times New Roman"/>
          <w:szCs w:val="24"/>
        </w:rPr>
        <w:t xml:space="preserve"> as required by law.</w:t>
      </w:r>
    </w:p>
    <w:p w:rsidR="00A56934" w:rsidRDefault="00A56934" w:rsidP="005C2CBD">
      <w:pPr>
        <w:spacing w:line="360" w:lineRule="auto"/>
        <w:jc w:val="both"/>
        <w:rPr>
          <w:rFonts w:ascii="Times New Roman" w:hAnsi="Times New Roman" w:cs="Times New Roman"/>
          <w:szCs w:val="24"/>
        </w:rPr>
      </w:pPr>
      <w:r>
        <w:rPr>
          <w:rFonts w:ascii="Times New Roman" w:hAnsi="Times New Roman" w:cs="Times New Roman"/>
          <w:szCs w:val="24"/>
        </w:rPr>
        <w:tab/>
        <w:t>Secondly the court found also that the alleged apprehension, whatever it was, was not reasonably and genuinely held.</w:t>
      </w:r>
    </w:p>
    <w:p w:rsidR="00A56934" w:rsidRDefault="00A56934" w:rsidP="005C2CBD">
      <w:pPr>
        <w:spacing w:line="360" w:lineRule="auto"/>
        <w:jc w:val="both"/>
        <w:rPr>
          <w:rFonts w:ascii="Times New Roman" w:hAnsi="Times New Roman" w:cs="Times New Roman"/>
          <w:szCs w:val="24"/>
        </w:rPr>
      </w:pPr>
      <w:r>
        <w:rPr>
          <w:rFonts w:ascii="Times New Roman" w:hAnsi="Times New Roman" w:cs="Times New Roman"/>
          <w:szCs w:val="24"/>
        </w:rPr>
        <w:tab/>
        <w:t>It is this court’s finding that applicant has no reasonable prospects of success on appeal.</w:t>
      </w:r>
    </w:p>
    <w:p w:rsidR="00A56934" w:rsidRDefault="00A56934" w:rsidP="005C2CBD">
      <w:pPr>
        <w:spacing w:line="360" w:lineRule="auto"/>
        <w:jc w:val="both"/>
        <w:rPr>
          <w:rFonts w:ascii="Times New Roman" w:hAnsi="Times New Roman" w:cs="Times New Roman"/>
          <w:szCs w:val="24"/>
        </w:rPr>
      </w:pPr>
      <w:r>
        <w:rPr>
          <w:rFonts w:ascii="Times New Roman" w:hAnsi="Times New Roman" w:cs="Times New Roman"/>
          <w:szCs w:val="24"/>
        </w:rPr>
        <w:tab/>
        <w:t>Accordingly, the application for leave to appeal against the judgement of this court handed down on 14 January 2020 is dismissed.</w:t>
      </w:r>
    </w:p>
    <w:p w:rsidR="00A56934" w:rsidRDefault="00A56934" w:rsidP="005C2CBD">
      <w:pPr>
        <w:spacing w:line="360" w:lineRule="auto"/>
        <w:jc w:val="both"/>
        <w:rPr>
          <w:rFonts w:ascii="Times New Roman" w:hAnsi="Times New Roman" w:cs="Times New Roman"/>
          <w:szCs w:val="24"/>
        </w:rPr>
      </w:pPr>
    </w:p>
    <w:p w:rsidR="00A56934" w:rsidRDefault="00A56934" w:rsidP="005C2CBD">
      <w:pPr>
        <w:spacing w:line="360" w:lineRule="auto"/>
        <w:jc w:val="both"/>
        <w:rPr>
          <w:rFonts w:ascii="Times New Roman" w:hAnsi="Times New Roman" w:cs="Times New Roman"/>
          <w:szCs w:val="24"/>
        </w:rPr>
      </w:pPr>
    </w:p>
    <w:p w:rsidR="00A56934" w:rsidRDefault="005C2CBD" w:rsidP="005C2CBD">
      <w:pPr>
        <w:pStyle w:val="NoSpacing"/>
        <w:jc w:val="both"/>
        <w:rPr>
          <w:rFonts w:ascii="Times New Roman" w:hAnsi="Times New Roman" w:cs="Times New Roman"/>
        </w:rPr>
      </w:pPr>
      <w:r w:rsidRPr="005C2CBD">
        <w:rPr>
          <w:rFonts w:ascii="Times New Roman" w:hAnsi="Times New Roman" w:cs="Times New Roman"/>
          <w:i/>
        </w:rPr>
        <w:t>Nyikadzino, Simango &amp; Associates</w:t>
      </w:r>
      <w:r w:rsidRPr="005C2CBD">
        <w:rPr>
          <w:rFonts w:ascii="Times New Roman" w:hAnsi="Times New Roman" w:cs="Times New Roman"/>
        </w:rPr>
        <w:t>, applicant’s legal practi</w:t>
      </w:r>
      <w:r w:rsidR="00DF353F">
        <w:rPr>
          <w:rFonts w:ascii="Times New Roman" w:hAnsi="Times New Roman" w:cs="Times New Roman"/>
        </w:rPr>
        <w:t>ti</w:t>
      </w:r>
      <w:r w:rsidRPr="005C2CBD">
        <w:rPr>
          <w:rFonts w:ascii="Times New Roman" w:hAnsi="Times New Roman" w:cs="Times New Roman"/>
        </w:rPr>
        <w:t>oners</w:t>
      </w:r>
    </w:p>
    <w:p w:rsidR="005C2CBD" w:rsidRPr="005C2CBD" w:rsidRDefault="005C2CBD" w:rsidP="005C2CBD">
      <w:pPr>
        <w:pStyle w:val="NoSpacing"/>
        <w:jc w:val="both"/>
        <w:rPr>
          <w:rFonts w:ascii="Times New Roman" w:hAnsi="Times New Roman" w:cs="Times New Roman"/>
        </w:rPr>
      </w:pPr>
      <w:r w:rsidRPr="005C2CBD">
        <w:rPr>
          <w:rFonts w:ascii="Times New Roman" w:hAnsi="Times New Roman" w:cs="Times New Roman"/>
          <w:i/>
        </w:rPr>
        <w:t>National Prosecuting Authority</w:t>
      </w:r>
      <w:r>
        <w:rPr>
          <w:rFonts w:ascii="Times New Roman" w:hAnsi="Times New Roman" w:cs="Times New Roman"/>
        </w:rPr>
        <w:t>, 1</w:t>
      </w:r>
      <w:r w:rsidRPr="005C2CBD">
        <w:rPr>
          <w:rFonts w:ascii="Times New Roman" w:hAnsi="Times New Roman" w:cs="Times New Roman"/>
          <w:vertAlign w:val="superscript"/>
        </w:rPr>
        <w:t>st</w:t>
      </w:r>
      <w:r>
        <w:rPr>
          <w:rFonts w:ascii="Times New Roman" w:hAnsi="Times New Roman" w:cs="Times New Roman"/>
        </w:rPr>
        <w:t xml:space="preserve"> respondent’s legal practitioners</w:t>
      </w:r>
    </w:p>
    <w:p w:rsidR="005C2CBD" w:rsidRPr="005C2CBD" w:rsidRDefault="005C2CBD" w:rsidP="005C2CBD">
      <w:pPr>
        <w:pStyle w:val="NoSpacing"/>
        <w:jc w:val="both"/>
        <w:rPr>
          <w:rFonts w:ascii="Times New Roman" w:hAnsi="Times New Roman" w:cs="Times New Roman"/>
        </w:rPr>
      </w:pPr>
      <w:r w:rsidRPr="005C2CBD">
        <w:rPr>
          <w:rFonts w:ascii="Times New Roman" w:hAnsi="Times New Roman" w:cs="Times New Roman"/>
          <w:i/>
        </w:rPr>
        <w:t>Gonese &amp; Ndlovu</w:t>
      </w:r>
      <w:r w:rsidRPr="005C2CBD">
        <w:rPr>
          <w:rFonts w:ascii="Times New Roman" w:hAnsi="Times New Roman" w:cs="Times New Roman"/>
        </w:rPr>
        <w:t>, 2</w:t>
      </w:r>
      <w:r w:rsidRPr="005C2CBD">
        <w:rPr>
          <w:rFonts w:ascii="Times New Roman" w:hAnsi="Times New Roman" w:cs="Times New Roman"/>
          <w:vertAlign w:val="superscript"/>
        </w:rPr>
        <w:t>nd</w:t>
      </w:r>
      <w:r w:rsidRPr="005C2CBD">
        <w:rPr>
          <w:rFonts w:ascii="Times New Roman" w:hAnsi="Times New Roman" w:cs="Times New Roman"/>
        </w:rPr>
        <w:t>, 3</w:t>
      </w:r>
      <w:r w:rsidRPr="005C2CBD">
        <w:rPr>
          <w:rFonts w:ascii="Times New Roman" w:hAnsi="Times New Roman" w:cs="Times New Roman"/>
          <w:vertAlign w:val="superscript"/>
        </w:rPr>
        <w:t>rd</w:t>
      </w:r>
      <w:r w:rsidRPr="005C2CBD">
        <w:rPr>
          <w:rFonts w:ascii="Times New Roman" w:hAnsi="Times New Roman" w:cs="Times New Roman"/>
        </w:rPr>
        <w:t xml:space="preserve"> and 4</w:t>
      </w:r>
      <w:r w:rsidRPr="005C2CBD">
        <w:rPr>
          <w:rFonts w:ascii="Times New Roman" w:hAnsi="Times New Roman" w:cs="Times New Roman"/>
          <w:vertAlign w:val="superscript"/>
        </w:rPr>
        <w:t>th</w:t>
      </w:r>
      <w:r w:rsidRPr="005C2CBD">
        <w:rPr>
          <w:rFonts w:ascii="Times New Roman" w:hAnsi="Times New Roman" w:cs="Times New Roman"/>
        </w:rPr>
        <w:t xml:space="preserve"> respondents’ legal practitioners</w:t>
      </w:r>
    </w:p>
    <w:p w:rsidR="005C2CBD" w:rsidRPr="005C2CBD" w:rsidRDefault="005C2CBD" w:rsidP="005C2CBD">
      <w:pPr>
        <w:pStyle w:val="NoSpacing"/>
        <w:jc w:val="both"/>
        <w:rPr>
          <w:rFonts w:ascii="Times New Roman" w:hAnsi="Times New Roman" w:cs="Times New Roman"/>
        </w:rPr>
      </w:pPr>
      <w:r w:rsidRPr="005C2CBD">
        <w:rPr>
          <w:rFonts w:ascii="Times New Roman" w:hAnsi="Times New Roman" w:cs="Times New Roman"/>
          <w:i/>
        </w:rPr>
        <w:t>Rubaya &amp; Chatambudza</w:t>
      </w:r>
      <w:r w:rsidRPr="005C2CBD">
        <w:rPr>
          <w:rFonts w:ascii="Times New Roman" w:hAnsi="Times New Roman" w:cs="Times New Roman"/>
        </w:rPr>
        <w:t>, 5</w:t>
      </w:r>
      <w:r w:rsidRPr="005C2CBD">
        <w:rPr>
          <w:rFonts w:ascii="Times New Roman" w:hAnsi="Times New Roman" w:cs="Times New Roman"/>
          <w:vertAlign w:val="superscript"/>
        </w:rPr>
        <w:t>th</w:t>
      </w:r>
      <w:r w:rsidRPr="005C2CBD">
        <w:rPr>
          <w:rFonts w:ascii="Times New Roman" w:hAnsi="Times New Roman" w:cs="Times New Roman"/>
        </w:rPr>
        <w:t xml:space="preserve"> respondent’s legal practitioners</w:t>
      </w:r>
    </w:p>
    <w:p w:rsidR="005C2CBD" w:rsidRPr="005C2CBD" w:rsidRDefault="005C2CBD" w:rsidP="005C2CBD">
      <w:pPr>
        <w:pStyle w:val="NoSpacing"/>
        <w:jc w:val="both"/>
        <w:rPr>
          <w:rFonts w:ascii="Times New Roman" w:hAnsi="Times New Roman" w:cs="Times New Roman"/>
        </w:rPr>
      </w:pPr>
      <w:r w:rsidRPr="005C2CBD">
        <w:rPr>
          <w:rFonts w:ascii="Times New Roman" w:hAnsi="Times New Roman" w:cs="Times New Roman"/>
          <w:i/>
        </w:rPr>
        <w:t>Tanaka Law Chambers</w:t>
      </w:r>
      <w:r w:rsidRPr="005C2CBD">
        <w:rPr>
          <w:rFonts w:ascii="Times New Roman" w:hAnsi="Times New Roman" w:cs="Times New Roman"/>
        </w:rPr>
        <w:t>, 6</w:t>
      </w:r>
      <w:r w:rsidRPr="005C2CBD">
        <w:rPr>
          <w:rFonts w:ascii="Times New Roman" w:hAnsi="Times New Roman" w:cs="Times New Roman"/>
          <w:vertAlign w:val="superscript"/>
        </w:rPr>
        <w:t>th</w:t>
      </w:r>
      <w:r w:rsidRPr="005C2CBD">
        <w:rPr>
          <w:rFonts w:ascii="Times New Roman" w:hAnsi="Times New Roman" w:cs="Times New Roman"/>
        </w:rPr>
        <w:t xml:space="preserve"> respondent’s legal practitioners</w:t>
      </w:r>
    </w:p>
    <w:p w:rsidR="005C2CBD" w:rsidRPr="005C2CBD" w:rsidRDefault="005C2CBD" w:rsidP="005C2CBD">
      <w:pPr>
        <w:pStyle w:val="NoSpacing"/>
        <w:jc w:val="both"/>
        <w:rPr>
          <w:rFonts w:ascii="Times New Roman" w:hAnsi="Times New Roman" w:cs="Times New Roman"/>
        </w:rPr>
      </w:pPr>
      <w:r w:rsidRPr="005C2CBD">
        <w:rPr>
          <w:rFonts w:ascii="Times New Roman" w:hAnsi="Times New Roman" w:cs="Times New Roman"/>
          <w:i/>
        </w:rPr>
        <w:t>Mathonsi Ncube Law Chambers</w:t>
      </w:r>
      <w:r w:rsidRPr="005C2CBD">
        <w:rPr>
          <w:rFonts w:ascii="Times New Roman" w:hAnsi="Times New Roman" w:cs="Times New Roman"/>
        </w:rPr>
        <w:t>, 8</w:t>
      </w:r>
      <w:r w:rsidRPr="005C2CBD">
        <w:rPr>
          <w:rFonts w:ascii="Times New Roman" w:hAnsi="Times New Roman" w:cs="Times New Roman"/>
          <w:vertAlign w:val="superscript"/>
        </w:rPr>
        <w:t>th</w:t>
      </w:r>
      <w:r w:rsidR="00DF353F">
        <w:rPr>
          <w:rFonts w:ascii="Times New Roman" w:hAnsi="Times New Roman" w:cs="Times New Roman"/>
        </w:rPr>
        <w:t xml:space="preserve"> respo</w:t>
      </w:r>
      <w:r w:rsidRPr="005C2CBD">
        <w:rPr>
          <w:rFonts w:ascii="Times New Roman" w:hAnsi="Times New Roman" w:cs="Times New Roman"/>
        </w:rPr>
        <w:t>ndent’s legal practitioners</w:t>
      </w:r>
    </w:p>
    <w:p w:rsidR="005C2CBD" w:rsidRPr="005C2CBD" w:rsidRDefault="005C2CBD" w:rsidP="005C2CBD">
      <w:pPr>
        <w:pStyle w:val="NoSpacing"/>
        <w:jc w:val="both"/>
        <w:rPr>
          <w:rFonts w:ascii="Times New Roman" w:hAnsi="Times New Roman" w:cs="Times New Roman"/>
        </w:rPr>
      </w:pPr>
      <w:r w:rsidRPr="005C2CBD">
        <w:rPr>
          <w:rFonts w:ascii="Times New Roman" w:hAnsi="Times New Roman" w:cs="Times New Roman"/>
          <w:i/>
        </w:rPr>
        <w:t>Mufadza &amp; Associates</w:t>
      </w:r>
      <w:r w:rsidRPr="005C2CBD">
        <w:rPr>
          <w:rFonts w:ascii="Times New Roman" w:hAnsi="Times New Roman" w:cs="Times New Roman"/>
        </w:rPr>
        <w:t>, 9</w:t>
      </w:r>
      <w:r w:rsidRPr="005C2CBD">
        <w:rPr>
          <w:rFonts w:ascii="Times New Roman" w:hAnsi="Times New Roman" w:cs="Times New Roman"/>
          <w:vertAlign w:val="superscript"/>
        </w:rPr>
        <w:t>th</w:t>
      </w:r>
      <w:r w:rsidRPr="005C2CBD">
        <w:rPr>
          <w:rFonts w:ascii="Times New Roman" w:hAnsi="Times New Roman" w:cs="Times New Roman"/>
        </w:rPr>
        <w:t xml:space="preserve"> respondent’s legal practitioners</w:t>
      </w:r>
    </w:p>
    <w:p w:rsidR="005C2CBD" w:rsidRDefault="005C2CBD" w:rsidP="005B27CF">
      <w:pPr>
        <w:spacing w:line="360" w:lineRule="auto"/>
        <w:rPr>
          <w:rFonts w:ascii="Times New Roman" w:hAnsi="Times New Roman" w:cs="Times New Roman"/>
          <w:szCs w:val="24"/>
        </w:rPr>
      </w:pPr>
    </w:p>
    <w:p w:rsidR="00A56934" w:rsidRDefault="00A56934" w:rsidP="005B27CF">
      <w:pPr>
        <w:spacing w:line="360" w:lineRule="auto"/>
        <w:rPr>
          <w:rFonts w:ascii="Times New Roman" w:hAnsi="Times New Roman" w:cs="Times New Roman"/>
          <w:szCs w:val="24"/>
        </w:rPr>
      </w:pPr>
    </w:p>
    <w:p w:rsidR="00A56934" w:rsidRDefault="00A56934" w:rsidP="005B27CF">
      <w:pPr>
        <w:spacing w:line="360" w:lineRule="auto"/>
        <w:rPr>
          <w:rFonts w:ascii="Times New Roman" w:hAnsi="Times New Roman" w:cs="Times New Roman"/>
          <w:szCs w:val="24"/>
        </w:rPr>
      </w:pPr>
      <w:r>
        <w:rPr>
          <w:rFonts w:ascii="Times New Roman" w:hAnsi="Times New Roman" w:cs="Times New Roman"/>
          <w:szCs w:val="24"/>
        </w:rPr>
        <w:t xml:space="preserve">  </w:t>
      </w:r>
    </w:p>
    <w:p w:rsidR="001D08C3" w:rsidRDefault="005B27CF" w:rsidP="00CA7F69">
      <w:r>
        <w:rPr>
          <w:rFonts w:ascii="Times New Roman" w:hAnsi="Times New Roman" w:cs="Times New Roman"/>
          <w:szCs w:val="24"/>
        </w:rPr>
        <w:tab/>
        <w:t xml:space="preserve"> </w:t>
      </w:r>
    </w:p>
    <w:sectPr w:rsidR="001D08C3"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ECE" w:rsidRDefault="005D3ECE" w:rsidP="005C2CBD">
      <w:pPr>
        <w:spacing w:after="0" w:line="240" w:lineRule="auto"/>
      </w:pPr>
      <w:r>
        <w:separator/>
      </w:r>
    </w:p>
  </w:endnote>
  <w:endnote w:type="continuationSeparator" w:id="1">
    <w:p w:rsidR="005D3ECE" w:rsidRDefault="005D3ECE" w:rsidP="005C2C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ECE" w:rsidRDefault="005D3ECE" w:rsidP="005C2CBD">
      <w:pPr>
        <w:spacing w:after="0" w:line="240" w:lineRule="auto"/>
      </w:pPr>
      <w:r>
        <w:separator/>
      </w:r>
    </w:p>
  </w:footnote>
  <w:footnote w:type="continuationSeparator" w:id="1">
    <w:p w:rsidR="005D3ECE" w:rsidRDefault="005D3ECE" w:rsidP="005C2C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02117"/>
      <w:docPartObj>
        <w:docPartGallery w:val="Page Numbers (Top of Page)"/>
        <w:docPartUnique/>
      </w:docPartObj>
    </w:sdtPr>
    <w:sdtEndPr>
      <w:rPr>
        <w:rFonts w:ascii="Times New Roman" w:hAnsi="Times New Roman" w:cs="Times New Roman"/>
        <w:sz w:val="24"/>
        <w:szCs w:val="24"/>
      </w:rPr>
    </w:sdtEndPr>
    <w:sdtContent>
      <w:p w:rsidR="005C2CBD" w:rsidRPr="005C2CBD" w:rsidRDefault="00B10722">
        <w:pPr>
          <w:pStyle w:val="Header"/>
          <w:jc w:val="right"/>
          <w:rPr>
            <w:rFonts w:ascii="Times New Roman" w:hAnsi="Times New Roman" w:cs="Times New Roman"/>
            <w:sz w:val="24"/>
            <w:szCs w:val="24"/>
          </w:rPr>
        </w:pPr>
        <w:r w:rsidRPr="005C2CBD">
          <w:rPr>
            <w:rFonts w:ascii="Times New Roman" w:hAnsi="Times New Roman" w:cs="Times New Roman"/>
            <w:sz w:val="24"/>
            <w:szCs w:val="24"/>
          </w:rPr>
          <w:fldChar w:fldCharType="begin"/>
        </w:r>
        <w:r w:rsidR="005C2CBD" w:rsidRPr="005C2CBD">
          <w:rPr>
            <w:rFonts w:ascii="Times New Roman" w:hAnsi="Times New Roman" w:cs="Times New Roman"/>
            <w:sz w:val="24"/>
            <w:szCs w:val="24"/>
          </w:rPr>
          <w:instrText xml:space="preserve"> PAGE   \* MERGEFORMAT </w:instrText>
        </w:r>
        <w:r w:rsidRPr="005C2CBD">
          <w:rPr>
            <w:rFonts w:ascii="Times New Roman" w:hAnsi="Times New Roman" w:cs="Times New Roman"/>
            <w:sz w:val="24"/>
            <w:szCs w:val="24"/>
          </w:rPr>
          <w:fldChar w:fldCharType="separate"/>
        </w:r>
        <w:r w:rsidR="00744AB3">
          <w:rPr>
            <w:rFonts w:ascii="Times New Roman" w:hAnsi="Times New Roman" w:cs="Times New Roman"/>
            <w:noProof/>
            <w:sz w:val="24"/>
            <w:szCs w:val="24"/>
          </w:rPr>
          <w:t>2</w:t>
        </w:r>
        <w:r w:rsidRPr="005C2CBD">
          <w:rPr>
            <w:rFonts w:ascii="Times New Roman" w:hAnsi="Times New Roman" w:cs="Times New Roman"/>
            <w:sz w:val="24"/>
            <w:szCs w:val="24"/>
          </w:rPr>
          <w:fldChar w:fldCharType="end"/>
        </w:r>
      </w:p>
      <w:p w:rsidR="005C2CBD" w:rsidRPr="005C2CBD" w:rsidRDefault="005C2CBD">
        <w:pPr>
          <w:pStyle w:val="Header"/>
          <w:jc w:val="right"/>
          <w:rPr>
            <w:rFonts w:ascii="Times New Roman" w:hAnsi="Times New Roman" w:cs="Times New Roman"/>
            <w:sz w:val="24"/>
            <w:szCs w:val="24"/>
          </w:rPr>
        </w:pPr>
        <w:r w:rsidRPr="005C2CBD">
          <w:rPr>
            <w:rFonts w:ascii="Times New Roman" w:hAnsi="Times New Roman" w:cs="Times New Roman"/>
            <w:sz w:val="24"/>
            <w:szCs w:val="24"/>
          </w:rPr>
          <w:t>HB 43.20</w:t>
        </w:r>
      </w:p>
      <w:p w:rsidR="005C2CBD" w:rsidRPr="005C2CBD" w:rsidRDefault="005C2CBD">
        <w:pPr>
          <w:pStyle w:val="Header"/>
          <w:jc w:val="right"/>
          <w:rPr>
            <w:rFonts w:ascii="Times New Roman" w:hAnsi="Times New Roman" w:cs="Times New Roman"/>
            <w:sz w:val="24"/>
            <w:szCs w:val="24"/>
          </w:rPr>
        </w:pPr>
        <w:r w:rsidRPr="005C2CBD">
          <w:rPr>
            <w:rFonts w:ascii="Times New Roman" w:hAnsi="Times New Roman" w:cs="Times New Roman"/>
            <w:sz w:val="24"/>
            <w:szCs w:val="24"/>
          </w:rPr>
          <w:t>(HC) CRB 118/18</w:t>
        </w:r>
      </w:p>
    </w:sdtContent>
  </w:sdt>
  <w:p w:rsidR="005C2CBD" w:rsidRDefault="005C2C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7F69"/>
    <w:rsid w:val="000F3B94"/>
    <w:rsid w:val="001D08C3"/>
    <w:rsid w:val="001D6DD8"/>
    <w:rsid w:val="001E7B5E"/>
    <w:rsid w:val="00245715"/>
    <w:rsid w:val="00273A11"/>
    <w:rsid w:val="002B369D"/>
    <w:rsid w:val="00371690"/>
    <w:rsid w:val="00374A2D"/>
    <w:rsid w:val="003829EE"/>
    <w:rsid w:val="00401A1B"/>
    <w:rsid w:val="004151E4"/>
    <w:rsid w:val="004C381E"/>
    <w:rsid w:val="0050243D"/>
    <w:rsid w:val="005B27CF"/>
    <w:rsid w:val="005C2CBD"/>
    <w:rsid w:val="005D3ECE"/>
    <w:rsid w:val="00634E70"/>
    <w:rsid w:val="00642462"/>
    <w:rsid w:val="00744AB3"/>
    <w:rsid w:val="007C5505"/>
    <w:rsid w:val="00894610"/>
    <w:rsid w:val="008E388E"/>
    <w:rsid w:val="00A56934"/>
    <w:rsid w:val="00A97786"/>
    <w:rsid w:val="00AC540E"/>
    <w:rsid w:val="00B015F2"/>
    <w:rsid w:val="00B10722"/>
    <w:rsid w:val="00C44661"/>
    <w:rsid w:val="00CA7F69"/>
    <w:rsid w:val="00D07B1C"/>
    <w:rsid w:val="00D20C47"/>
    <w:rsid w:val="00DB5D77"/>
    <w:rsid w:val="00DF353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F69"/>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5C2C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CBD"/>
  </w:style>
  <w:style w:type="paragraph" w:styleId="Footer">
    <w:name w:val="footer"/>
    <w:basedOn w:val="Normal"/>
    <w:link w:val="FooterChar"/>
    <w:uiPriority w:val="99"/>
    <w:semiHidden/>
    <w:unhideWhenUsed/>
    <w:rsid w:val="005C2C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2C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5</cp:revision>
  <cp:lastPrinted>2020-03-05T13:11:00Z</cp:lastPrinted>
  <dcterms:created xsi:type="dcterms:W3CDTF">2020-03-03T12:23:00Z</dcterms:created>
  <dcterms:modified xsi:type="dcterms:W3CDTF">2020-03-05T13:13:00Z</dcterms:modified>
</cp:coreProperties>
</file>