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FBA" w:rsidRPr="00644C75" w:rsidRDefault="00042FBA" w:rsidP="00042FBA">
      <w:pPr>
        <w:spacing w:line="360" w:lineRule="auto"/>
        <w:rPr>
          <w:rFonts w:cs="Tahoma"/>
          <w:b/>
        </w:rPr>
      </w:pPr>
      <w:r w:rsidRPr="00644C75">
        <w:rPr>
          <w:rFonts w:cs="Tahoma"/>
          <w:b/>
        </w:rPr>
        <w:t>IN THE LABOUR COURT OF ZIMBABWE      JUDGMENT NO. LC/H/</w:t>
      </w:r>
      <w:r w:rsidR="007D68E1">
        <w:rPr>
          <w:rFonts w:cs="Tahoma"/>
          <w:b/>
        </w:rPr>
        <w:t>446</w:t>
      </w:r>
      <w:bookmarkStart w:id="0" w:name="_GoBack"/>
      <w:bookmarkEnd w:id="0"/>
      <w:r w:rsidRPr="00644C75">
        <w:rPr>
          <w:rFonts w:cs="Tahoma"/>
          <w:b/>
        </w:rPr>
        <w:t>/2016</w:t>
      </w:r>
    </w:p>
    <w:p w:rsidR="00042FBA" w:rsidRPr="00644C75" w:rsidRDefault="00042FBA" w:rsidP="00042FBA">
      <w:pPr>
        <w:spacing w:line="360" w:lineRule="auto"/>
        <w:jc w:val="both"/>
        <w:rPr>
          <w:rFonts w:cs="Tahoma"/>
          <w:b/>
        </w:rPr>
      </w:pPr>
      <w:r w:rsidRPr="00644C75">
        <w:rPr>
          <w:rFonts w:cs="Tahoma"/>
          <w:b/>
        </w:rPr>
        <w:t xml:space="preserve">HARARE, </w:t>
      </w:r>
      <w:r>
        <w:rPr>
          <w:rFonts w:cs="Tahoma"/>
          <w:b/>
        </w:rPr>
        <w:t xml:space="preserve">13 JUNE </w:t>
      </w:r>
      <w:r w:rsidRPr="00644C75">
        <w:rPr>
          <w:rFonts w:cs="Tahoma"/>
          <w:b/>
        </w:rPr>
        <w:t xml:space="preserve">2016  </w:t>
      </w:r>
      <w:r w:rsidRPr="00644C75">
        <w:rPr>
          <w:rFonts w:cs="Tahoma"/>
          <w:b/>
        </w:rPr>
        <w:tab/>
      </w:r>
      <w:r w:rsidRPr="00644C75">
        <w:rPr>
          <w:rFonts w:cs="Tahoma"/>
          <w:b/>
        </w:rPr>
        <w:tab/>
      </w:r>
      <w:r w:rsidRPr="00644C75">
        <w:rPr>
          <w:rFonts w:cs="Tahoma"/>
          <w:b/>
        </w:rPr>
        <w:tab/>
      </w:r>
      <w:r w:rsidRPr="00644C75">
        <w:rPr>
          <w:rFonts w:cs="Tahoma"/>
          <w:b/>
        </w:rPr>
        <w:tab/>
        <w:t xml:space="preserve">     CASE NO. LC/H/</w:t>
      </w:r>
      <w:r>
        <w:rPr>
          <w:rFonts w:cs="Tahoma"/>
          <w:b/>
        </w:rPr>
        <w:t>452/15</w:t>
      </w:r>
    </w:p>
    <w:p w:rsidR="00042FBA" w:rsidRPr="00644C75" w:rsidRDefault="00042FBA" w:rsidP="00042FBA">
      <w:pPr>
        <w:spacing w:line="360" w:lineRule="auto"/>
        <w:jc w:val="both"/>
        <w:rPr>
          <w:rFonts w:cs="Tahoma"/>
          <w:b/>
        </w:rPr>
      </w:pPr>
      <w:proofErr w:type="gramStart"/>
      <w:r w:rsidRPr="00644C75">
        <w:rPr>
          <w:rFonts w:cs="Tahoma"/>
          <w:b/>
        </w:rPr>
        <w:t xml:space="preserve">AND  </w:t>
      </w:r>
      <w:r w:rsidR="007D68E1">
        <w:rPr>
          <w:rFonts w:cs="Tahoma"/>
          <w:b/>
        </w:rPr>
        <w:t>22</w:t>
      </w:r>
      <w:proofErr w:type="gramEnd"/>
      <w:r w:rsidR="007D68E1">
        <w:rPr>
          <w:rFonts w:cs="Tahoma"/>
          <w:b/>
        </w:rPr>
        <w:t xml:space="preserve"> JULY </w:t>
      </w:r>
      <w:r w:rsidRPr="00644C75">
        <w:rPr>
          <w:rFonts w:cs="Tahoma"/>
          <w:b/>
        </w:rPr>
        <w:t>2016</w:t>
      </w:r>
    </w:p>
    <w:p w:rsidR="00042FBA" w:rsidRPr="00644C75" w:rsidRDefault="00042FBA" w:rsidP="00042FBA">
      <w:pPr>
        <w:jc w:val="both"/>
        <w:rPr>
          <w:rFonts w:cs="Tahoma"/>
        </w:rPr>
      </w:pPr>
      <w:r w:rsidRPr="00644C75">
        <w:rPr>
          <w:rFonts w:cs="Tahoma"/>
        </w:rPr>
        <w:t>In the matter between:-</w:t>
      </w:r>
    </w:p>
    <w:p w:rsidR="00042FBA" w:rsidRPr="00644C75" w:rsidRDefault="00042FBA" w:rsidP="00042FBA">
      <w:pPr>
        <w:jc w:val="both"/>
        <w:rPr>
          <w:rFonts w:cs="Tahoma"/>
        </w:rPr>
      </w:pPr>
    </w:p>
    <w:p w:rsidR="00042FBA" w:rsidRPr="00644C75" w:rsidRDefault="00042FBA" w:rsidP="00042FBA">
      <w:pPr>
        <w:jc w:val="both"/>
        <w:rPr>
          <w:rFonts w:cs="Tahoma"/>
        </w:rPr>
      </w:pPr>
    </w:p>
    <w:p w:rsidR="00042FBA" w:rsidRPr="00644C75" w:rsidRDefault="00042FBA" w:rsidP="00042FBA">
      <w:pPr>
        <w:spacing w:line="360" w:lineRule="auto"/>
        <w:jc w:val="both"/>
        <w:rPr>
          <w:rFonts w:cs="Tahoma"/>
          <w:b/>
        </w:rPr>
      </w:pPr>
      <w:r>
        <w:rPr>
          <w:rFonts w:cs="Tahoma"/>
          <w:b/>
        </w:rPr>
        <w:t>JANET MOYO</w:t>
      </w:r>
      <w:r>
        <w:rPr>
          <w:rFonts w:cs="Tahoma"/>
          <w:b/>
        </w:rPr>
        <w:tab/>
      </w:r>
      <w:r>
        <w:rPr>
          <w:rFonts w:cs="Tahoma"/>
          <w:b/>
        </w:rPr>
        <w:tab/>
      </w:r>
      <w:r>
        <w:rPr>
          <w:rFonts w:cs="Tahoma"/>
          <w:b/>
        </w:rPr>
        <w:tab/>
      </w:r>
      <w:r w:rsidRPr="00644C75">
        <w:rPr>
          <w:rFonts w:cs="Tahoma"/>
          <w:b/>
        </w:rPr>
        <w:tab/>
      </w:r>
      <w:r w:rsidRPr="00644C75">
        <w:rPr>
          <w:rFonts w:cs="Tahoma"/>
          <w:b/>
        </w:rPr>
        <w:tab/>
      </w:r>
      <w:r w:rsidRPr="00644C75">
        <w:rPr>
          <w:rFonts w:cs="Tahoma"/>
          <w:b/>
        </w:rPr>
        <w:tab/>
      </w:r>
      <w:r w:rsidRPr="00644C75">
        <w:rPr>
          <w:rFonts w:cs="Tahoma"/>
          <w:b/>
        </w:rPr>
        <w:tab/>
        <w:t>Appellant</w:t>
      </w:r>
    </w:p>
    <w:p w:rsidR="00042FBA" w:rsidRPr="00644C75" w:rsidRDefault="00042FBA" w:rsidP="00042FBA">
      <w:pPr>
        <w:tabs>
          <w:tab w:val="left" w:pos="1995"/>
        </w:tabs>
        <w:spacing w:line="360" w:lineRule="auto"/>
        <w:jc w:val="both"/>
        <w:rPr>
          <w:rFonts w:cs="Tahoma"/>
        </w:rPr>
      </w:pPr>
      <w:r w:rsidRPr="00644C75">
        <w:rPr>
          <w:rFonts w:cs="Tahoma"/>
        </w:rPr>
        <w:t>And</w:t>
      </w:r>
      <w:r w:rsidRPr="00644C75">
        <w:rPr>
          <w:rFonts w:cs="Tahoma"/>
        </w:rPr>
        <w:tab/>
      </w:r>
    </w:p>
    <w:p w:rsidR="00042FBA" w:rsidRPr="00644C75" w:rsidRDefault="00042FBA" w:rsidP="00042FBA">
      <w:pPr>
        <w:spacing w:line="360" w:lineRule="auto"/>
        <w:jc w:val="both"/>
        <w:rPr>
          <w:rFonts w:cs="Tahoma"/>
          <w:b/>
        </w:rPr>
      </w:pPr>
      <w:r>
        <w:rPr>
          <w:rFonts w:cs="Tahoma"/>
          <w:b/>
        </w:rPr>
        <w:t>IRVINES ZIMBABWE (PVT) LTD</w:t>
      </w:r>
      <w:r>
        <w:rPr>
          <w:rFonts w:cs="Tahoma"/>
          <w:b/>
        </w:rPr>
        <w:tab/>
      </w:r>
      <w:r>
        <w:rPr>
          <w:rFonts w:cs="Tahoma"/>
          <w:b/>
        </w:rPr>
        <w:tab/>
      </w:r>
      <w:r>
        <w:rPr>
          <w:rFonts w:cs="Tahoma"/>
          <w:b/>
        </w:rPr>
        <w:tab/>
      </w:r>
      <w:r>
        <w:rPr>
          <w:rFonts w:cs="Tahoma"/>
          <w:b/>
        </w:rPr>
        <w:tab/>
      </w:r>
      <w:r w:rsidRPr="00644C75">
        <w:rPr>
          <w:rFonts w:cs="Tahoma"/>
          <w:b/>
        </w:rPr>
        <w:t>Respondent</w:t>
      </w:r>
    </w:p>
    <w:p w:rsidR="00042FBA" w:rsidRPr="00644C75" w:rsidRDefault="00042FBA" w:rsidP="00042FBA">
      <w:pPr>
        <w:jc w:val="both"/>
        <w:rPr>
          <w:rFonts w:cs="Tahoma"/>
          <w:b/>
        </w:rPr>
      </w:pPr>
    </w:p>
    <w:p w:rsidR="00042FBA" w:rsidRPr="00644C75" w:rsidRDefault="00042FBA" w:rsidP="00042FBA">
      <w:pPr>
        <w:spacing w:line="360" w:lineRule="auto"/>
        <w:jc w:val="both"/>
        <w:rPr>
          <w:rFonts w:cs="Tahoma"/>
        </w:rPr>
      </w:pPr>
      <w:r w:rsidRPr="00644C75">
        <w:rPr>
          <w:rFonts w:cs="Tahoma"/>
        </w:rPr>
        <w:t>Before Honourable P. Muzofa, Judge</w:t>
      </w:r>
    </w:p>
    <w:p w:rsidR="00042FBA" w:rsidRPr="00644C75" w:rsidRDefault="00042FBA" w:rsidP="00042FBA">
      <w:pPr>
        <w:jc w:val="both"/>
        <w:rPr>
          <w:rFonts w:cs="Tahoma"/>
        </w:rPr>
      </w:pPr>
    </w:p>
    <w:p w:rsidR="00042FBA" w:rsidRPr="00644C75" w:rsidRDefault="00042FBA" w:rsidP="00042FBA">
      <w:pPr>
        <w:jc w:val="both"/>
        <w:rPr>
          <w:rFonts w:cs="Tahoma"/>
        </w:rPr>
      </w:pPr>
      <w:r w:rsidRPr="00644C75">
        <w:rPr>
          <w:rFonts w:cs="Tahoma"/>
        </w:rPr>
        <w:tab/>
      </w:r>
      <w:r w:rsidRPr="00644C75">
        <w:rPr>
          <w:rFonts w:cs="Tahoma"/>
        </w:rPr>
        <w:tab/>
      </w:r>
      <w:r w:rsidRPr="00644C75">
        <w:rPr>
          <w:rFonts w:cs="Tahoma"/>
        </w:rPr>
        <w:tab/>
      </w:r>
    </w:p>
    <w:p w:rsidR="00042FBA" w:rsidRPr="00644C75" w:rsidRDefault="00042FBA" w:rsidP="00042FBA">
      <w:pPr>
        <w:spacing w:line="360" w:lineRule="auto"/>
        <w:jc w:val="both"/>
        <w:rPr>
          <w:rFonts w:cs="Tahoma"/>
          <w:b/>
        </w:rPr>
      </w:pPr>
      <w:r w:rsidRPr="00644C75">
        <w:rPr>
          <w:rFonts w:cs="Tahoma"/>
          <w:b/>
        </w:rPr>
        <w:t>Appellant</w:t>
      </w:r>
      <w:r>
        <w:rPr>
          <w:rFonts w:cs="Tahoma"/>
          <w:b/>
        </w:rPr>
        <w:tab/>
      </w:r>
      <w:r>
        <w:rPr>
          <w:rFonts w:cs="Tahoma"/>
          <w:b/>
        </w:rPr>
        <w:tab/>
      </w:r>
      <w:r>
        <w:rPr>
          <w:rFonts w:cs="Tahoma"/>
          <w:b/>
        </w:rPr>
        <w:tab/>
        <w:t>In person</w:t>
      </w:r>
      <w:r w:rsidRPr="00644C75">
        <w:rPr>
          <w:rFonts w:cs="Tahoma"/>
          <w:b/>
        </w:rPr>
        <w:tab/>
      </w:r>
    </w:p>
    <w:p w:rsidR="00042FBA" w:rsidRPr="00644C75" w:rsidRDefault="00042FBA" w:rsidP="00042FBA">
      <w:pPr>
        <w:spacing w:line="360" w:lineRule="auto"/>
        <w:jc w:val="both"/>
        <w:rPr>
          <w:rFonts w:cs="Tahoma"/>
          <w:b/>
        </w:rPr>
      </w:pPr>
      <w:r w:rsidRPr="00644C75">
        <w:rPr>
          <w:rFonts w:cs="Tahoma"/>
          <w:b/>
        </w:rPr>
        <w:t>For Respondent</w:t>
      </w:r>
      <w:r>
        <w:rPr>
          <w:rFonts w:cs="Tahoma"/>
          <w:b/>
        </w:rPr>
        <w:tab/>
      </w:r>
      <w:r>
        <w:rPr>
          <w:rFonts w:cs="Tahoma"/>
          <w:b/>
        </w:rPr>
        <w:tab/>
        <w:t>W. Mapfuvise (Human Resources Manager)</w:t>
      </w:r>
    </w:p>
    <w:p w:rsidR="00042FBA" w:rsidRPr="00644C75" w:rsidRDefault="00042FBA" w:rsidP="00042FBA">
      <w:pPr>
        <w:jc w:val="both"/>
        <w:rPr>
          <w:rFonts w:cs="Tahoma"/>
          <w:b/>
        </w:rPr>
      </w:pPr>
    </w:p>
    <w:p w:rsidR="00042FBA" w:rsidRPr="00644C75" w:rsidRDefault="00042FBA" w:rsidP="00042FBA">
      <w:pPr>
        <w:jc w:val="both"/>
        <w:rPr>
          <w:rFonts w:cs="Tahoma"/>
          <w:b/>
        </w:rPr>
      </w:pPr>
    </w:p>
    <w:p w:rsidR="00042FBA" w:rsidRPr="00644C75" w:rsidRDefault="00042FBA" w:rsidP="00042FBA">
      <w:pPr>
        <w:jc w:val="both"/>
        <w:rPr>
          <w:rFonts w:cs="Tahoma"/>
          <w:b/>
        </w:rPr>
      </w:pPr>
      <w:r w:rsidRPr="00644C75">
        <w:rPr>
          <w:rFonts w:cs="Tahoma"/>
          <w:b/>
        </w:rPr>
        <w:t>MUZOFA, J:</w:t>
      </w:r>
    </w:p>
    <w:p w:rsidR="00042FBA" w:rsidRDefault="00042FBA" w:rsidP="00042FBA">
      <w:pPr>
        <w:jc w:val="both"/>
        <w:rPr>
          <w:rFonts w:cs="Tahoma"/>
          <w:b/>
        </w:rPr>
      </w:pPr>
    </w:p>
    <w:p w:rsidR="00920C93" w:rsidRDefault="00920C93" w:rsidP="00CB6B42">
      <w:pPr>
        <w:spacing w:line="360" w:lineRule="auto"/>
        <w:jc w:val="both"/>
      </w:pPr>
    </w:p>
    <w:p w:rsidR="00E156E0" w:rsidRDefault="00E156E0" w:rsidP="00E156E0">
      <w:pPr>
        <w:spacing w:line="360" w:lineRule="auto"/>
        <w:ind w:firstLine="720"/>
        <w:jc w:val="both"/>
      </w:pPr>
      <w:r>
        <w:t>The appellant was employed by the respondent until the 16</w:t>
      </w:r>
      <w:r w:rsidRPr="00E156E0">
        <w:rPr>
          <w:vertAlign w:val="superscript"/>
        </w:rPr>
        <w:t>th</w:t>
      </w:r>
      <w:r>
        <w:t xml:space="preserve"> of January 2015 when he was dismissed from employment following a d</w:t>
      </w:r>
      <w:r w:rsidR="00D220AC">
        <w:t>isciplinary hearing.</w:t>
      </w:r>
    </w:p>
    <w:p w:rsidR="00E156E0" w:rsidRDefault="00E156E0" w:rsidP="00CB6B42">
      <w:pPr>
        <w:ind w:firstLine="720"/>
        <w:jc w:val="both"/>
      </w:pPr>
    </w:p>
    <w:p w:rsidR="002C3133" w:rsidRDefault="002C3133" w:rsidP="00E156E0">
      <w:pPr>
        <w:spacing w:line="360" w:lineRule="auto"/>
        <w:ind w:firstLine="720"/>
        <w:jc w:val="both"/>
      </w:pPr>
      <w:r>
        <w:t>The background to this case is not in dispute.  Appellant was employed as a secti</w:t>
      </w:r>
      <w:r w:rsidR="005B5B4D">
        <w:t>on manager with</w:t>
      </w:r>
      <w:r w:rsidR="0031062A">
        <w:t>in</w:t>
      </w:r>
      <w:r w:rsidR="005B5B4D">
        <w:t xml:space="preserve"> the Commercial L</w:t>
      </w:r>
      <w:r>
        <w:t>ayers Division.  Prior to her transfer to that section, appellant worked at the H</w:t>
      </w:r>
      <w:r w:rsidR="00E156E0">
        <w:t xml:space="preserve">atchery as </w:t>
      </w:r>
      <w:r w:rsidR="00D220AC">
        <w:t>an assist</w:t>
      </w:r>
      <w:r w:rsidR="0031062A">
        <w:t>ant</w:t>
      </w:r>
      <w:r w:rsidR="00D220AC">
        <w:t xml:space="preserve"> manager.</w:t>
      </w:r>
    </w:p>
    <w:p w:rsidR="00D220AC" w:rsidRDefault="00D220AC" w:rsidP="00CB6B42">
      <w:pPr>
        <w:ind w:firstLine="720"/>
        <w:jc w:val="both"/>
      </w:pPr>
    </w:p>
    <w:p w:rsidR="00D220AC" w:rsidRDefault="00D220AC" w:rsidP="00E156E0">
      <w:pPr>
        <w:spacing w:line="360" w:lineRule="auto"/>
        <w:ind w:firstLine="720"/>
        <w:jc w:val="both"/>
      </w:pPr>
      <w:r>
        <w:t>While working at the Hatchery she was charged</w:t>
      </w:r>
      <w:r w:rsidR="0031062A">
        <w:t xml:space="preserve"> for misconduct</w:t>
      </w:r>
      <w:r>
        <w:t xml:space="preserve"> and found liable.  She was issued with a final written warning coupled with a transfer to the </w:t>
      </w:r>
      <w:r w:rsidR="00A856BF">
        <w:t>Commercial Layers Division</w:t>
      </w:r>
      <w:r>
        <w:t>.  The warning was valid for twelve</w:t>
      </w:r>
      <w:r w:rsidR="00C67D75">
        <w:t xml:space="preserve"> </w:t>
      </w:r>
      <w:r w:rsidR="005B5B4D">
        <w:t>months.  This was in April 2014.</w:t>
      </w:r>
    </w:p>
    <w:p w:rsidR="005B5B4D" w:rsidRDefault="005B5B4D" w:rsidP="00CB6B42">
      <w:pPr>
        <w:ind w:firstLine="720"/>
        <w:jc w:val="both"/>
      </w:pPr>
    </w:p>
    <w:p w:rsidR="005B5B4D" w:rsidRDefault="005B5B4D" w:rsidP="00E156E0">
      <w:pPr>
        <w:spacing w:line="360" w:lineRule="auto"/>
        <w:ind w:firstLine="720"/>
        <w:jc w:val="both"/>
      </w:pPr>
      <w:r>
        <w:t>Part of the consequence</w:t>
      </w:r>
      <w:r w:rsidR="00714C73">
        <w:t>s</w:t>
      </w:r>
      <w:r>
        <w:t xml:space="preserve"> of the transfer was vacating the company house that was specifically for managers in the </w:t>
      </w:r>
      <w:r w:rsidR="000D5033">
        <w:t>Hatchery</w:t>
      </w:r>
      <w:r w:rsidR="00750281">
        <w:t>.  Appellant opted to stay in what is called the village, a compound comprising of houses belonging to appellant.</w:t>
      </w:r>
    </w:p>
    <w:p w:rsidR="00750281" w:rsidRDefault="00750281" w:rsidP="00E156E0">
      <w:pPr>
        <w:spacing w:line="360" w:lineRule="auto"/>
        <w:ind w:firstLine="720"/>
        <w:jc w:val="both"/>
      </w:pPr>
    </w:p>
    <w:p w:rsidR="00820086" w:rsidRDefault="00750281" w:rsidP="00E156E0">
      <w:pPr>
        <w:spacing w:line="360" w:lineRule="auto"/>
        <w:ind w:firstLine="720"/>
        <w:jc w:val="both"/>
      </w:pPr>
      <w:r>
        <w:lastRenderedPageBreak/>
        <w:t xml:space="preserve">While at the </w:t>
      </w:r>
      <w:r w:rsidR="000D5033">
        <w:t>Commer</w:t>
      </w:r>
      <w:r w:rsidR="00C15CAA">
        <w:t>cial Layers Division</w:t>
      </w:r>
      <w:r>
        <w:t xml:space="preserve"> it was </w:t>
      </w:r>
      <w:r w:rsidR="00820086">
        <w:t xml:space="preserve">alleged that in January 2015 she committed acts of misconduct, </w:t>
      </w:r>
      <w:proofErr w:type="gramStart"/>
      <w:r w:rsidR="00720EE6">
        <w:t xml:space="preserve">in </w:t>
      </w:r>
      <w:r w:rsidR="00820086">
        <w:t xml:space="preserve"> that</w:t>
      </w:r>
      <w:proofErr w:type="gramEnd"/>
      <w:r w:rsidR="00820086">
        <w:t xml:space="preserve"> she failed to comply with the key control instructions.  She gave some contractors keys without following the proper procedure.</w:t>
      </w:r>
    </w:p>
    <w:p w:rsidR="00820086" w:rsidRDefault="00820086" w:rsidP="00CB6B42">
      <w:pPr>
        <w:ind w:firstLine="720"/>
        <w:jc w:val="both"/>
      </w:pPr>
    </w:p>
    <w:p w:rsidR="00820086" w:rsidRDefault="00820086" w:rsidP="00E156E0">
      <w:pPr>
        <w:spacing w:line="360" w:lineRule="auto"/>
        <w:ind w:firstLine="720"/>
        <w:jc w:val="both"/>
      </w:pPr>
      <w:r>
        <w:t>Secondly it was alleged she was negligent and failed to monitor wood shavings leading to</w:t>
      </w:r>
      <w:r w:rsidR="009C27A7">
        <w:t xml:space="preserve"> them getting wet about three tonnes</w:t>
      </w:r>
      <w:r w:rsidR="000312C3">
        <w:t xml:space="preserve"> g</w:t>
      </w:r>
      <w:r w:rsidR="009C27A7">
        <w:t>o</w:t>
      </w:r>
      <w:r>
        <w:t>t wet.</w:t>
      </w:r>
    </w:p>
    <w:p w:rsidR="00820086" w:rsidRDefault="00820086" w:rsidP="00CB6B42">
      <w:pPr>
        <w:ind w:firstLine="720"/>
        <w:jc w:val="both"/>
      </w:pPr>
    </w:p>
    <w:p w:rsidR="00B6049D" w:rsidRDefault="006A78F6" w:rsidP="00E156E0">
      <w:pPr>
        <w:spacing w:line="360" w:lineRule="auto"/>
        <w:ind w:firstLine="720"/>
        <w:jc w:val="both"/>
      </w:pPr>
      <w:r>
        <w:t xml:space="preserve">She was charged for violating the National Code Statutory Instrument 15 of 2006 for habitual and substantial neglect of duty and conduct or omission </w:t>
      </w:r>
      <w:r w:rsidR="00A06696">
        <w:t xml:space="preserve">inconsistent with </w:t>
      </w:r>
      <w:r w:rsidR="00B6049D">
        <w:t>the fulfillment of her contract.</w:t>
      </w:r>
    </w:p>
    <w:p w:rsidR="00B6049D" w:rsidRDefault="00B6049D" w:rsidP="00CB6B42">
      <w:pPr>
        <w:ind w:firstLine="720"/>
        <w:jc w:val="both"/>
      </w:pPr>
    </w:p>
    <w:p w:rsidR="001417DC" w:rsidRDefault="001417DC" w:rsidP="00E156E0">
      <w:pPr>
        <w:spacing w:line="360" w:lineRule="auto"/>
        <w:ind w:firstLine="720"/>
        <w:jc w:val="both"/>
      </w:pPr>
      <w:r>
        <w:t>During the disciplinary hearing appellant admitted that she failed to comply with the set down procedure for handling keys.  In respect of the wood shavings she said the water seeped under the door into the place the wood shavings were stored.  There was nothing she could do about the situation.</w:t>
      </w:r>
    </w:p>
    <w:p w:rsidR="009C616A" w:rsidRDefault="009C616A" w:rsidP="00CB6B42">
      <w:pPr>
        <w:ind w:firstLine="720"/>
        <w:jc w:val="both"/>
      </w:pPr>
    </w:p>
    <w:p w:rsidR="009C616A" w:rsidRDefault="009C616A" w:rsidP="00E156E0">
      <w:pPr>
        <w:spacing w:line="360" w:lineRule="auto"/>
        <w:ind w:firstLine="720"/>
        <w:jc w:val="both"/>
      </w:pPr>
      <w:r>
        <w:t xml:space="preserve">She was found liable.  The final written warning </w:t>
      </w:r>
      <w:r w:rsidR="001D2D95">
        <w:t xml:space="preserve">which was still live </w:t>
      </w:r>
      <w:r>
        <w:t>was taken into consideration, leading to her dismissal.</w:t>
      </w:r>
    </w:p>
    <w:p w:rsidR="009C616A" w:rsidRDefault="009C616A" w:rsidP="00CB6B42">
      <w:pPr>
        <w:ind w:firstLine="720"/>
        <w:jc w:val="both"/>
      </w:pPr>
    </w:p>
    <w:p w:rsidR="009C616A" w:rsidRDefault="009C616A" w:rsidP="00E156E0">
      <w:pPr>
        <w:spacing w:line="360" w:lineRule="auto"/>
        <w:ind w:firstLine="720"/>
        <w:jc w:val="both"/>
      </w:pPr>
      <w:r>
        <w:t>Dissatisfied by the outcome she referred the matter to a Labour Officer for conciliation.  When conciliation failed the matter was referred to arbitration.</w:t>
      </w:r>
    </w:p>
    <w:p w:rsidR="007F5FF8" w:rsidRDefault="007F5FF8" w:rsidP="00CB6B42">
      <w:pPr>
        <w:ind w:firstLine="720"/>
        <w:jc w:val="both"/>
      </w:pPr>
    </w:p>
    <w:p w:rsidR="007F5FF8" w:rsidRDefault="007F5FF8" w:rsidP="00E156E0">
      <w:pPr>
        <w:spacing w:line="360" w:lineRule="auto"/>
        <w:ind w:firstLine="720"/>
        <w:jc w:val="both"/>
      </w:pPr>
      <w:r>
        <w:t xml:space="preserve">The arbitrator dismissed the </w:t>
      </w:r>
      <w:r w:rsidR="00C867D7">
        <w:t>appellant’s</w:t>
      </w:r>
      <w:r>
        <w:t xml:space="preserve"> claim.  She then appealed to this court.</w:t>
      </w:r>
    </w:p>
    <w:p w:rsidR="007F5FF8" w:rsidRDefault="007F5FF8" w:rsidP="00CB6B42">
      <w:pPr>
        <w:ind w:firstLine="720"/>
        <w:jc w:val="both"/>
      </w:pPr>
    </w:p>
    <w:p w:rsidR="002F7AB9" w:rsidRDefault="007F5FF8" w:rsidP="00E156E0">
      <w:pPr>
        <w:spacing w:line="360" w:lineRule="auto"/>
        <w:ind w:firstLine="720"/>
        <w:jc w:val="both"/>
      </w:pPr>
      <w:r>
        <w:t xml:space="preserve">The grounds of appeal are far from being concise.  The appellant impugns the arbitrator’s decision in that she failed to appreciate the law in that there was an unfair dismissal </w:t>
      </w:r>
      <w:r w:rsidR="001D2D95">
        <w:t>due to</w:t>
      </w:r>
      <w:r>
        <w:t xml:space="preserve"> </w:t>
      </w:r>
      <w:r w:rsidR="00BE71E9">
        <w:t>constructive</w:t>
      </w:r>
      <w:r>
        <w:t xml:space="preserve"> dismissal and respondent repudiated the contract of employment.  The third</w:t>
      </w:r>
      <w:r w:rsidR="00516F6E">
        <w:t xml:space="preserve"> </w:t>
      </w:r>
      <w:r w:rsidR="00C867D7">
        <w:t>ground seems</w:t>
      </w:r>
      <w:r w:rsidR="00516F6E">
        <w:t xml:space="preserve"> to raise the issue that appellant was dismissed under unclear circumstances.</w:t>
      </w:r>
    </w:p>
    <w:p w:rsidR="002F7AB9" w:rsidRDefault="002F7AB9" w:rsidP="00E156E0">
      <w:pPr>
        <w:spacing w:line="360" w:lineRule="auto"/>
        <w:ind w:firstLine="720"/>
        <w:jc w:val="both"/>
      </w:pPr>
    </w:p>
    <w:p w:rsidR="002F7AB9" w:rsidRDefault="002F7AB9" w:rsidP="00E156E0">
      <w:pPr>
        <w:spacing w:line="360" w:lineRule="auto"/>
        <w:ind w:firstLine="720"/>
        <w:jc w:val="both"/>
      </w:pPr>
      <w:r>
        <w:t>Appellant therefore seeks this court to order that she be reinstated without loss of salary or benefits or be paid damages in lieu of reinstatement.</w:t>
      </w:r>
    </w:p>
    <w:p w:rsidR="002F7AB9" w:rsidRDefault="002F7AB9" w:rsidP="00CB6B42">
      <w:pPr>
        <w:ind w:firstLine="720"/>
        <w:jc w:val="both"/>
      </w:pPr>
    </w:p>
    <w:p w:rsidR="002F7AB9" w:rsidRDefault="002F7AB9" w:rsidP="00E156E0">
      <w:pPr>
        <w:spacing w:line="360" w:lineRule="auto"/>
        <w:ind w:firstLine="720"/>
        <w:jc w:val="both"/>
      </w:pPr>
      <w:r>
        <w:t>Before the court appellant failed to substantiate the grounds of appeal.  Clearly the grounds of appeal were drafted for her but she failed to appreciate them.</w:t>
      </w:r>
    </w:p>
    <w:p w:rsidR="002F7AB9" w:rsidRDefault="002F7AB9" w:rsidP="00CB6B42">
      <w:pPr>
        <w:ind w:firstLine="720"/>
        <w:jc w:val="both"/>
      </w:pPr>
    </w:p>
    <w:p w:rsidR="007F5FF8" w:rsidRDefault="002F7AB9" w:rsidP="00EB2AB2">
      <w:pPr>
        <w:spacing w:line="360" w:lineRule="auto"/>
        <w:ind w:firstLine="720"/>
        <w:jc w:val="both"/>
        <w:rPr>
          <w:rFonts w:cs="Tahoma"/>
        </w:rPr>
      </w:pPr>
      <w:r>
        <w:t xml:space="preserve">Constructive dismissal is the termination of the contract of employment by the employee with or without notice because the employer made continued employment intolerable for the </w:t>
      </w:r>
      <w:r w:rsidR="00F15B9D">
        <w:t xml:space="preserve">employee see </w:t>
      </w:r>
      <w:r w:rsidR="00F15B9D" w:rsidRPr="00C867D7">
        <w:rPr>
          <w:i/>
        </w:rPr>
        <w:t>John Grogan</w:t>
      </w:r>
      <w:r w:rsidR="00F15B9D">
        <w:t xml:space="preserve">, </w:t>
      </w:r>
      <w:r w:rsidR="00F15B9D" w:rsidRPr="00C867D7">
        <w:rPr>
          <w:i/>
        </w:rPr>
        <w:t>Workplace Law 8</w:t>
      </w:r>
      <w:r w:rsidR="00F15B9D" w:rsidRPr="00C867D7">
        <w:rPr>
          <w:i/>
          <w:vertAlign w:val="superscript"/>
        </w:rPr>
        <w:t>th</w:t>
      </w:r>
      <w:r w:rsidR="00EB2AB2" w:rsidRPr="00C867D7">
        <w:rPr>
          <w:i/>
          <w:vertAlign w:val="superscript"/>
        </w:rPr>
        <w:t xml:space="preserve"> </w:t>
      </w:r>
      <w:r w:rsidR="00EB2AB2" w:rsidRPr="00C867D7">
        <w:rPr>
          <w:rFonts w:cs="Tahoma"/>
          <w:i/>
        </w:rPr>
        <w:t>Edition, Juta</w:t>
      </w:r>
      <w:r w:rsidR="00EB2AB2">
        <w:rPr>
          <w:rFonts w:cs="Tahoma"/>
        </w:rPr>
        <w:t xml:space="preserve"> at page 112.</w:t>
      </w:r>
    </w:p>
    <w:p w:rsidR="00EB2AB2" w:rsidRDefault="00EB2AB2" w:rsidP="00CB6B42">
      <w:pPr>
        <w:ind w:firstLine="720"/>
        <w:jc w:val="both"/>
        <w:rPr>
          <w:rFonts w:cs="Tahoma"/>
        </w:rPr>
      </w:pPr>
    </w:p>
    <w:p w:rsidR="00EB2AB2" w:rsidRDefault="00EB2AB2" w:rsidP="00EB2AB2">
      <w:pPr>
        <w:spacing w:line="360" w:lineRule="auto"/>
        <w:ind w:firstLine="720"/>
        <w:jc w:val="both"/>
        <w:rPr>
          <w:rFonts w:cs="Tahoma"/>
        </w:rPr>
      </w:pPr>
      <w:r>
        <w:rPr>
          <w:rFonts w:cs="Tahoma"/>
        </w:rPr>
        <w:t>In this case the appellant did not resign.  The termination of contract was a result of the disciplinary</w:t>
      </w:r>
      <w:r w:rsidR="00D371E5">
        <w:rPr>
          <w:rFonts w:cs="Tahoma"/>
        </w:rPr>
        <w:t xml:space="preserve"> proceedings.  It was the employer who eventually dismissed the appellant.</w:t>
      </w:r>
    </w:p>
    <w:p w:rsidR="00D371E5" w:rsidRDefault="00D371E5" w:rsidP="00CB6B42">
      <w:pPr>
        <w:ind w:firstLine="720"/>
        <w:jc w:val="both"/>
        <w:rPr>
          <w:rFonts w:cs="Tahoma"/>
        </w:rPr>
      </w:pPr>
    </w:p>
    <w:p w:rsidR="00D371E5" w:rsidRDefault="00D371E5" w:rsidP="00EB2AB2">
      <w:pPr>
        <w:spacing w:line="360" w:lineRule="auto"/>
        <w:ind w:firstLine="720"/>
        <w:jc w:val="both"/>
        <w:rPr>
          <w:rFonts w:cs="Tahoma"/>
        </w:rPr>
      </w:pPr>
      <w:r>
        <w:rPr>
          <w:rFonts w:cs="Tahoma"/>
        </w:rPr>
        <w:t xml:space="preserve">Constructive dismissal is not available to an employee dismissed by the employer.  In this case the appellant should have resigned as soon as she perceived certain conduct by the respondent that made continuation with employment intolerable.  See </w:t>
      </w:r>
      <w:r w:rsidRPr="00C867D7">
        <w:rPr>
          <w:rFonts w:cs="Tahoma"/>
          <w:i/>
        </w:rPr>
        <w:t>Astra Holdings (Pvt) Ltd</w:t>
      </w:r>
      <w:r>
        <w:rPr>
          <w:rFonts w:cs="Tahoma"/>
        </w:rPr>
        <w:t xml:space="preserve"> v </w:t>
      </w:r>
      <w:r w:rsidRPr="00C867D7">
        <w:rPr>
          <w:rFonts w:cs="Tahoma"/>
          <w:i/>
        </w:rPr>
        <w:t>Kahwa</w:t>
      </w:r>
      <w:r>
        <w:rPr>
          <w:rFonts w:cs="Tahoma"/>
        </w:rPr>
        <w:t xml:space="preserve"> Sc 97/04 for the requirements to be satisfied by an employee.</w:t>
      </w:r>
    </w:p>
    <w:p w:rsidR="00D371E5" w:rsidRDefault="00D371E5" w:rsidP="00CB6B42">
      <w:pPr>
        <w:ind w:firstLine="720"/>
        <w:jc w:val="both"/>
        <w:rPr>
          <w:rFonts w:cs="Tahoma"/>
        </w:rPr>
      </w:pPr>
    </w:p>
    <w:p w:rsidR="00D371E5" w:rsidRDefault="005D238D" w:rsidP="00EB2AB2">
      <w:pPr>
        <w:spacing w:line="360" w:lineRule="auto"/>
        <w:ind w:firstLine="720"/>
        <w:jc w:val="both"/>
        <w:rPr>
          <w:rFonts w:cs="Tahoma"/>
        </w:rPr>
      </w:pPr>
      <w:r>
        <w:rPr>
          <w:rFonts w:cs="Tahoma"/>
        </w:rPr>
        <w:t>To that extent the issues raised by appellant that she was not provided with a motor bike when other managers had such would be irrelevant.</w:t>
      </w:r>
    </w:p>
    <w:p w:rsidR="005D238D" w:rsidRDefault="005D238D" w:rsidP="00CB6B42">
      <w:pPr>
        <w:ind w:firstLine="720"/>
        <w:jc w:val="both"/>
        <w:rPr>
          <w:rFonts w:cs="Tahoma"/>
        </w:rPr>
      </w:pPr>
    </w:p>
    <w:p w:rsidR="005D238D" w:rsidRDefault="005D238D" w:rsidP="00EB2AB2">
      <w:pPr>
        <w:spacing w:line="360" w:lineRule="auto"/>
        <w:ind w:firstLine="720"/>
        <w:jc w:val="both"/>
        <w:rPr>
          <w:rFonts w:cs="Tahoma"/>
        </w:rPr>
      </w:pPr>
      <w:r>
        <w:rPr>
          <w:rFonts w:cs="Tahoma"/>
        </w:rPr>
        <w:t>The first ground of appeal is therefore dismissed.</w:t>
      </w:r>
    </w:p>
    <w:p w:rsidR="000029D6" w:rsidRDefault="000029D6" w:rsidP="00CB6B42">
      <w:pPr>
        <w:ind w:firstLine="720"/>
        <w:jc w:val="both"/>
        <w:rPr>
          <w:rFonts w:cs="Tahoma"/>
        </w:rPr>
      </w:pPr>
    </w:p>
    <w:p w:rsidR="000029D6" w:rsidRDefault="000029D6" w:rsidP="00EB2AB2">
      <w:pPr>
        <w:spacing w:line="360" w:lineRule="auto"/>
        <w:ind w:firstLine="720"/>
        <w:jc w:val="both"/>
        <w:rPr>
          <w:rFonts w:cs="Tahoma"/>
        </w:rPr>
      </w:pPr>
      <w:r>
        <w:rPr>
          <w:rFonts w:cs="Tahoma"/>
        </w:rPr>
        <w:t>The second ground of appeal is that the respondent repudiated the contract by its conduct.</w:t>
      </w:r>
    </w:p>
    <w:p w:rsidR="000029D6" w:rsidRDefault="000029D6" w:rsidP="00CB6B42">
      <w:pPr>
        <w:ind w:firstLine="720"/>
        <w:jc w:val="both"/>
        <w:rPr>
          <w:rFonts w:cs="Tahoma"/>
        </w:rPr>
      </w:pPr>
    </w:p>
    <w:p w:rsidR="000029D6" w:rsidRDefault="000029D6" w:rsidP="00EB2AB2">
      <w:pPr>
        <w:spacing w:line="360" w:lineRule="auto"/>
        <w:ind w:firstLine="720"/>
        <w:jc w:val="both"/>
        <w:rPr>
          <w:rFonts w:cs="Tahoma"/>
        </w:rPr>
      </w:pPr>
      <w:r>
        <w:rPr>
          <w:rFonts w:cs="Tahoma"/>
        </w:rPr>
        <w:t xml:space="preserve">It is difficult to appreciate the appellant’s ground of appeal.  It was not even substantiated.  Repudiation as it relates to constructive dismissal can only be a successful defence where the employee resigned.  </w:t>
      </w:r>
    </w:p>
    <w:p w:rsidR="000029D6" w:rsidRDefault="000029D6" w:rsidP="00EB2AB2">
      <w:pPr>
        <w:spacing w:line="360" w:lineRule="auto"/>
        <w:ind w:firstLine="720"/>
        <w:jc w:val="both"/>
        <w:rPr>
          <w:rFonts w:cs="Tahoma"/>
        </w:rPr>
      </w:pPr>
      <w:r>
        <w:rPr>
          <w:rFonts w:cs="Tahoma"/>
        </w:rPr>
        <w:t>As stated before there was no resignation in this case.  The appellant cannot therefore point to respondent’s conduct that amounts to repudiation.  There is no merit in the second ground of appeal.</w:t>
      </w:r>
    </w:p>
    <w:p w:rsidR="00C07663" w:rsidRDefault="00C07663" w:rsidP="00CB6B42">
      <w:pPr>
        <w:ind w:firstLine="720"/>
        <w:jc w:val="both"/>
        <w:rPr>
          <w:rFonts w:cs="Tahoma"/>
        </w:rPr>
      </w:pPr>
    </w:p>
    <w:p w:rsidR="00C07663" w:rsidRDefault="00C07663" w:rsidP="00EB2AB2">
      <w:pPr>
        <w:spacing w:line="360" w:lineRule="auto"/>
        <w:ind w:firstLine="720"/>
        <w:jc w:val="both"/>
        <w:rPr>
          <w:rFonts w:cs="Tahoma"/>
        </w:rPr>
      </w:pPr>
      <w:r>
        <w:rPr>
          <w:rFonts w:cs="Tahoma"/>
        </w:rPr>
        <w:t xml:space="preserve">The third ground of appeal is </w:t>
      </w:r>
      <w:r w:rsidR="00C867D7">
        <w:rPr>
          <w:rFonts w:cs="Tahoma"/>
        </w:rPr>
        <w:t>set out</w:t>
      </w:r>
      <w:r>
        <w:rPr>
          <w:rFonts w:cs="Tahoma"/>
        </w:rPr>
        <w:t xml:space="preserve"> in the following terms,</w:t>
      </w:r>
    </w:p>
    <w:p w:rsidR="00C07663" w:rsidRDefault="00C07663" w:rsidP="00E46B6D">
      <w:pPr>
        <w:ind w:firstLine="720"/>
        <w:jc w:val="both"/>
        <w:rPr>
          <w:rFonts w:cs="Tahoma"/>
        </w:rPr>
      </w:pPr>
    </w:p>
    <w:p w:rsidR="00C07663" w:rsidRPr="00E46B6D" w:rsidRDefault="000E1114" w:rsidP="00E46B6D">
      <w:pPr>
        <w:spacing w:line="276" w:lineRule="auto"/>
        <w:ind w:left="720"/>
        <w:jc w:val="both"/>
        <w:rPr>
          <w:rFonts w:cs="Tahoma"/>
          <w:sz w:val="22"/>
          <w:szCs w:val="22"/>
        </w:rPr>
      </w:pPr>
      <w:r w:rsidRPr="00E46B6D">
        <w:rPr>
          <w:rFonts w:cs="Tahoma"/>
          <w:sz w:val="22"/>
          <w:szCs w:val="22"/>
        </w:rPr>
        <w:t>“The</w:t>
      </w:r>
      <w:r w:rsidR="00C07663" w:rsidRPr="00E46B6D">
        <w:rPr>
          <w:rFonts w:cs="Tahoma"/>
          <w:sz w:val="22"/>
          <w:szCs w:val="22"/>
        </w:rPr>
        <w:t xml:space="preserve"> </w:t>
      </w:r>
      <w:r w:rsidR="00C867D7" w:rsidRPr="00E46B6D">
        <w:rPr>
          <w:rFonts w:cs="Tahoma"/>
          <w:sz w:val="22"/>
          <w:szCs w:val="22"/>
        </w:rPr>
        <w:t>arbitrator gravely misdirected himself by falling to note and considers</w:t>
      </w:r>
      <w:r w:rsidR="00C07663" w:rsidRPr="00E46B6D">
        <w:rPr>
          <w:rFonts w:cs="Tahoma"/>
          <w:sz w:val="22"/>
          <w:szCs w:val="22"/>
        </w:rPr>
        <w:t xml:space="preserve"> that respondent, by virtue</w:t>
      </w:r>
      <w:r w:rsidR="00031A7C" w:rsidRPr="00E46B6D">
        <w:rPr>
          <w:rFonts w:cs="Tahoma"/>
          <w:sz w:val="22"/>
          <w:szCs w:val="22"/>
        </w:rPr>
        <w:t xml:space="preserve"> of the misrepresentation was in a fatal breach of the procedural provisions of a fair dismissal.  The respondent dismissed the appellant </w:t>
      </w:r>
      <w:r w:rsidR="006B3081" w:rsidRPr="00E46B6D">
        <w:rPr>
          <w:rFonts w:cs="Tahoma"/>
          <w:sz w:val="22"/>
          <w:szCs w:val="22"/>
        </w:rPr>
        <w:t>under unclear circumstances which is in contravening (sic) of the Labour Laws read together with ILO Convention 158 (1982) and Recommendation 166 …”</w:t>
      </w:r>
    </w:p>
    <w:p w:rsidR="006B3081" w:rsidRDefault="006B3081" w:rsidP="00E46B6D">
      <w:pPr>
        <w:ind w:firstLine="720"/>
        <w:jc w:val="both"/>
        <w:rPr>
          <w:rFonts w:cs="Tahoma"/>
        </w:rPr>
      </w:pPr>
    </w:p>
    <w:p w:rsidR="006B3081" w:rsidRDefault="00AC45CA" w:rsidP="00EB2AB2">
      <w:pPr>
        <w:spacing w:line="360" w:lineRule="auto"/>
        <w:ind w:firstLine="720"/>
        <w:jc w:val="both"/>
        <w:rPr>
          <w:rFonts w:cs="Tahoma"/>
        </w:rPr>
      </w:pPr>
      <w:r>
        <w:rPr>
          <w:rFonts w:cs="Tahoma"/>
        </w:rPr>
        <w:t>I was not referred to the alleged misrepresentation by the respondent.  Appellant failed to elucidate why she believes she was discharged under unclear circumstances.</w:t>
      </w:r>
    </w:p>
    <w:p w:rsidR="00AC45CA" w:rsidRDefault="00AC45CA" w:rsidP="00E46B6D">
      <w:pPr>
        <w:ind w:firstLine="720"/>
        <w:jc w:val="both"/>
        <w:rPr>
          <w:rFonts w:cs="Tahoma"/>
        </w:rPr>
      </w:pPr>
    </w:p>
    <w:p w:rsidR="00AC45CA" w:rsidRDefault="00AC45CA" w:rsidP="00EB2AB2">
      <w:pPr>
        <w:spacing w:line="360" w:lineRule="auto"/>
        <w:ind w:firstLine="720"/>
        <w:jc w:val="both"/>
        <w:rPr>
          <w:rFonts w:cs="Tahoma"/>
        </w:rPr>
      </w:pPr>
      <w:r>
        <w:rPr>
          <w:rFonts w:cs="Tahoma"/>
        </w:rPr>
        <w:t>Infact appellant was discharged in very transparent circumstances.</w:t>
      </w:r>
    </w:p>
    <w:p w:rsidR="00AC45CA" w:rsidRDefault="00AC45CA" w:rsidP="00E46B6D">
      <w:pPr>
        <w:ind w:firstLine="720"/>
        <w:jc w:val="both"/>
        <w:rPr>
          <w:rFonts w:cs="Tahoma"/>
        </w:rPr>
      </w:pPr>
    </w:p>
    <w:p w:rsidR="00AC45CA" w:rsidRDefault="00AC45CA" w:rsidP="00EB2AB2">
      <w:pPr>
        <w:spacing w:line="360" w:lineRule="auto"/>
        <w:ind w:firstLine="720"/>
        <w:jc w:val="both"/>
        <w:rPr>
          <w:rFonts w:cs="Tahoma"/>
        </w:rPr>
      </w:pPr>
      <w:r>
        <w:rPr>
          <w:rFonts w:cs="Tahoma"/>
        </w:rPr>
        <w:t xml:space="preserve">The </w:t>
      </w:r>
      <w:r w:rsidR="00E235A6">
        <w:rPr>
          <w:rFonts w:cs="Tahoma"/>
        </w:rPr>
        <w:t>record of proceedings shows</w:t>
      </w:r>
      <w:r>
        <w:rPr>
          <w:rFonts w:cs="Tahoma"/>
        </w:rPr>
        <w:t xml:space="preserve"> that on 21 January 2015 the appellant attended a disciplinary hearing.  She was facing two charges, she pleaded guilty to one of them.  She was found guilty on both charges and dismissed.</w:t>
      </w:r>
    </w:p>
    <w:p w:rsidR="00AC45CA" w:rsidRDefault="00AC45CA" w:rsidP="00E46B6D">
      <w:pPr>
        <w:ind w:firstLine="720"/>
        <w:jc w:val="both"/>
        <w:rPr>
          <w:rFonts w:cs="Tahoma"/>
        </w:rPr>
      </w:pPr>
    </w:p>
    <w:p w:rsidR="00AC45CA" w:rsidRDefault="00AC45CA" w:rsidP="00EB2AB2">
      <w:pPr>
        <w:spacing w:line="360" w:lineRule="auto"/>
        <w:ind w:firstLine="720"/>
        <w:jc w:val="both"/>
        <w:rPr>
          <w:rFonts w:cs="Tahoma"/>
        </w:rPr>
      </w:pPr>
      <w:r>
        <w:rPr>
          <w:rFonts w:cs="Tahoma"/>
        </w:rPr>
        <w:t>On 22 January 2015 formal communication by letter was written to appellant dismissing her from employment.  The letter summarized the charges, the</w:t>
      </w:r>
      <w:r w:rsidR="00121669">
        <w:rPr>
          <w:rFonts w:cs="Tahoma"/>
        </w:rPr>
        <w:t xml:space="preserve"> evidence and the findings.</w:t>
      </w:r>
    </w:p>
    <w:p w:rsidR="00121669" w:rsidRDefault="00121669" w:rsidP="00E46B6D">
      <w:pPr>
        <w:ind w:firstLine="720"/>
        <w:jc w:val="both"/>
        <w:rPr>
          <w:rFonts w:cs="Tahoma"/>
        </w:rPr>
      </w:pPr>
    </w:p>
    <w:p w:rsidR="00121669" w:rsidRDefault="00121669" w:rsidP="00EB2AB2">
      <w:pPr>
        <w:spacing w:line="360" w:lineRule="auto"/>
        <w:ind w:firstLine="720"/>
        <w:jc w:val="both"/>
        <w:rPr>
          <w:rFonts w:cs="Tahoma"/>
        </w:rPr>
      </w:pPr>
      <w:r>
        <w:rPr>
          <w:rFonts w:cs="Tahoma"/>
        </w:rPr>
        <w:t>I am clear in my mind that appellant is aware why she was dismissed.  The ground of appeal is just an attempt to flog a dead horse, certainly it would not arise.</w:t>
      </w:r>
    </w:p>
    <w:p w:rsidR="00F15DCE" w:rsidRDefault="00F15DCE" w:rsidP="00E46B6D">
      <w:pPr>
        <w:ind w:firstLine="720"/>
        <w:jc w:val="both"/>
        <w:rPr>
          <w:rFonts w:cs="Tahoma"/>
        </w:rPr>
      </w:pPr>
    </w:p>
    <w:p w:rsidR="00F15DCE" w:rsidRDefault="00F15DCE" w:rsidP="00EB2AB2">
      <w:pPr>
        <w:spacing w:line="360" w:lineRule="auto"/>
        <w:ind w:firstLine="720"/>
        <w:jc w:val="both"/>
        <w:rPr>
          <w:rFonts w:cs="Tahoma"/>
        </w:rPr>
      </w:pPr>
      <w:r>
        <w:rPr>
          <w:rFonts w:cs="Tahoma"/>
        </w:rPr>
        <w:t xml:space="preserve">Appellant also raised issue </w:t>
      </w:r>
      <w:r w:rsidR="00C867D7">
        <w:rPr>
          <w:rFonts w:cs="Tahoma"/>
        </w:rPr>
        <w:t>that</w:t>
      </w:r>
      <w:r>
        <w:rPr>
          <w:rFonts w:cs="Tahoma"/>
        </w:rPr>
        <w:t xml:space="preserve"> an audit was conducted for a period when she was on leave.  This allegation was irrelevant to the proceedings before the court.  The charges related to acts she committed, not assumptions while on leave.  The acts in relation to keys and the wood shavings had nothing to do with an audit.</w:t>
      </w:r>
    </w:p>
    <w:p w:rsidR="00F15DCE" w:rsidRDefault="00F15DCE" w:rsidP="00E46B6D">
      <w:pPr>
        <w:ind w:firstLine="720"/>
        <w:jc w:val="both"/>
        <w:rPr>
          <w:rFonts w:cs="Tahoma"/>
        </w:rPr>
      </w:pPr>
    </w:p>
    <w:p w:rsidR="00F15DCE" w:rsidRDefault="00F15DCE" w:rsidP="00EB2AB2">
      <w:pPr>
        <w:spacing w:line="360" w:lineRule="auto"/>
        <w:ind w:firstLine="720"/>
        <w:jc w:val="both"/>
        <w:rPr>
          <w:rFonts w:cs="Tahoma"/>
        </w:rPr>
      </w:pPr>
      <w:r>
        <w:rPr>
          <w:rFonts w:cs="Tahoma"/>
        </w:rPr>
        <w:t>The third ground of appeal is meritless.</w:t>
      </w:r>
    </w:p>
    <w:p w:rsidR="00F15DCE" w:rsidRDefault="00F15DCE" w:rsidP="00EB2AB2">
      <w:pPr>
        <w:spacing w:line="360" w:lineRule="auto"/>
        <w:ind w:firstLine="720"/>
        <w:jc w:val="both"/>
        <w:rPr>
          <w:rFonts w:cs="Tahoma"/>
        </w:rPr>
      </w:pPr>
    </w:p>
    <w:p w:rsidR="00F15DCE" w:rsidRDefault="00F15DCE" w:rsidP="00F15DCE">
      <w:pPr>
        <w:spacing w:line="360" w:lineRule="auto"/>
        <w:jc w:val="both"/>
        <w:rPr>
          <w:rFonts w:cs="Tahoma"/>
        </w:rPr>
      </w:pPr>
      <w:r>
        <w:rPr>
          <w:rFonts w:cs="Tahoma"/>
        </w:rPr>
        <w:t>The appeal is accordingly dismissed.</w:t>
      </w:r>
    </w:p>
    <w:p w:rsidR="00F15DCE" w:rsidRPr="00EB2AB2" w:rsidRDefault="00F15DCE" w:rsidP="00F15DCE">
      <w:pPr>
        <w:spacing w:line="360" w:lineRule="auto"/>
        <w:jc w:val="both"/>
        <w:rPr>
          <w:rFonts w:cs="Tahoma"/>
        </w:rPr>
      </w:pPr>
      <w:r>
        <w:rPr>
          <w:rFonts w:cs="Tahoma"/>
        </w:rPr>
        <w:t>The arbitration award be and is hereby upheld in its entirety.</w:t>
      </w:r>
    </w:p>
    <w:p w:rsidR="00750281" w:rsidRDefault="00750281" w:rsidP="00E156E0">
      <w:pPr>
        <w:spacing w:line="360" w:lineRule="auto"/>
        <w:ind w:firstLine="720"/>
        <w:jc w:val="both"/>
      </w:pPr>
      <w:r>
        <w:t xml:space="preserve"> </w:t>
      </w:r>
    </w:p>
    <w:p w:rsidR="00042FBA" w:rsidRDefault="00042FBA" w:rsidP="00042FBA">
      <w:pPr>
        <w:spacing w:line="276" w:lineRule="auto"/>
        <w:jc w:val="both"/>
      </w:pPr>
      <w:r>
        <w:tab/>
      </w:r>
    </w:p>
    <w:sectPr w:rsidR="00042FBA" w:rsidSect="00F15B9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C6C" w:rsidRDefault="006D4C6C" w:rsidP="00F15B9D">
      <w:r>
        <w:separator/>
      </w:r>
    </w:p>
  </w:endnote>
  <w:endnote w:type="continuationSeparator" w:id="0">
    <w:p w:rsidR="006D4C6C" w:rsidRDefault="006D4C6C" w:rsidP="00F1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3844"/>
      <w:docPartObj>
        <w:docPartGallery w:val="Page Numbers (Bottom of Page)"/>
        <w:docPartUnique/>
      </w:docPartObj>
    </w:sdtPr>
    <w:sdtEndPr/>
    <w:sdtContent>
      <w:p w:rsidR="000029D6" w:rsidRDefault="00E13495">
        <w:pPr>
          <w:pStyle w:val="Footer"/>
          <w:jc w:val="center"/>
        </w:pPr>
        <w:r>
          <w:fldChar w:fldCharType="begin"/>
        </w:r>
        <w:r>
          <w:instrText xml:space="preserve"> PAGE   \* MERGEFORMAT </w:instrText>
        </w:r>
        <w:r>
          <w:fldChar w:fldCharType="separate"/>
        </w:r>
        <w:r w:rsidR="00290A13">
          <w:rPr>
            <w:noProof/>
          </w:rPr>
          <w:t>4</w:t>
        </w:r>
        <w:r>
          <w:rPr>
            <w:noProof/>
          </w:rPr>
          <w:fldChar w:fldCharType="end"/>
        </w:r>
      </w:p>
    </w:sdtContent>
  </w:sdt>
  <w:p w:rsidR="000029D6" w:rsidRDefault="00002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C6C" w:rsidRDefault="006D4C6C" w:rsidP="00F15B9D">
      <w:r>
        <w:separator/>
      </w:r>
    </w:p>
  </w:footnote>
  <w:footnote w:type="continuationSeparator" w:id="0">
    <w:p w:rsidR="006D4C6C" w:rsidRDefault="006D4C6C" w:rsidP="00F15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9D" w:rsidRDefault="00F15B9D">
    <w:pPr>
      <w:pStyle w:val="Header"/>
    </w:pPr>
    <w:r>
      <w:tab/>
    </w:r>
    <w:r>
      <w:tab/>
      <w:t>JUDGMENT NO. LC/H/</w:t>
    </w:r>
    <w:r w:rsidR="00290A13">
      <w:t>446</w:t>
    </w:r>
    <w:r>
      <w:t>/2016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BA"/>
    <w:rsid w:val="000029D6"/>
    <w:rsid w:val="00003ACA"/>
    <w:rsid w:val="000312C3"/>
    <w:rsid w:val="00031A7C"/>
    <w:rsid w:val="00042FBA"/>
    <w:rsid w:val="000A19A6"/>
    <w:rsid w:val="000B5806"/>
    <w:rsid w:val="000D5033"/>
    <w:rsid w:val="000E1114"/>
    <w:rsid w:val="00121669"/>
    <w:rsid w:val="001417DC"/>
    <w:rsid w:val="001A192A"/>
    <w:rsid w:val="001D2D95"/>
    <w:rsid w:val="00203527"/>
    <w:rsid w:val="00234019"/>
    <w:rsid w:val="00254AD5"/>
    <w:rsid w:val="00280E00"/>
    <w:rsid w:val="00290A13"/>
    <w:rsid w:val="002B5278"/>
    <w:rsid w:val="002C3133"/>
    <w:rsid w:val="002F7AB9"/>
    <w:rsid w:val="003056AC"/>
    <w:rsid w:val="0031062A"/>
    <w:rsid w:val="003224C1"/>
    <w:rsid w:val="003A2255"/>
    <w:rsid w:val="004C20C5"/>
    <w:rsid w:val="004F0AFA"/>
    <w:rsid w:val="0050609D"/>
    <w:rsid w:val="00516F6E"/>
    <w:rsid w:val="00546512"/>
    <w:rsid w:val="005842E5"/>
    <w:rsid w:val="005B5B4D"/>
    <w:rsid w:val="005D238D"/>
    <w:rsid w:val="005D50ED"/>
    <w:rsid w:val="005F476A"/>
    <w:rsid w:val="00600597"/>
    <w:rsid w:val="00657086"/>
    <w:rsid w:val="006A78F6"/>
    <w:rsid w:val="006B030E"/>
    <w:rsid w:val="006B3081"/>
    <w:rsid w:val="006D4C6C"/>
    <w:rsid w:val="00714C73"/>
    <w:rsid w:val="00720EE6"/>
    <w:rsid w:val="00750281"/>
    <w:rsid w:val="007939BA"/>
    <w:rsid w:val="007D68E1"/>
    <w:rsid w:val="007F05A7"/>
    <w:rsid w:val="007F5FF8"/>
    <w:rsid w:val="00820086"/>
    <w:rsid w:val="008C41DE"/>
    <w:rsid w:val="00920C93"/>
    <w:rsid w:val="009334DB"/>
    <w:rsid w:val="009A1E5D"/>
    <w:rsid w:val="009C27A7"/>
    <w:rsid w:val="009C334F"/>
    <w:rsid w:val="009C616A"/>
    <w:rsid w:val="00A06696"/>
    <w:rsid w:val="00A856BF"/>
    <w:rsid w:val="00AC45CA"/>
    <w:rsid w:val="00B6049D"/>
    <w:rsid w:val="00B90958"/>
    <w:rsid w:val="00BC0061"/>
    <w:rsid w:val="00BE71E9"/>
    <w:rsid w:val="00C01CEA"/>
    <w:rsid w:val="00C07663"/>
    <w:rsid w:val="00C15CAA"/>
    <w:rsid w:val="00C23CDB"/>
    <w:rsid w:val="00C51CB9"/>
    <w:rsid w:val="00C67D75"/>
    <w:rsid w:val="00C77C06"/>
    <w:rsid w:val="00C846D5"/>
    <w:rsid w:val="00C867D7"/>
    <w:rsid w:val="00CB6B42"/>
    <w:rsid w:val="00CD3EFC"/>
    <w:rsid w:val="00D220AC"/>
    <w:rsid w:val="00D32E7E"/>
    <w:rsid w:val="00D371E5"/>
    <w:rsid w:val="00D62BFC"/>
    <w:rsid w:val="00D9045B"/>
    <w:rsid w:val="00E13495"/>
    <w:rsid w:val="00E156E0"/>
    <w:rsid w:val="00E235A6"/>
    <w:rsid w:val="00E27EC8"/>
    <w:rsid w:val="00E46B6D"/>
    <w:rsid w:val="00EA17E3"/>
    <w:rsid w:val="00EA2B51"/>
    <w:rsid w:val="00EB2AB2"/>
    <w:rsid w:val="00ED5ED8"/>
    <w:rsid w:val="00F15B9D"/>
    <w:rsid w:val="00F15DCE"/>
    <w:rsid w:val="00F5468C"/>
    <w:rsid w:val="00F54F9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FBA"/>
    <w:pPr>
      <w:spacing w:after="0" w:line="240" w:lineRule="auto"/>
    </w:pPr>
    <w:rPr>
      <w:rFonts w:ascii="Tahoma" w:eastAsia="Times New Roman" w:hAnsi="Tahoma" w:cs="Times New Roman"/>
      <w:sz w:val="24"/>
      <w:szCs w:val="24"/>
      <w:lang w:val="en-US"/>
    </w:rPr>
  </w:style>
  <w:style w:type="paragraph" w:styleId="Heading1">
    <w:name w:val="heading 1"/>
    <w:basedOn w:val="Normal"/>
    <w:next w:val="Normal"/>
    <w:link w:val="Heading1Char"/>
    <w:uiPriority w:val="9"/>
    <w:qFormat/>
    <w:rsid w:val="006B030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ZW"/>
    </w:rPr>
  </w:style>
  <w:style w:type="paragraph" w:styleId="Heading2">
    <w:name w:val="heading 2"/>
    <w:basedOn w:val="Normal"/>
    <w:next w:val="Normal"/>
    <w:link w:val="Heading2Char"/>
    <w:uiPriority w:val="9"/>
    <w:unhideWhenUsed/>
    <w:qFormat/>
    <w:rsid w:val="006B030E"/>
    <w:pPr>
      <w:keepNext/>
      <w:keepLines/>
      <w:spacing w:before="200" w:line="276" w:lineRule="auto"/>
      <w:outlineLvl w:val="1"/>
    </w:pPr>
    <w:rPr>
      <w:rFonts w:asciiTheme="majorHAnsi" w:eastAsiaTheme="majorEastAsia" w:hAnsiTheme="majorHAnsi" w:cstheme="majorBidi"/>
      <w:b/>
      <w:bCs/>
      <w:color w:val="4F81BD" w:themeColor="accent1"/>
      <w:sz w:val="26"/>
      <w:szCs w:val="26"/>
      <w:lang w:val="en-ZW"/>
    </w:rPr>
  </w:style>
  <w:style w:type="paragraph" w:styleId="Heading3">
    <w:name w:val="heading 3"/>
    <w:basedOn w:val="Normal"/>
    <w:next w:val="Normal"/>
    <w:link w:val="Heading3Char"/>
    <w:uiPriority w:val="9"/>
    <w:unhideWhenUsed/>
    <w:qFormat/>
    <w:rsid w:val="006B030E"/>
    <w:pPr>
      <w:keepNext/>
      <w:keepLines/>
      <w:spacing w:before="200" w:line="276" w:lineRule="auto"/>
      <w:outlineLvl w:val="2"/>
    </w:pPr>
    <w:rPr>
      <w:rFonts w:asciiTheme="majorHAnsi" w:eastAsiaTheme="majorEastAsia" w:hAnsiTheme="majorHAnsi" w:cstheme="majorBidi"/>
      <w:b/>
      <w:bCs/>
      <w:color w:val="4F81BD" w:themeColor="accent1"/>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30E"/>
    <w:pPr>
      <w:spacing w:after="200" w:line="276" w:lineRule="auto"/>
      <w:ind w:left="720"/>
      <w:contextualSpacing/>
    </w:pPr>
    <w:rPr>
      <w:rFonts w:asciiTheme="minorHAnsi" w:eastAsiaTheme="minorHAnsi" w:hAnsiTheme="minorHAnsi" w:cstheme="minorBidi"/>
      <w:sz w:val="22"/>
      <w:szCs w:val="22"/>
      <w:lang w:val="en-ZW"/>
    </w:rPr>
  </w:style>
  <w:style w:type="character" w:customStyle="1" w:styleId="Heading1Char">
    <w:name w:val="Heading 1 Char"/>
    <w:basedOn w:val="DefaultParagraphFont"/>
    <w:link w:val="Heading1"/>
    <w:uiPriority w:val="9"/>
    <w:rsid w:val="006B03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03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B030E"/>
    <w:rPr>
      <w:rFonts w:asciiTheme="majorHAnsi" w:eastAsiaTheme="majorEastAsia" w:hAnsiTheme="majorHAnsi" w:cstheme="majorBidi"/>
      <w:b/>
      <w:bCs/>
      <w:color w:val="4F81BD" w:themeColor="accent1"/>
    </w:rPr>
  </w:style>
  <w:style w:type="paragraph" w:styleId="NoSpacing">
    <w:name w:val="No Spacing"/>
    <w:uiPriority w:val="1"/>
    <w:qFormat/>
    <w:rsid w:val="006B030E"/>
    <w:pPr>
      <w:spacing w:after="0" w:line="240" w:lineRule="auto"/>
    </w:pPr>
  </w:style>
  <w:style w:type="character" w:styleId="SubtleEmphasis">
    <w:name w:val="Subtle Emphasis"/>
    <w:basedOn w:val="DefaultParagraphFont"/>
    <w:uiPriority w:val="19"/>
    <w:qFormat/>
    <w:rsid w:val="006B030E"/>
    <w:rPr>
      <w:i/>
      <w:iCs/>
      <w:color w:val="808080" w:themeColor="text1" w:themeTint="7F"/>
    </w:rPr>
  </w:style>
  <w:style w:type="paragraph" w:styleId="Header">
    <w:name w:val="header"/>
    <w:basedOn w:val="Normal"/>
    <w:link w:val="HeaderChar"/>
    <w:uiPriority w:val="99"/>
    <w:unhideWhenUsed/>
    <w:rsid w:val="00F15B9D"/>
    <w:pPr>
      <w:tabs>
        <w:tab w:val="center" w:pos="4513"/>
        <w:tab w:val="right" w:pos="9026"/>
      </w:tabs>
    </w:pPr>
  </w:style>
  <w:style w:type="character" w:customStyle="1" w:styleId="HeaderChar">
    <w:name w:val="Header Char"/>
    <w:basedOn w:val="DefaultParagraphFont"/>
    <w:link w:val="Header"/>
    <w:uiPriority w:val="99"/>
    <w:rsid w:val="00F15B9D"/>
    <w:rPr>
      <w:rFonts w:ascii="Tahoma" w:eastAsia="Times New Roman" w:hAnsi="Tahoma" w:cs="Times New Roman"/>
      <w:sz w:val="24"/>
      <w:szCs w:val="24"/>
      <w:lang w:val="en-US"/>
    </w:rPr>
  </w:style>
  <w:style w:type="paragraph" w:styleId="Footer">
    <w:name w:val="footer"/>
    <w:basedOn w:val="Normal"/>
    <w:link w:val="FooterChar"/>
    <w:uiPriority w:val="99"/>
    <w:unhideWhenUsed/>
    <w:rsid w:val="00F15B9D"/>
    <w:pPr>
      <w:tabs>
        <w:tab w:val="center" w:pos="4513"/>
        <w:tab w:val="right" w:pos="9026"/>
      </w:tabs>
    </w:pPr>
  </w:style>
  <w:style w:type="character" w:customStyle="1" w:styleId="FooterChar">
    <w:name w:val="Footer Char"/>
    <w:basedOn w:val="DefaultParagraphFont"/>
    <w:link w:val="Footer"/>
    <w:uiPriority w:val="99"/>
    <w:rsid w:val="00F15B9D"/>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290A13"/>
    <w:rPr>
      <w:rFonts w:cs="Tahoma"/>
      <w:sz w:val="16"/>
      <w:szCs w:val="16"/>
    </w:rPr>
  </w:style>
  <w:style w:type="character" w:customStyle="1" w:styleId="BalloonTextChar">
    <w:name w:val="Balloon Text Char"/>
    <w:basedOn w:val="DefaultParagraphFont"/>
    <w:link w:val="BalloonText"/>
    <w:uiPriority w:val="99"/>
    <w:semiHidden/>
    <w:rsid w:val="00290A1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FBA"/>
    <w:pPr>
      <w:spacing w:after="0" w:line="240" w:lineRule="auto"/>
    </w:pPr>
    <w:rPr>
      <w:rFonts w:ascii="Tahoma" w:eastAsia="Times New Roman" w:hAnsi="Tahoma" w:cs="Times New Roman"/>
      <w:sz w:val="24"/>
      <w:szCs w:val="24"/>
      <w:lang w:val="en-US"/>
    </w:rPr>
  </w:style>
  <w:style w:type="paragraph" w:styleId="Heading1">
    <w:name w:val="heading 1"/>
    <w:basedOn w:val="Normal"/>
    <w:next w:val="Normal"/>
    <w:link w:val="Heading1Char"/>
    <w:uiPriority w:val="9"/>
    <w:qFormat/>
    <w:rsid w:val="006B030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ZW"/>
    </w:rPr>
  </w:style>
  <w:style w:type="paragraph" w:styleId="Heading2">
    <w:name w:val="heading 2"/>
    <w:basedOn w:val="Normal"/>
    <w:next w:val="Normal"/>
    <w:link w:val="Heading2Char"/>
    <w:uiPriority w:val="9"/>
    <w:unhideWhenUsed/>
    <w:qFormat/>
    <w:rsid w:val="006B030E"/>
    <w:pPr>
      <w:keepNext/>
      <w:keepLines/>
      <w:spacing w:before="200" w:line="276" w:lineRule="auto"/>
      <w:outlineLvl w:val="1"/>
    </w:pPr>
    <w:rPr>
      <w:rFonts w:asciiTheme="majorHAnsi" w:eastAsiaTheme="majorEastAsia" w:hAnsiTheme="majorHAnsi" w:cstheme="majorBidi"/>
      <w:b/>
      <w:bCs/>
      <w:color w:val="4F81BD" w:themeColor="accent1"/>
      <w:sz w:val="26"/>
      <w:szCs w:val="26"/>
      <w:lang w:val="en-ZW"/>
    </w:rPr>
  </w:style>
  <w:style w:type="paragraph" w:styleId="Heading3">
    <w:name w:val="heading 3"/>
    <w:basedOn w:val="Normal"/>
    <w:next w:val="Normal"/>
    <w:link w:val="Heading3Char"/>
    <w:uiPriority w:val="9"/>
    <w:unhideWhenUsed/>
    <w:qFormat/>
    <w:rsid w:val="006B030E"/>
    <w:pPr>
      <w:keepNext/>
      <w:keepLines/>
      <w:spacing w:before="200" w:line="276" w:lineRule="auto"/>
      <w:outlineLvl w:val="2"/>
    </w:pPr>
    <w:rPr>
      <w:rFonts w:asciiTheme="majorHAnsi" w:eastAsiaTheme="majorEastAsia" w:hAnsiTheme="majorHAnsi" w:cstheme="majorBidi"/>
      <w:b/>
      <w:bCs/>
      <w:color w:val="4F81BD" w:themeColor="accent1"/>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30E"/>
    <w:pPr>
      <w:spacing w:after="200" w:line="276" w:lineRule="auto"/>
      <w:ind w:left="720"/>
      <w:contextualSpacing/>
    </w:pPr>
    <w:rPr>
      <w:rFonts w:asciiTheme="minorHAnsi" w:eastAsiaTheme="minorHAnsi" w:hAnsiTheme="minorHAnsi" w:cstheme="minorBidi"/>
      <w:sz w:val="22"/>
      <w:szCs w:val="22"/>
      <w:lang w:val="en-ZW"/>
    </w:rPr>
  </w:style>
  <w:style w:type="character" w:customStyle="1" w:styleId="Heading1Char">
    <w:name w:val="Heading 1 Char"/>
    <w:basedOn w:val="DefaultParagraphFont"/>
    <w:link w:val="Heading1"/>
    <w:uiPriority w:val="9"/>
    <w:rsid w:val="006B03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03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B030E"/>
    <w:rPr>
      <w:rFonts w:asciiTheme="majorHAnsi" w:eastAsiaTheme="majorEastAsia" w:hAnsiTheme="majorHAnsi" w:cstheme="majorBidi"/>
      <w:b/>
      <w:bCs/>
      <w:color w:val="4F81BD" w:themeColor="accent1"/>
    </w:rPr>
  </w:style>
  <w:style w:type="paragraph" w:styleId="NoSpacing">
    <w:name w:val="No Spacing"/>
    <w:uiPriority w:val="1"/>
    <w:qFormat/>
    <w:rsid w:val="006B030E"/>
    <w:pPr>
      <w:spacing w:after="0" w:line="240" w:lineRule="auto"/>
    </w:pPr>
  </w:style>
  <w:style w:type="character" w:styleId="SubtleEmphasis">
    <w:name w:val="Subtle Emphasis"/>
    <w:basedOn w:val="DefaultParagraphFont"/>
    <w:uiPriority w:val="19"/>
    <w:qFormat/>
    <w:rsid w:val="006B030E"/>
    <w:rPr>
      <w:i/>
      <w:iCs/>
      <w:color w:val="808080" w:themeColor="text1" w:themeTint="7F"/>
    </w:rPr>
  </w:style>
  <w:style w:type="paragraph" w:styleId="Header">
    <w:name w:val="header"/>
    <w:basedOn w:val="Normal"/>
    <w:link w:val="HeaderChar"/>
    <w:uiPriority w:val="99"/>
    <w:unhideWhenUsed/>
    <w:rsid w:val="00F15B9D"/>
    <w:pPr>
      <w:tabs>
        <w:tab w:val="center" w:pos="4513"/>
        <w:tab w:val="right" w:pos="9026"/>
      </w:tabs>
    </w:pPr>
  </w:style>
  <w:style w:type="character" w:customStyle="1" w:styleId="HeaderChar">
    <w:name w:val="Header Char"/>
    <w:basedOn w:val="DefaultParagraphFont"/>
    <w:link w:val="Header"/>
    <w:uiPriority w:val="99"/>
    <w:rsid w:val="00F15B9D"/>
    <w:rPr>
      <w:rFonts w:ascii="Tahoma" w:eastAsia="Times New Roman" w:hAnsi="Tahoma" w:cs="Times New Roman"/>
      <w:sz w:val="24"/>
      <w:szCs w:val="24"/>
      <w:lang w:val="en-US"/>
    </w:rPr>
  </w:style>
  <w:style w:type="paragraph" w:styleId="Footer">
    <w:name w:val="footer"/>
    <w:basedOn w:val="Normal"/>
    <w:link w:val="FooterChar"/>
    <w:uiPriority w:val="99"/>
    <w:unhideWhenUsed/>
    <w:rsid w:val="00F15B9D"/>
    <w:pPr>
      <w:tabs>
        <w:tab w:val="center" w:pos="4513"/>
        <w:tab w:val="right" w:pos="9026"/>
      </w:tabs>
    </w:pPr>
  </w:style>
  <w:style w:type="character" w:customStyle="1" w:styleId="FooterChar">
    <w:name w:val="Footer Char"/>
    <w:basedOn w:val="DefaultParagraphFont"/>
    <w:link w:val="Footer"/>
    <w:uiPriority w:val="99"/>
    <w:rsid w:val="00F15B9D"/>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290A13"/>
    <w:rPr>
      <w:rFonts w:cs="Tahoma"/>
      <w:sz w:val="16"/>
      <w:szCs w:val="16"/>
    </w:rPr>
  </w:style>
  <w:style w:type="character" w:customStyle="1" w:styleId="BalloonTextChar">
    <w:name w:val="Balloon Text Char"/>
    <w:basedOn w:val="DefaultParagraphFont"/>
    <w:link w:val="BalloonText"/>
    <w:uiPriority w:val="99"/>
    <w:semiHidden/>
    <w:rsid w:val="00290A1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20B6E-1B85-437D-B374-A47DD486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DOBA</dc:creator>
  <cp:lastModifiedBy>HP</cp:lastModifiedBy>
  <cp:revision>10</cp:revision>
  <cp:lastPrinted>2016-07-20T10:13:00Z</cp:lastPrinted>
  <dcterms:created xsi:type="dcterms:W3CDTF">2016-07-18T06:20:00Z</dcterms:created>
  <dcterms:modified xsi:type="dcterms:W3CDTF">2016-07-20T10:18:00Z</dcterms:modified>
</cp:coreProperties>
</file>