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3B576" w14:textId="68C64BDF" w:rsidR="001940DD" w:rsidRPr="00166C6B" w:rsidRDefault="001940DD" w:rsidP="001940DD">
      <w:pPr>
        <w:pStyle w:val="NoSpacing"/>
        <w:rPr>
          <w:rFonts w:ascii="Times New Roman" w:hAnsi="Times New Roman" w:cs="Times New Roman"/>
          <w:sz w:val="24"/>
          <w:szCs w:val="24"/>
        </w:rPr>
      </w:pPr>
      <w:bookmarkStart w:id="0" w:name="_GoBack"/>
      <w:bookmarkEnd w:id="0"/>
      <w:r w:rsidRPr="00166C6B">
        <w:rPr>
          <w:rFonts w:ascii="Times New Roman" w:hAnsi="Times New Roman" w:cs="Times New Roman"/>
          <w:sz w:val="24"/>
          <w:szCs w:val="24"/>
        </w:rPr>
        <w:t>JAMESON TI</w:t>
      </w:r>
      <w:r w:rsidR="000F37DA">
        <w:rPr>
          <w:rFonts w:ascii="Times New Roman" w:hAnsi="Times New Roman" w:cs="Times New Roman"/>
          <w:sz w:val="24"/>
          <w:szCs w:val="24"/>
        </w:rPr>
        <w:t>M</w:t>
      </w:r>
      <w:r w:rsidRPr="00166C6B">
        <w:rPr>
          <w:rFonts w:ascii="Times New Roman" w:hAnsi="Times New Roman" w:cs="Times New Roman"/>
          <w:sz w:val="24"/>
          <w:szCs w:val="24"/>
        </w:rPr>
        <w:t xml:space="preserve">BA </w:t>
      </w:r>
    </w:p>
    <w:p w14:paraId="1B5522BF"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2C22B9AD"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PROFESSOR MPOFU </w:t>
      </w:r>
    </w:p>
    <w:p w14:paraId="4B39F5D8"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09992AB3"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PAULINE GARUSA </w:t>
      </w:r>
    </w:p>
    <w:p w14:paraId="5407D697"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4BC03639" w14:textId="409B8FA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TA</w:t>
      </w:r>
      <w:r w:rsidR="000F37DA">
        <w:rPr>
          <w:rFonts w:ascii="Times New Roman" w:hAnsi="Times New Roman" w:cs="Times New Roman"/>
          <w:sz w:val="24"/>
          <w:szCs w:val="24"/>
        </w:rPr>
        <w:t>M</w:t>
      </w:r>
      <w:r w:rsidRPr="00166C6B">
        <w:rPr>
          <w:rFonts w:ascii="Times New Roman" w:hAnsi="Times New Roman" w:cs="Times New Roman"/>
          <w:sz w:val="24"/>
          <w:szCs w:val="24"/>
        </w:rPr>
        <w:t xml:space="preserve">BUDZAI MAKOKORO </w:t>
      </w:r>
    </w:p>
    <w:p w14:paraId="27ECFA9B"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4956D43D"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LYNETTE MARIA MAKOMVA </w:t>
      </w:r>
    </w:p>
    <w:p w14:paraId="23191063"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139672D8"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VONGAI RUGOTO </w:t>
      </w:r>
    </w:p>
    <w:p w14:paraId="0DC089E2"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2E766C88"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ANNA MUTENJE </w:t>
      </w:r>
    </w:p>
    <w:p w14:paraId="102E778C"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61ACFD0A" w14:textId="77777777" w:rsidR="001940DD"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FAITH MAPOSA </w:t>
      </w:r>
    </w:p>
    <w:p w14:paraId="447457E7"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3E5D08A4"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IYINESS ADIO</w:t>
      </w:r>
    </w:p>
    <w:p w14:paraId="12215F9C"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255DA9F5"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RESCA MANATSA SERVICE COM </w:t>
      </w:r>
    </w:p>
    <w:p w14:paraId="154DDE05"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674B1A44"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VIOLET CHITSINDI </w:t>
      </w:r>
    </w:p>
    <w:p w14:paraId="473B823D"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51002857"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OLIVIA MBALAME </w:t>
      </w:r>
    </w:p>
    <w:p w14:paraId="0E1864B4"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58DC11B9"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RUDO KARASAMUNGU </w:t>
      </w:r>
    </w:p>
    <w:p w14:paraId="0DA0D93A"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6EBA3293"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DORCAS NYAMAROPA </w:t>
      </w:r>
    </w:p>
    <w:p w14:paraId="78332D8E"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5E67A00A"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EDITH MUNDIYA </w:t>
      </w:r>
    </w:p>
    <w:p w14:paraId="4873786C"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10DFAA71"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GRACIA CHARI </w:t>
      </w:r>
    </w:p>
    <w:p w14:paraId="6F9A7768"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13E3C021"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NICOLE CHABATA </w:t>
      </w:r>
    </w:p>
    <w:p w14:paraId="234E6278"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11245D14"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EDNA FERO </w:t>
      </w:r>
    </w:p>
    <w:p w14:paraId="3B1386AE"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7722A6D0"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JOSPHINE MUNDIYA </w:t>
      </w:r>
    </w:p>
    <w:p w14:paraId="07665F18"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7D5AD3FD"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TOBIAS MANGWAYANA </w:t>
      </w:r>
    </w:p>
    <w:p w14:paraId="20837A90"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6F019E48"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KEVIN CHIROVA PAS</w:t>
      </w:r>
    </w:p>
    <w:p w14:paraId="2C22244C"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34D74011"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PATRICK MASIMBA S</w:t>
      </w:r>
      <w:r>
        <w:rPr>
          <w:rFonts w:ascii="Times New Roman" w:hAnsi="Times New Roman" w:cs="Times New Roman"/>
          <w:sz w:val="24"/>
          <w:szCs w:val="24"/>
        </w:rPr>
        <w:t>AND</w:t>
      </w:r>
      <w:r w:rsidRPr="00166C6B">
        <w:rPr>
          <w:rFonts w:ascii="Times New Roman" w:hAnsi="Times New Roman" w:cs="Times New Roman"/>
          <w:sz w:val="24"/>
          <w:szCs w:val="24"/>
        </w:rPr>
        <w:t xml:space="preserve">E </w:t>
      </w:r>
    </w:p>
    <w:p w14:paraId="40C19874"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5E027088"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ESMERI CHAPFIRUKA </w:t>
      </w:r>
    </w:p>
    <w:p w14:paraId="1EA3FBCF"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13FFE4FB"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REDEEM M</w:t>
      </w:r>
      <w:r>
        <w:rPr>
          <w:rFonts w:ascii="Times New Roman" w:hAnsi="Times New Roman" w:cs="Times New Roman"/>
          <w:sz w:val="24"/>
          <w:szCs w:val="24"/>
        </w:rPr>
        <w:t>AND</w:t>
      </w:r>
      <w:r w:rsidRPr="00166C6B">
        <w:rPr>
          <w:rFonts w:ascii="Times New Roman" w:hAnsi="Times New Roman" w:cs="Times New Roman"/>
          <w:sz w:val="24"/>
          <w:szCs w:val="24"/>
        </w:rPr>
        <w:t xml:space="preserve">IZVIDZA </w:t>
      </w:r>
    </w:p>
    <w:p w14:paraId="5B002E2D"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30F848A5"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CHAMUNORWA </w:t>
      </w:r>
      <w:r>
        <w:rPr>
          <w:rFonts w:ascii="Times New Roman" w:hAnsi="Times New Roman" w:cs="Times New Roman"/>
          <w:sz w:val="24"/>
          <w:szCs w:val="24"/>
        </w:rPr>
        <w:t>AND</w:t>
      </w:r>
      <w:r w:rsidRPr="00166C6B">
        <w:rPr>
          <w:rFonts w:ascii="Times New Roman" w:hAnsi="Times New Roman" w:cs="Times New Roman"/>
          <w:sz w:val="24"/>
          <w:szCs w:val="24"/>
        </w:rPr>
        <w:t xml:space="preserve">REW </w:t>
      </w:r>
    </w:p>
    <w:p w14:paraId="4007A2AE"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lastRenderedPageBreak/>
        <w:t>and</w:t>
      </w:r>
    </w:p>
    <w:p w14:paraId="7FF8C4A6"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NOMMATTER KANJ E </w:t>
      </w:r>
    </w:p>
    <w:p w14:paraId="059D1389"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760332BA"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RICHARD CHITUHU </w:t>
      </w:r>
    </w:p>
    <w:p w14:paraId="73BE001B"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5B16F36F"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PANASHE MATSIKA </w:t>
      </w:r>
    </w:p>
    <w:p w14:paraId="1A85CB42"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r w:rsidRPr="00166C6B">
        <w:rPr>
          <w:rFonts w:ascii="Times New Roman" w:hAnsi="Times New Roman" w:cs="Times New Roman"/>
          <w:sz w:val="24"/>
          <w:szCs w:val="24"/>
        </w:rPr>
        <w:t xml:space="preserve"> ‘</w:t>
      </w:r>
    </w:p>
    <w:p w14:paraId="19D365F7"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WISDOM NYAMA </w:t>
      </w:r>
    </w:p>
    <w:p w14:paraId="5DFB770A"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1312B153"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TINOTENDA JERA </w:t>
      </w:r>
    </w:p>
    <w:p w14:paraId="4F2965D6"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0234B4CA"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PETER ZISENGWE </w:t>
      </w:r>
    </w:p>
    <w:p w14:paraId="3B084807"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47C0198C"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BRIAN MAZIVEI </w:t>
      </w:r>
    </w:p>
    <w:p w14:paraId="2FA0FB02"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4DCA4BD3"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VICTOR MASEDZE </w:t>
      </w:r>
    </w:p>
    <w:p w14:paraId="64CBBE28"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774B02EF"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GIVEMORE TENHEDZI </w:t>
      </w:r>
    </w:p>
    <w:p w14:paraId="13BC7513"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3FE42342"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ZVIKOMBORERO DERECK MARI </w:t>
      </w:r>
    </w:p>
    <w:p w14:paraId="2E296E26"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0673731D"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TATENDA MUKWEMBI </w:t>
      </w:r>
    </w:p>
    <w:p w14:paraId="1613C1B5"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0EFAE9A4"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ARTWELL KAT</w:t>
      </w:r>
      <w:r>
        <w:rPr>
          <w:rFonts w:ascii="Times New Roman" w:hAnsi="Times New Roman" w:cs="Times New Roman"/>
          <w:sz w:val="24"/>
          <w:szCs w:val="24"/>
        </w:rPr>
        <w:t>AND</w:t>
      </w:r>
      <w:r w:rsidRPr="00166C6B">
        <w:rPr>
          <w:rFonts w:ascii="Times New Roman" w:hAnsi="Times New Roman" w:cs="Times New Roman"/>
          <w:sz w:val="24"/>
          <w:szCs w:val="24"/>
        </w:rPr>
        <w:t xml:space="preserve">A </w:t>
      </w:r>
    </w:p>
    <w:p w14:paraId="4AE1E47C"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570753D2"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AMOS MUDONDO </w:t>
      </w:r>
    </w:p>
    <w:p w14:paraId="4F2772E9"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37702365"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RONALD HONDONGWA </w:t>
      </w:r>
    </w:p>
    <w:p w14:paraId="640AAFDB"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0909606B"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CHARLES LIWONDE </w:t>
      </w:r>
    </w:p>
    <w:p w14:paraId="47C4A603"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5E21A352"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COLBERT MUGWENHI </w:t>
      </w:r>
    </w:p>
    <w:p w14:paraId="4B835FA6"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09F93B80"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SIMBARASHE NYAMUDEZA </w:t>
      </w:r>
    </w:p>
    <w:p w14:paraId="396C48F6"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0A37C655"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MAXWELL S</w:t>
      </w:r>
      <w:r>
        <w:rPr>
          <w:rFonts w:ascii="Times New Roman" w:hAnsi="Times New Roman" w:cs="Times New Roman"/>
          <w:sz w:val="24"/>
          <w:szCs w:val="24"/>
        </w:rPr>
        <w:t>AND</w:t>
      </w:r>
      <w:r w:rsidRPr="00166C6B">
        <w:rPr>
          <w:rFonts w:ascii="Times New Roman" w:hAnsi="Times New Roman" w:cs="Times New Roman"/>
          <w:sz w:val="24"/>
          <w:szCs w:val="24"/>
        </w:rPr>
        <w:t xml:space="preserve">E </w:t>
      </w:r>
    </w:p>
    <w:p w14:paraId="18C070DD"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29B69ACA"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TAW</w:t>
      </w:r>
      <w:r>
        <w:rPr>
          <w:rFonts w:ascii="Times New Roman" w:hAnsi="Times New Roman" w:cs="Times New Roman"/>
          <w:sz w:val="24"/>
          <w:szCs w:val="24"/>
        </w:rPr>
        <w:t>AND</w:t>
      </w:r>
      <w:r w:rsidRPr="00166C6B">
        <w:rPr>
          <w:rFonts w:ascii="Times New Roman" w:hAnsi="Times New Roman" w:cs="Times New Roman"/>
          <w:sz w:val="24"/>
          <w:szCs w:val="24"/>
        </w:rPr>
        <w:t xml:space="preserve">A MUKUCHA </w:t>
      </w:r>
    </w:p>
    <w:p w14:paraId="5D5CFC51"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53488D76"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TAW</w:t>
      </w:r>
      <w:r>
        <w:rPr>
          <w:rFonts w:ascii="Times New Roman" w:hAnsi="Times New Roman" w:cs="Times New Roman"/>
          <w:sz w:val="24"/>
          <w:szCs w:val="24"/>
        </w:rPr>
        <w:t>AND</w:t>
      </w:r>
      <w:r w:rsidRPr="00166C6B">
        <w:rPr>
          <w:rFonts w:ascii="Times New Roman" w:hAnsi="Times New Roman" w:cs="Times New Roman"/>
          <w:sz w:val="24"/>
          <w:szCs w:val="24"/>
        </w:rPr>
        <w:t xml:space="preserve">A RANGANAI </w:t>
      </w:r>
    </w:p>
    <w:p w14:paraId="2167C023"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2442B125"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TAVAKA KUCHENGA </w:t>
      </w:r>
    </w:p>
    <w:p w14:paraId="2D929549"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6B75D7E0"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PRINCE MAJENA </w:t>
      </w:r>
    </w:p>
    <w:p w14:paraId="22E79BB8"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2A4DB8B0"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TARUVINGA TENSEN </w:t>
      </w:r>
    </w:p>
    <w:p w14:paraId="02B2FF6C"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27FD90A7"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ISHMAEL MUCHERO </w:t>
      </w:r>
    </w:p>
    <w:p w14:paraId="45A315E9"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1C8C61D1"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lastRenderedPageBreak/>
        <w:t xml:space="preserve">LEOPALD MASHONGANYIKA </w:t>
      </w:r>
    </w:p>
    <w:p w14:paraId="50913E0E"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6F068297"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MILTON CHIHW</w:t>
      </w:r>
      <w:r>
        <w:rPr>
          <w:rFonts w:ascii="Times New Roman" w:hAnsi="Times New Roman" w:cs="Times New Roman"/>
          <w:sz w:val="24"/>
          <w:szCs w:val="24"/>
        </w:rPr>
        <w:t>AND</w:t>
      </w:r>
      <w:r w:rsidRPr="00166C6B">
        <w:rPr>
          <w:rFonts w:ascii="Times New Roman" w:hAnsi="Times New Roman" w:cs="Times New Roman"/>
          <w:sz w:val="24"/>
          <w:szCs w:val="24"/>
        </w:rPr>
        <w:t xml:space="preserve">E </w:t>
      </w:r>
    </w:p>
    <w:p w14:paraId="67CCBD16"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347ED3ED"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SIMBARASHE FORE </w:t>
      </w:r>
    </w:p>
    <w:p w14:paraId="00950A43"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70B753AD"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MURONIBI SAMSON </w:t>
      </w:r>
    </w:p>
    <w:p w14:paraId="4411FB8D"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00EC1E3A"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MAFUKOME TENISEN </w:t>
      </w:r>
    </w:p>
    <w:p w14:paraId="7D504DEA"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0CCA08B7"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JASON KAUTSA</w:t>
      </w:r>
    </w:p>
    <w:p w14:paraId="3DBD197D"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1A87B56B"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KUNDAI GUTU</w:t>
      </w:r>
    </w:p>
    <w:p w14:paraId="634777A7"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47C61AD5"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TSITSI DZOVONERA </w:t>
      </w:r>
    </w:p>
    <w:p w14:paraId="16003D11"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223366EE"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LUCIA K</w:t>
      </w:r>
      <w:r>
        <w:rPr>
          <w:rFonts w:ascii="Times New Roman" w:hAnsi="Times New Roman" w:cs="Times New Roman"/>
          <w:sz w:val="24"/>
          <w:szCs w:val="24"/>
        </w:rPr>
        <w:t>AND</w:t>
      </w:r>
      <w:r w:rsidRPr="00166C6B">
        <w:rPr>
          <w:rFonts w:ascii="Times New Roman" w:hAnsi="Times New Roman" w:cs="Times New Roman"/>
          <w:sz w:val="24"/>
          <w:szCs w:val="24"/>
        </w:rPr>
        <w:t xml:space="preserve">EMIRE </w:t>
      </w:r>
    </w:p>
    <w:p w14:paraId="29008351"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13BA7F83"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CATHERINE MUSHARA </w:t>
      </w:r>
    </w:p>
    <w:p w14:paraId="74BA8A32"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3354968D"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MAUREEN DI-IAN A </w:t>
      </w:r>
    </w:p>
    <w:p w14:paraId="4F2078C3"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2BC5AD01"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NETSAI MARAITI </w:t>
      </w:r>
    </w:p>
    <w:p w14:paraId="598AC2DF"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3B62D81A"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MEGGY NYASHA KONDANANI </w:t>
      </w:r>
    </w:p>
    <w:p w14:paraId="5A093748"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2E9ABD31"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JEFITA NJOVO </w:t>
      </w:r>
    </w:p>
    <w:p w14:paraId="0158DA32"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48B75807"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MORGAN GONI-II </w:t>
      </w:r>
    </w:p>
    <w:p w14:paraId="3CB8D04C"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191BCB0E"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FAITH MULANGALA </w:t>
      </w:r>
    </w:p>
    <w:p w14:paraId="5A498A96"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525686AA"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CAROLINE TASHAYAWEDU </w:t>
      </w:r>
    </w:p>
    <w:p w14:paraId="5C79105B"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2B7562C7"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CALEB MAKUYANA </w:t>
      </w:r>
    </w:p>
    <w:p w14:paraId="515B3F76"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349E8389"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RUVARASHE BILLIART </w:t>
      </w:r>
    </w:p>
    <w:p w14:paraId="4028E74D"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7C3E4837"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EDWARD NDLOVU </w:t>
      </w:r>
    </w:p>
    <w:p w14:paraId="7C655E9D"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57EB97F5"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MOSES CHIRIMA </w:t>
      </w:r>
    </w:p>
    <w:p w14:paraId="043173A4"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782E01B0"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CLAYTON PIVANO </w:t>
      </w:r>
    </w:p>
    <w:p w14:paraId="1803B619"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616DABFB"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AM</w:t>
      </w:r>
      <w:r>
        <w:rPr>
          <w:rFonts w:ascii="Times New Roman" w:hAnsi="Times New Roman" w:cs="Times New Roman"/>
          <w:sz w:val="24"/>
          <w:szCs w:val="24"/>
        </w:rPr>
        <w:t>AND</w:t>
      </w:r>
      <w:r w:rsidRPr="00166C6B">
        <w:rPr>
          <w:rFonts w:ascii="Times New Roman" w:hAnsi="Times New Roman" w:cs="Times New Roman"/>
          <w:sz w:val="24"/>
          <w:szCs w:val="24"/>
        </w:rPr>
        <w:t xml:space="preserve">A VIRGINIA BILLIART </w:t>
      </w:r>
    </w:p>
    <w:p w14:paraId="476BA04A"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06F10423"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MELINDA EMILY BILLIARTY </w:t>
      </w:r>
    </w:p>
    <w:p w14:paraId="6738709B"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and</w:t>
      </w:r>
    </w:p>
    <w:p w14:paraId="7B44C57E"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LEYTON MWANAKA </w:t>
      </w:r>
    </w:p>
    <w:p w14:paraId="18597527"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lastRenderedPageBreak/>
        <w:t>and</w:t>
      </w:r>
    </w:p>
    <w:p w14:paraId="3AF00EBE" w14:textId="77777777" w:rsidR="001940DD" w:rsidRPr="00166C6B"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 xml:space="preserve">INNOCENT VIRIMAYI </w:t>
      </w:r>
    </w:p>
    <w:p w14:paraId="267263FE" w14:textId="77777777" w:rsidR="001940DD" w:rsidRPr="00166C6B" w:rsidRDefault="001940DD" w:rsidP="001940DD">
      <w:pPr>
        <w:pStyle w:val="NoSpacing"/>
        <w:rPr>
          <w:rFonts w:ascii="Times New Roman" w:hAnsi="Times New Roman" w:cs="Times New Roman"/>
          <w:sz w:val="24"/>
          <w:szCs w:val="24"/>
        </w:rPr>
      </w:pPr>
      <w:r>
        <w:rPr>
          <w:rFonts w:ascii="Times New Roman" w:hAnsi="Times New Roman" w:cs="Times New Roman"/>
          <w:sz w:val="24"/>
          <w:szCs w:val="24"/>
        </w:rPr>
        <w:t>v</w:t>
      </w:r>
      <w:r w:rsidRPr="00166C6B">
        <w:rPr>
          <w:rFonts w:ascii="Times New Roman" w:hAnsi="Times New Roman" w:cs="Times New Roman"/>
          <w:sz w:val="24"/>
          <w:szCs w:val="24"/>
        </w:rPr>
        <w:t>ersus</w:t>
      </w:r>
    </w:p>
    <w:p w14:paraId="0D72E05E" w14:textId="77777777" w:rsidR="001940DD" w:rsidRDefault="001940DD" w:rsidP="001940DD">
      <w:pPr>
        <w:pStyle w:val="NoSpacing"/>
        <w:rPr>
          <w:rFonts w:ascii="Times New Roman" w:hAnsi="Times New Roman" w:cs="Times New Roman"/>
          <w:sz w:val="24"/>
          <w:szCs w:val="24"/>
        </w:rPr>
      </w:pPr>
      <w:r w:rsidRPr="00166C6B">
        <w:rPr>
          <w:rFonts w:ascii="Times New Roman" w:hAnsi="Times New Roman" w:cs="Times New Roman"/>
          <w:sz w:val="24"/>
          <w:szCs w:val="24"/>
        </w:rPr>
        <w:t>THE STATE</w:t>
      </w:r>
    </w:p>
    <w:p w14:paraId="63490A80" w14:textId="77777777" w:rsidR="007F68C9" w:rsidRDefault="007F68C9" w:rsidP="001940DD">
      <w:pPr>
        <w:pStyle w:val="NoSpacing"/>
        <w:rPr>
          <w:rFonts w:ascii="Times New Roman" w:hAnsi="Times New Roman" w:cs="Times New Roman"/>
          <w:sz w:val="24"/>
          <w:szCs w:val="24"/>
        </w:rPr>
      </w:pPr>
    </w:p>
    <w:p w14:paraId="116A91F5" w14:textId="77777777" w:rsidR="007F68C9" w:rsidRDefault="007F68C9" w:rsidP="001940DD">
      <w:pPr>
        <w:pStyle w:val="NoSpacing"/>
        <w:rPr>
          <w:rFonts w:ascii="Times New Roman" w:hAnsi="Times New Roman" w:cs="Times New Roman"/>
          <w:sz w:val="24"/>
          <w:szCs w:val="24"/>
        </w:rPr>
      </w:pPr>
    </w:p>
    <w:p w14:paraId="6C8B00B4" w14:textId="77777777" w:rsidR="001940DD" w:rsidRPr="001940DD" w:rsidRDefault="001940DD" w:rsidP="001940DD">
      <w:pPr>
        <w:autoSpaceDE w:val="0"/>
        <w:autoSpaceDN w:val="0"/>
        <w:adjustRightInd w:val="0"/>
        <w:spacing w:after="0" w:line="240" w:lineRule="auto"/>
        <w:rPr>
          <w:rFonts w:ascii="Times New Roman" w:eastAsiaTheme="minorEastAsia" w:hAnsi="Times New Roman" w:cs="Times New Roman"/>
          <w:color w:val="000000"/>
          <w:kern w:val="0"/>
          <w:sz w:val="24"/>
          <w:szCs w:val="24"/>
          <w14:ligatures w14:val="none"/>
        </w:rPr>
      </w:pPr>
      <w:r w:rsidRPr="001940DD">
        <w:rPr>
          <w:rFonts w:ascii="Times New Roman" w:eastAsiaTheme="minorEastAsia" w:hAnsi="Times New Roman" w:cs="Times New Roman"/>
          <w:color w:val="000000"/>
          <w:kern w:val="0"/>
          <w:sz w:val="24"/>
          <w:szCs w:val="24"/>
          <w14:ligatures w14:val="none"/>
        </w:rPr>
        <w:t xml:space="preserve">HIGH COURT OF ZIMBABWE </w:t>
      </w:r>
    </w:p>
    <w:p w14:paraId="2BA6FC84" w14:textId="77777777" w:rsidR="001940DD" w:rsidRPr="001940DD" w:rsidRDefault="001940DD" w:rsidP="001940DD">
      <w:pPr>
        <w:autoSpaceDE w:val="0"/>
        <w:autoSpaceDN w:val="0"/>
        <w:adjustRightInd w:val="0"/>
        <w:spacing w:after="0" w:line="240" w:lineRule="auto"/>
        <w:rPr>
          <w:rFonts w:ascii="Times New Roman" w:eastAsiaTheme="minorEastAsia" w:hAnsi="Times New Roman" w:cs="Times New Roman"/>
          <w:color w:val="000000"/>
          <w:kern w:val="0"/>
          <w:sz w:val="24"/>
          <w:szCs w:val="24"/>
          <w14:ligatures w14:val="none"/>
        </w:rPr>
      </w:pPr>
      <w:r w:rsidRPr="001940DD">
        <w:rPr>
          <w:rFonts w:ascii="Times New Roman" w:eastAsiaTheme="minorEastAsia" w:hAnsi="Times New Roman" w:cs="Times New Roman"/>
          <w:color w:val="000000"/>
          <w:kern w:val="0"/>
          <w:sz w:val="24"/>
          <w:szCs w:val="24"/>
          <w14:ligatures w14:val="none"/>
        </w:rPr>
        <w:t xml:space="preserve">MUTEVEDZI J </w:t>
      </w:r>
    </w:p>
    <w:p w14:paraId="403228FF" w14:textId="76264800" w:rsidR="001940DD" w:rsidRDefault="001940DD" w:rsidP="001940DD">
      <w:pPr>
        <w:autoSpaceDE w:val="0"/>
        <w:autoSpaceDN w:val="0"/>
        <w:adjustRightInd w:val="0"/>
        <w:spacing w:after="0" w:line="240" w:lineRule="auto"/>
        <w:rPr>
          <w:rFonts w:ascii="Times New Roman" w:eastAsiaTheme="minorEastAsia" w:hAnsi="Times New Roman" w:cs="Times New Roman"/>
          <w:color w:val="000000"/>
          <w:kern w:val="0"/>
          <w:sz w:val="24"/>
          <w:szCs w:val="24"/>
          <w14:ligatures w14:val="none"/>
        </w:rPr>
      </w:pPr>
      <w:r w:rsidRPr="001940DD">
        <w:rPr>
          <w:rFonts w:ascii="Times New Roman" w:eastAsiaTheme="minorEastAsia" w:hAnsi="Times New Roman" w:cs="Times New Roman"/>
          <w:color w:val="000000"/>
          <w:kern w:val="0"/>
          <w:sz w:val="24"/>
          <w:szCs w:val="24"/>
          <w14:ligatures w14:val="none"/>
        </w:rPr>
        <w:t xml:space="preserve">HARARE, 17 </w:t>
      </w:r>
      <w:r>
        <w:rPr>
          <w:rFonts w:ascii="Times New Roman" w:eastAsiaTheme="minorEastAsia" w:hAnsi="Times New Roman" w:cs="Times New Roman"/>
          <w:color w:val="000000"/>
          <w:kern w:val="0"/>
          <w:sz w:val="24"/>
          <w:szCs w:val="24"/>
          <w14:ligatures w14:val="none"/>
        </w:rPr>
        <w:t>July 2024</w:t>
      </w:r>
    </w:p>
    <w:p w14:paraId="39C208D4" w14:textId="77777777" w:rsidR="007F68C9" w:rsidRDefault="007F68C9" w:rsidP="001940DD">
      <w:pPr>
        <w:autoSpaceDE w:val="0"/>
        <w:autoSpaceDN w:val="0"/>
        <w:adjustRightInd w:val="0"/>
        <w:spacing w:after="0" w:line="240" w:lineRule="auto"/>
        <w:rPr>
          <w:rFonts w:ascii="Times New Roman" w:eastAsiaTheme="minorEastAsia" w:hAnsi="Times New Roman" w:cs="Times New Roman"/>
          <w:color w:val="000000"/>
          <w:kern w:val="0"/>
          <w:sz w:val="24"/>
          <w:szCs w:val="24"/>
          <w14:ligatures w14:val="none"/>
        </w:rPr>
      </w:pPr>
    </w:p>
    <w:p w14:paraId="72D371B7" w14:textId="77777777" w:rsidR="001940DD" w:rsidRDefault="001940DD" w:rsidP="001940DD">
      <w:pPr>
        <w:autoSpaceDE w:val="0"/>
        <w:autoSpaceDN w:val="0"/>
        <w:adjustRightInd w:val="0"/>
        <w:spacing w:after="0" w:line="240" w:lineRule="auto"/>
        <w:rPr>
          <w:rFonts w:ascii="Times New Roman" w:eastAsiaTheme="minorEastAsia" w:hAnsi="Times New Roman" w:cs="Times New Roman"/>
          <w:color w:val="000000"/>
          <w:kern w:val="0"/>
          <w:sz w:val="24"/>
          <w:szCs w:val="24"/>
          <w14:ligatures w14:val="none"/>
        </w:rPr>
      </w:pPr>
    </w:p>
    <w:p w14:paraId="199FE043" w14:textId="47459053" w:rsidR="001940DD" w:rsidRPr="001940DD" w:rsidRDefault="001940DD" w:rsidP="001940DD">
      <w:pPr>
        <w:autoSpaceDE w:val="0"/>
        <w:autoSpaceDN w:val="0"/>
        <w:adjustRightInd w:val="0"/>
        <w:spacing w:after="0" w:line="240" w:lineRule="auto"/>
        <w:rPr>
          <w:rFonts w:ascii="Times New Roman" w:eastAsiaTheme="minorEastAsia" w:hAnsi="Times New Roman" w:cs="Times New Roman"/>
          <w:b/>
          <w:bCs/>
          <w:color w:val="000000"/>
          <w:kern w:val="0"/>
          <w:sz w:val="24"/>
          <w:szCs w:val="24"/>
          <w14:ligatures w14:val="none"/>
        </w:rPr>
      </w:pPr>
      <w:r w:rsidRPr="001940DD">
        <w:rPr>
          <w:rFonts w:ascii="Times New Roman" w:eastAsiaTheme="minorEastAsia" w:hAnsi="Times New Roman" w:cs="Times New Roman"/>
          <w:b/>
          <w:bCs/>
          <w:color w:val="000000"/>
          <w:kern w:val="0"/>
          <w:sz w:val="24"/>
          <w:szCs w:val="24"/>
          <w14:ligatures w14:val="none"/>
        </w:rPr>
        <w:t>Appeal against refusal of bail</w:t>
      </w:r>
    </w:p>
    <w:p w14:paraId="0B162881" w14:textId="77777777" w:rsidR="001940DD" w:rsidRDefault="001940DD" w:rsidP="001940DD">
      <w:pPr>
        <w:pStyle w:val="NoSpacing"/>
        <w:rPr>
          <w:rFonts w:ascii="Times New Roman" w:hAnsi="Times New Roman" w:cs="Times New Roman"/>
          <w:sz w:val="24"/>
          <w:szCs w:val="24"/>
        </w:rPr>
      </w:pPr>
    </w:p>
    <w:p w14:paraId="6C1C92BC" w14:textId="77777777" w:rsidR="001940DD" w:rsidRDefault="001940DD" w:rsidP="001940DD">
      <w:pPr>
        <w:pStyle w:val="NoSpacing"/>
        <w:rPr>
          <w:rFonts w:ascii="Times New Roman" w:hAnsi="Times New Roman" w:cs="Times New Roman"/>
          <w:sz w:val="24"/>
          <w:szCs w:val="24"/>
        </w:rPr>
      </w:pPr>
    </w:p>
    <w:p w14:paraId="1F362724" w14:textId="51B0BB76" w:rsidR="001940DD" w:rsidRDefault="001940DD" w:rsidP="001940DD">
      <w:pPr>
        <w:pStyle w:val="NoSpacing"/>
        <w:rPr>
          <w:rFonts w:ascii="Times New Roman" w:hAnsi="Times New Roman" w:cs="Times New Roman"/>
          <w:sz w:val="24"/>
          <w:szCs w:val="24"/>
          <w:lang w:val="en-US"/>
        </w:rPr>
      </w:pPr>
      <w:r w:rsidRPr="001940DD">
        <w:rPr>
          <w:rFonts w:ascii="Times New Roman" w:hAnsi="Times New Roman" w:cs="Times New Roman"/>
          <w:i/>
          <w:iCs/>
          <w:sz w:val="24"/>
          <w:szCs w:val="24"/>
          <w:lang w:val="en-US"/>
        </w:rPr>
        <w:t>W</w:t>
      </w:r>
      <w:r>
        <w:rPr>
          <w:rFonts w:ascii="Times New Roman" w:hAnsi="Times New Roman" w:cs="Times New Roman"/>
          <w:sz w:val="24"/>
          <w:szCs w:val="24"/>
          <w:lang w:val="en-US"/>
        </w:rPr>
        <w:t>.</w:t>
      </w:r>
      <w:r w:rsidRPr="003A72FD">
        <w:rPr>
          <w:rFonts w:ascii="Times New Roman" w:hAnsi="Times New Roman" w:cs="Times New Roman"/>
          <w:i/>
          <w:iCs/>
          <w:sz w:val="24"/>
          <w:szCs w:val="24"/>
          <w:lang w:val="en-US"/>
        </w:rPr>
        <w:t xml:space="preserve"> Jiti</w:t>
      </w:r>
      <w:r>
        <w:rPr>
          <w:rFonts w:ascii="Times New Roman" w:hAnsi="Times New Roman" w:cs="Times New Roman"/>
          <w:sz w:val="24"/>
          <w:szCs w:val="24"/>
          <w:lang w:val="en-US"/>
        </w:rPr>
        <w:t xml:space="preserve">, </w:t>
      </w:r>
      <w:r w:rsidRPr="003A72FD">
        <w:rPr>
          <w:rFonts w:ascii="Times New Roman" w:hAnsi="Times New Roman" w:cs="Times New Roman"/>
          <w:i/>
          <w:iCs/>
          <w:sz w:val="24"/>
          <w:szCs w:val="24"/>
          <w:lang w:val="en-US"/>
        </w:rPr>
        <w:t xml:space="preserve">J Bamu </w:t>
      </w:r>
      <w:r>
        <w:rPr>
          <w:rFonts w:ascii="Times New Roman" w:hAnsi="Times New Roman" w:cs="Times New Roman"/>
          <w:sz w:val="24"/>
          <w:szCs w:val="24"/>
          <w:lang w:val="en-US"/>
        </w:rPr>
        <w:t xml:space="preserve">, </w:t>
      </w:r>
      <w:r w:rsidRPr="001940DD">
        <w:rPr>
          <w:rFonts w:ascii="Times New Roman" w:hAnsi="Times New Roman" w:cs="Times New Roman"/>
          <w:i/>
          <w:iCs/>
          <w:sz w:val="24"/>
          <w:szCs w:val="24"/>
          <w:lang w:val="en-US"/>
        </w:rPr>
        <w:t>M</w:t>
      </w:r>
      <w:r>
        <w:rPr>
          <w:rFonts w:ascii="Times New Roman" w:hAnsi="Times New Roman" w:cs="Times New Roman"/>
          <w:sz w:val="24"/>
          <w:szCs w:val="24"/>
          <w:lang w:val="en-US"/>
        </w:rPr>
        <w:t xml:space="preserve">. </w:t>
      </w:r>
      <w:r w:rsidRPr="003A72FD">
        <w:rPr>
          <w:rFonts w:ascii="Times New Roman" w:hAnsi="Times New Roman" w:cs="Times New Roman"/>
          <w:i/>
          <w:iCs/>
          <w:sz w:val="24"/>
          <w:szCs w:val="24"/>
          <w:lang w:val="en-US"/>
        </w:rPr>
        <w:t>Mandevere</w:t>
      </w:r>
      <w:r>
        <w:rPr>
          <w:rFonts w:ascii="Times New Roman" w:hAnsi="Times New Roman" w:cs="Times New Roman"/>
          <w:sz w:val="24"/>
          <w:szCs w:val="24"/>
          <w:lang w:val="en-US"/>
        </w:rPr>
        <w:t xml:space="preserve">, and </w:t>
      </w:r>
      <w:r w:rsidRPr="001940DD">
        <w:rPr>
          <w:rFonts w:ascii="Times New Roman" w:hAnsi="Times New Roman" w:cs="Times New Roman"/>
          <w:i/>
          <w:iCs/>
          <w:sz w:val="24"/>
          <w:szCs w:val="24"/>
          <w:lang w:val="en-US"/>
        </w:rPr>
        <w:t>L</w:t>
      </w:r>
      <w:r>
        <w:rPr>
          <w:rFonts w:ascii="Times New Roman" w:hAnsi="Times New Roman" w:cs="Times New Roman"/>
          <w:sz w:val="24"/>
          <w:szCs w:val="24"/>
          <w:lang w:val="en-US"/>
        </w:rPr>
        <w:t xml:space="preserve">. </w:t>
      </w:r>
      <w:r w:rsidRPr="003A72FD">
        <w:rPr>
          <w:rFonts w:ascii="Times New Roman" w:hAnsi="Times New Roman" w:cs="Times New Roman"/>
          <w:i/>
          <w:iCs/>
          <w:sz w:val="24"/>
          <w:szCs w:val="24"/>
          <w:lang w:val="en-US"/>
        </w:rPr>
        <w:t>Mbereko</w:t>
      </w:r>
      <w:r>
        <w:rPr>
          <w:rFonts w:ascii="Times New Roman" w:hAnsi="Times New Roman" w:cs="Times New Roman"/>
          <w:sz w:val="24"/>
          <w:szCs w:val="24"/>
          <w:lang w:val="en-US"/>
        </w:rPr>
        <w:t xml:space="preserve"> for the appellants</w:t>
      </w:r>
    </w:p>
    <w:p w14:paraId="335636B4" w14:textId="2847F72B" w:rsidR="001940DD" w:rsidRDefault="001940DD" w:rsidP="001940DD">
      <w:pPr>
        <w:pStyle w:val="NoSpacing"/>
        <w:rPr>
          <w:rFonts w:ascii="Times New Roman" w:hAnsi="Times New Roman" w:cs="Times New Roman"/>
          <w:sz w:val="24"/>
          <w:szCs w:val="24"/>
          <w:lang w:val="en-US"/>
        </w:rPr>
      </w:pPr>
      <w:r w:rsidRPr="001940DD">
        <w:rPr>
          <w:rFonts w:ascii="Times New Roman" w:hAnsi="Times New Roman" w:cs="Times New Roman"/>
          <w:i/>
          <w:iCs/>
          <w:sz w:val="24"/>
          <w:szCs w:val="24"/>
          <w:lang w:val="en-US"/>
        </w:rPr>
        <w:t>C</w:t>
      </w:r>
      <w:r>
        <w:rPr>
          <w:rFonts w:ascii="Times New Roman" w:hAnsi="Times New Roman" w:cs="Times New Roman"/>
          <w:sz w:val="24"/>
          <w:szCs w:val="24"/>
          <w:lang w:val="en-US"/>
        </w:rPr>
        <w:t xml:space="preserve">. </w:t>
      </w:r>
      <w:r w:rsidRPr="003A72FD">
        <w:rPr>
          <w:rFonts w:ascii="Times New Roman" w:hAnsi="Times New Roman" w:cs="Times New Roman"/>
          <w:i/>
          <w:iCs/>
          <w:sz w:val="24"/>
          <w:szCs w:val="24"/>
          <w:lang w:val="en-US"/>
        </w:rPr>
        <w:t xml:space="preserve">Muchemwa </w:t>
      </w:r>
      <w:r w:rsidRPr="001940DD">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1940DD">
        <w:rPr>
          <w:rFonts w:ascii="Times New Roman" w:hAnsi="Times New Roman" w:cs="Times New Roman"/>
          <w:i/>
          <w:iCs/>
          <w:sz w:val="24"/>
          <w:szCs w:val="24"/>
          <w:lang w:val="en-US"/>
        </w:rPr>
        <w:t>K.H.</w:t>
      </w:r>
      <w:r>
        <w:rPr>
          <w:rFonts w:ascii="Times New Roman" w:hAnsi="Times New Roman" w:cs="Times New Roman"/>
          <w:sz w:val="24"/>
          <w:szCs w:val="24"/>
          <w:lang w:val="en-US"/>
        </w:rPr>
        <w:t xml:space="preserve"> </w:t>
      </w:r>
      <w:r w:rsidRPr="003A72FD">
        <w:rPr>
          <w:rFonts w:ascii="Times New Roman" w:hAnsi="Times New Roman" w:cs="Times New Roman"/>
          <w:i/>
          <w:iCs/>
          <w:sz w:val="24"/>
          <w:szCs w:val="24"/>
          <w:lang w:val="en-US"/>
        </w:rPr>
        <w:t>Kunaka</w:t>
      </w:r>
      <w:r>
        <w:rPr>
          <w:rFonts w:ascii="Times New Roman" w:hAnsi="Times New Roman" w:cs="Times New Roman"/>
          <w:sz w:val="24"/>
          <w:szCs w:val="24"/>
          <w:lang w:val="en-US"/>
        </w:rPr>
        <w:t>, for the state</w:t>
      </w:r>
    </w:p>
    <w:p w14:paraId="0DEEDBA6" w14:textId="3D41A27F" w:rsidR="007257DB" w:rsidRDefault="007257DB" w:rsidP="007F68C9">
      <w:pPr>
        <w:spacing w:after="0"/>
        <w:rPr>
          <w:rFonts w:ascii="Times New Roman" w:hAnsi="Times New Roman" w:cs="Times New Roman"/>
          <w:sz w:val="28"/>
          <w:szCs w:val="28"/>
        </w:rPr>
      </w:pPr>
    </w:p>
    <w:p w14:paraId="42DA47DE" w14:textId="77777777" w:rsidR="007F68C9" w:rsidRDefault="007F68C9" w:rsidP="007F68C9">
      <w:pPr>
        <w:spacing w:after="0"/>
        <w:rPr>
          <w:rFonts w:ascii="Times New Roman" w:hAnsi="Times New Roman" w:cs="Times New Roman"/>
          <w:sz w:val="28"/>
          <w:szCs w:val="28"/>
        </w:rPr>
      </w:pPr>
    </w:p>
    <w:p w14:paraId="28E323DD" w14:textId="302EAFE7" w:rsidR="00723013" w:rsidRPr="00BA55EF" w:rsidRDefault="007F68C9" w:rsidP="007F68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3013" w:rsidRPr="00BA55EF">
        <w:rPr>
          <w:rFonts w:ascii="Times New Roman" w:hAnsi="Times New Roman" w:cs="Times New Roman"/>
          <w:sz w:val="24"/>
          <w:szCs w:val="24"/>
        </w:rPr>
        <w:t>MUTEVEDZI J: This is an appeal against the decision of the Magistrates’ Court sitting at Harare refus</w:t>
      </w:r>
      <w:r w:rsidR="001A5219">
        <w:rPr>
          <w:rFonts w:ascii="Times New Roman" w:hAnsi="Times New Roman" w:cs="Times New Roman"/>
          <w:sz w:val="24"/>
          <w:szCs w:val="24"/>
        </w:rPr>
        <w:t>ing</w:t>
      </w:r>
      <w:r w:rsidR="00723013" w:rsidRPr="00BA55EF">
        <w:rPr>
          <w:rFonts w:ascii="Times New Roman" w:hAnsi="Times New Roman" w:cs="Times New Roman"/>
          <w:sz w:val="24"/>
          <w:szCs w:val="24"/>
        </w:rPr>
        <w:t xml:space="preserve"> all the </w:t>
      </w:r>
      <w:r w:rsidR="002F1E70" w:rsidRPr="00BA55EF">
        <w:rPr>
          <w:rFonts w:ascii="Times New Roman" w:hAnsi="Times New Roman" w:cs="Times New Roman"/>
          <w:sz w:val="24"/>
          <w:szCs w:val="24"/>
        </w:rPr>
        <w:t xml:space="preserve">seventy- four </w:t>
      </w:r>
      <w:r w:rsidR="00E24F25">
        <w:rPr>
          <w:rFonts w:ascii="Times New Roman" w:hAnsi="Times New Roman" w:cs="Times New Roman"/>
          <w:sz w:val="24"/>
          <w:szCs w:val="24"/>
        </w:rPr>
        <w:t xml:space="preserve">(74) </w:t>
      </w:r>
      <w:r w:rsidR="00723013" w:rsidRPr="00BA55EF">
        <w:rPr>
          <w:rFonts w:ascii="Times New Roman" w:hAnsi="Times New Roman" w:cs="Times New Roman"/>
          <w:sz w:val="24"/>
          <w:szCs w:val="24"/>
        </w:rPr>
        <w:t xml:space="preserve">appellants admission </w:t>
      </w:r>
      <w:r w:rsidR="002F1E70" w:rsidRPr="00BA55EF">
        <w:rPr>
          <w:rFonts w:ascii="Times New Roman" w:hAnsi="Times New Roman" w:cs="Times New Roman"/>
          <w:sz w:val="24"/>
          <w:szCs w:val="24"/>
        </w:rPr>
        <w:t>to bail</w:t>
      </w:r>
      <w:r w:rsidR="00723013" w:rsidRPr="00BA55EF">
        <w:rPr>
          <w:rFonts w:ascii="Times New Roman" w:hAnsi="Times New Roman" w:cs="Times New Roman"/>
          <w:sz w:val="24"/>
          <w:szCs w:val="24"/>
        </w:rPr>
        <w:t xml:space="preserve">. </w:t>
      </w:r>
      <w:r w:rsidR="001330B7">
        <w:rPr>
          <w:rFonts w:ascii="Times New Roman" w:hAnsi="Times New Roman" w:cs="Times New Roman"/>
          <w:sz w:val="24"/>
          <w:szCs w:val="24"/>
        </w:rPr>
        <w:t>The decision was delivered on 27 June 2024. The demographics of the appellants is interesting.</w:t>
      </w:r>
      <w:r w:rsidR="001330B7" w:rsidRPr="001330B7">
        <w:rPr>
          <w:rFonts w:ascii="Times New Roman" w:hAnsi="Times New Roman" w:cs="Times New Roman"/>
          <w:sz w:val="24"/>
          <w:szCs w:val="24"/>
        </w:rPr>
        <w:t xml:space="preserve"> </w:t>
      </w:r>
      <w:r w:rsidR="001330B7" w:rsidRPr="00BD3E3B">
        <w:rPr>
          <w:rFonts w:ascii="Times New Roman" w:hAnsi="Times New Roman" w:cs="Times New Roman"/>
          <w:sz w:val="24"/>
          <w:szCs w:val="24"/>
        </w:rPr>
        <w:t>The</w:t>
      </w:r>
      <w:r w:rsidR="001330B7">
        <w:rPr>
          <w:rFonts w:ascii="Times New Roman" w:hAnsi="Times New Roman" w:cs="Times New Roman"/>
          <w:sz w:val="24"/>
          <w:szCs w:val="24"/>
        </w:rPr>
        <w:t xml:space="preserve">y </w:t>
      </w:r>
      <w:r w:rsidR="001330B7" w:rsidRPr="00BD3E3B">
        <w:rPr>
          <w:rFonts w:ascii="Times New Roman" w:hAnsi="Times New Roman" w:cs="Times New Roman"/>
          <w:sz w:val="24"/>
          <w:szCs w:val="24"/>
        </w:rPr>
        <w:t xml:space="preserve">were not </w:t>
      </w:r>
      <w:r w:rsidR="001330B7">
        <w:rPr>
          <w:rFonts w:ascii="Times New Roman" w:hAnsi="Times New Roman" w:cs="Times New Roman"/>
          <w:sz w:val="24"/>
          <w:szCs w:val="24"/>
        </w:rPr>
        <w:t xml:space="preserve">a </w:t>
      </w:r>
      <w:r w:rsidR="001330B7" w:rsidRPr="00BD3E3B">
        <w:rPr>
          <w:rFonts w:ascii="Times New Roman" w:hAnsi="Times New Roman" w:cs="Times New Roman"/>
          <w:sz w:val="24"/>
          <w:szCs w:val="24"/>
        </w:rPr>
        <w:t>random assembl</w:t>
      </w:r>
      <w:r w:rsidR="001330B7">
        <w:rPr>
          <w:rFonts w:ascii="Times New Roman" w:hAnsi="Times New Roman" w:cs="Times New Roman"/>
          <w:sz w:val="24"/>
          <w:szCs w:val="24"/>
        </w:rPr>
        <w:t>y</w:t>
      </w:r>
      <w:r w:rsidR="001330B7" w:rsidRPr="00BD3E3B">
        <w:rPr>
          <w:rFonts w:ascii="Times New Roman" w:hAnsi="Times New Roman" w:cs="Times New Roman"/>
          <w:sz w:val="24"/>
          <w:szCs w:val="24"/>
        </w:rPr>
        <w:t>. Instead, they hail from different but clearly defined clusters predominantly the suburbs of Chitungwiza, Epworth and Hatcliffe which account for</w:t>
      </w:r>
      <w:r w:rsidR="00E24F25">
        <w:rPr>
          <w:rFonts w:ascii="Times New Roman" w:hAnsi="Times New Roman" w:cs="Times New Roman"/>
          <w:sz w:val="24"/>
          <w:szCs w:val="24"/>
        </w:rPr>
        <w:t xml:space="preserve"> </w:t>
      </w:r>
      <w:r w:rsidR="001330B7">
        <w:rPr>
          <w:rFonts w:ascii="Times New Roman" w:hAnsi="Times New Roman" w:cs="Times New Roman"/>
          <w:sz w:val="24"/>
          <w:szCs w:val="24"/>
        </w:rPr>
        <w:t>almost</w:t>
      </w:r>
      <w:r w:rsidR="001330B7" w:rsidRPr="00BD3E3B">
        <w:rPr>
          <w:rFonts w:ascii="Times New Roman" w:hAnsi="Times New Roman" w:cs="Times New Roman"/>
          <w:sz w:val="24"/>
          <w:szCs w:val="24"/>
        </w:rPr>
        <w:t xml:space="preserve"> three quarters of the appellants.  </w:t>
      </w:r>
      <w:r w:rsidR="001330B7">
        <w:rPr>
          <w:rFonts w:ascii="Times New Roman" w:hAnsi="Times New Roman" w:cs="Times New Roman"/>
          <w:sz w:val="24"/>
          <w:szCs w:val="24"/>
        </w:rPr>
        <w:t>E</w:t>
      </w:r>
      <w:r w:rsidR="001330B7" w:rsidRPr="00BD3E3B">
        <w:rPr>
          <w:rFonts w:ascii="Times New Roman" w:hAnsi="Times New Roman" w:cs="Times New Roman"/>
          <w:sz w:val="24"/>
          <w:szCs w:val="24"/>
        </w:rPr>
        <w:t>qually note</w:t>
      </w:r>
      <w:r w:rsidR="001330B7">
        <w:rPr>
          <w:rFonts w:ascii="Times New Roman" w:hAnsi="Times New Roman" w:cs="Times New Roman"/>
          <w:sz w:val="24"/>
          <w:szCs w:val="24"/>
        </w:rPr>
        <w:t>worthy</w:t>
      </w:r>
      <w:r w:rsidR="001330B7" w:rsidRPr="00BD3E3B">
        <w:rPr>
          <w:rFonts w:ascii="Times New Roman" w:hAnsi="Times New Roman" w:cs="Times New Roman"/>
          <w:sz w:val="24"/>
          <w:szCs w:val="24"/>
        </w:rPr>
        <w:t xml:space="preserve"> </w:t>
      </w:r>
      <w:r w:rsidR="001330B7">
        <w:rPr>
          <w:rFonts w:ascii="Times New Roman" w:hAnsi="Times New Roman" w:cs="Times New Roman"/>
          <w:sz w:val="24"/>
          <w:szCs w:val="24"/>
        </w:rPr>
        <w:t>is the fact</w:t>
      </w:r>
      <w:r w:rsidR="001330B7" w:rsidRPr="00BD3E3B">
        <w:rPr>
          <w:rFonts w:ascii="Times New Roman" w:hAnsi="Times New Roman" w:cs="Times New Roman"/>
          <w:sz w:val="24"/>
          <w:szCs w:val="24"/>
        </w:rPr>
        <w:t xml:space="preserve"> </w:t>
      </w:r>
      <w:r w:rsidR="00E24F25">
        <w:rPr>
          <w:rFonts w:ascii="Times New Roman" w:hAnsi="Times New Roman" w:cs="Times New Roman"/>
          <w:sz w:val="24"/>
          <w:szCs w:val="24"/>
        </w:rPr>
        <w:t xml:space="preserve">that </w:t>
      </w:r>
      <w:r w:rsidR="001330B7" w:rsidRPr="00BD3E3B">
        <w:rPr>
          <w:rFonts w:ascii="Times New Roman" w:hAnsi="Times New Roman" w:cs="Times New Roman"/>
          <w:sz w:val="24"/>
          <w:szCs w:val="24"/>
        </w:rPr>
        <w:t xml:space="preserve">fifty-seven of the appellants are not formally employed and that over sixty of them are aged below forty years. </w:t>
      </w:r>
      <w:r w:rsidR="001330B7">
        <w:rPr>
          <w:rFonts w:ascii="Times New Roman" w:hAnsi="Times New Roman" w:cs="Times New Roman"/>
          <w:sz w:val="24"/>
          <w:szCs w:val="24"/>
        </w:rPr>
        <w:t xml:space="preserve"> </w:t>
      </w:r>
      <w:r w:rsidR="00E24F25">
        <w:rPr>
          <w:rFonts w:ascii="Times New Roman" w:hAnsi="Times New Roman" w:cs="Times New Roman"/>
          <w:sz w:val="24"/>
          <w:szCs w:val="24"/>
        </w:rPr>
        <w:t>They are of the same political persuasion having all admitted their affiliation to a political outfit called the CCC. The appellants made a combined bail application in the court a</w:t>
      </w:r>
      <w:r w:rsidR="000F37DA">
        <w:rPr>
          <w:rFonts w:ascii="Times New Roman" w:hAnsi="Times New Roman" w:cs="Times New Roman"/>
          <w:sz w:val="24"/>
          <w:szCs w:val="24"/>
        </w:rPr>
        <w:t xml:space="preserve"> </w:t>
      </w:r>
      <w:r w:rsidR="00E24F25">
        <w:rPr>
          <w:rFonts w:ascii="Times New Roman" w:hAnsi="Times New Roman" w:cs="Times New Roman"/>
          <w:sz w:val="24"/>
          <w:szCs w:val="24"/>
        </w:rPr>
        <w:t xml:space="preserve">quo. In their appeal in this court, </w:t>
      </w:r>
      <w:r w:rsidR="001A5219">
        <w:rPr>
          <w:rFonts w:ascii="Times New Roman" w:hAnsi="Times New Roman" w:cs="Times New Roman"/>
          <w:sz w:val="24"/>
          <w:szCs w:val="24"/>
        </w:rPr>
        <w:t xml:space="preserve">which again was prosecuted as one, </w:t>
      </w:r>
      <w:r w:rsidR="00E24F25">
        <w:rPr>
          <w:rFonts w:ascii="Times New Roman" w:hAnsi="Times New Roman" w:cs="Times New Roman"/>
          <w:sz w:val="24"/>
          <w:szCs w:val="24"/>
        </w:rPr>
        <w:t>they raised several grounds of appeal to which</w:t>
      </w:r>
      <w:r w:rsidR="001330B7">
        <w:rPr>
          <w:rFonts w:ascii="Times New Roman" w:hAnsi="Times New Roman" w:cs="Times New Roman"/>
          <w:sz w:val="24"/>
          <w:szCs w:val="24"/>
        </w:rPr>
        <w:t xml:space="preserve"> </w:t>
      </w:r>
      <w:r w:rsidR="002F1E70" w:rsidRPr="00BA55EF">
        <w:rPr>
          <w:rFonts w:ascii="Times New Roman" w:hAnsi="Times New Roman" w:cs="Times New Roman"/>
          <w:sz w:val="24"/>
          <w:szCs w:val="24"/>
        </w:rPr>
        <w:t xml:space="preserve">I will advert later in the judgment. </w:t>
      </w:r>
    </w:p>
    <w:p w14:paraId="02A54ACF" w14:textId="1CC55F88" w:rsidR="00892DB6" w:rsidRDefault="00FB5EFD" w:rsidP="00BA55EF">
      <w:pPr>
        <w:pStyle w:val="ListParagraph"/>
        <w:numPr>
          <w:ilvl w:val="0"/>
          <w:numId w:val="1"/>
        </w:numPr>
        <w:spacing w:line="360" w:lineRule="auto"/>
        <w:jc w:val="both"/>
        <w:rPr>
          <w:rFonts w:ascii="Times New Roman" w:hAnsi="Times New Roman" w:cs="Times New Roman"/>
          <w:sz w:val="24"/>
          <w:szCs w:val="24"/>
        </w:rPr>
      </w:pPr>
      <w:r w:rsidRPr="00BA55EF">
        <w:rPr>
          <w:rFonts w:ascii="Times New Roman" w:hAnsi="Times New Roman" w:cs="Times New Roman"/>
          <w:sz w:val="24"/>
          <w:szCs w:val="24"/>
        </w:rPr>
        <w:t xml:space="preserve">The appellants were all arrested on 16 June 2024. The allegations </w:t>
      </w:r>
      <w:r w:rsidR="00B26243" w:rsidRPr="00BA55EF">
        <w:rPr>
          <w:rFonts w:ascii="Times New Roman" w:hAnsi="Times New Roman" w:cs="Times New Roman"/>
          <w:sz w:val="24"/>
          <w:szCs w:val="24"/>
        </w:rPr>
        <w:t xml:space="preserve">against them are stated in </w:t>
      </w:r>
      <w:r w:rsidRPr="00BA55EF">
        <w:rPr>
          <w:rFonts w:ascii="Times New Roman" w:hAnsi="Times New Roman" w:cs="Times New Roman"/>
          <w:sz w:val="24"/>
          <w:szCs w:val="24"/>
        </w:rPr>
        <w:t>the request for remand form (form 242)</w:t>
      </w:r>
      <w:r w:rsidR="00B26243" w:rsidRPr="00BA55EF">
        <w:rPr>
          <w:rFonts w:ascii="Times New Roman" w:hAnsi="Times New Roman" w:cs="Times New Roman"/>
          <w:sz w:val="24"/>
          <w:szCs w:val="24"/>
        </w:rPr>
        <w:t xml:space="preserve">. The legal practitioners representing the appellants, presumably on the appellants’ instructions, all agreed to the correctness of the accusations by the prosecution. All counsel intimated that they had no scruple with the allegations and chose to contest them at </w:t>
      </w:r>
      <w:r w:rsidR="001A5219">
        <w:rPr>
          <w:rFonts w:ascii="Times New Roman" w:hAnsi="Times New Roman" w:cs="Times New Roman"/>
          <w:sz w:val="24"/>
          <w:szCs w:val="24"/>
        </w:rPr>
        <w:t>an unspecified</w:t>
      </w:r>
      <w:r w:rsidR="00B26243" w:rsidRPr="00BA55EF">
        <w:rPr>
          <w:rFonts w:ascii="Times New Roman" w:hAnsi="Times New Roman" w:cs="Times New Roman"/>
          <w:sz w:val="24"/>
          <w:szCs w:val="24"/>
        </w:rPr>
        <w:t xml:space="preserve"> future </w:t>
      </w:r>
      <w:r w:rsidR="001A5219">
        <w:rPr>
          <w:rFonts w:ascii="Times New Roman" w:hAnsi="Times New Roman" w:cs="Times New Roman"/>
          <w:sz w:val="24"/>
          <w:szCs w:val="24"/>
        </w:rPr>
        <w:t>date</w:t>
      </w:r>
      <w:r w:rsidR="00B26243" w:rsidRPr="00BA55EF">
        <w:rPr>
          <w:rFonts w:ascii="Times New Roman" w:hAnsi="Times New Roman" w:cs="Times New Roman"/>
          <w:sz w:val="24"/>
          <w:szCs w:val="24"/>
        </w:rPr>
        <w:t xml:space="preserve">. </w:t>
      </w:r>
    </w:p>
    <w:p w14:paraId="0B617AEF" w14:textId="72751490" w:rsidR="00D17F4A" w:rsidRPr="00BA55EF" w:rsidRDefault="00B26243" w:rsidP="00BA55EF">
      <w:pPr>
        <w:pStyle w:val="ListParagraph"/>
        <w:numPr>
          <w:ilvl w:val="0"/>
          <w:numId w:val="1"/>
        </w:numPr>
        <w:spacing w:line="360" w:lineRule="auto"/>
        <w:jc w:val="both"/>
        <w:rPr>
          <w:rFonts w:ascii="Times New Roman" w:hAnsi="Times New Roman" w:cs="Times New Roman"/>
          <w:sz w:val="24"/>
          <w:szCs w:val="24"/>
        </w:rPr>
      </w:pPr>
      <w:r w:rsidRPr="00BA55EF">
        <w:rPr>
          <w:rFonts w:ascii="Times New Roman" w:hAnsi="Times New Roman" w:cs="Times New Roman"/>
          <w:sz w:val="24"/>
          <w:szCs w:val="24"/>
        </w:rPr>
        <w:t xml:space="preserve">I momentarily stop here to mention that it does not </w:t>
      </w:r>
      <w:r w:rsidR="001A5219">
        <w:rPr>
          <w:rFonts w:ascii="Times New Roman" w:hAnsi="Times New Roman" w:cs="Times New Roman"/>
          <w:sz w:val="24"/>
          <w:szCs w:val="24"/>
        </w:rPr>
        <w:t>carry much wisdom</w:t>
      </w:r>
      <w:r w:rsidRPr="00BA55EF">
        <w:rPr>
          <w:rFonts w:ascii="Times New Roman" w:hAnsi="Times New Roman" w:cs="Times New Roman"/>
          <w:sz w:val="24"/>
          <w:szCs w:val="24"/>
        </w:rPr>
        <w:t xml:space="preserve"> for a legal practitioner to take th</w:t>
      </w:r>
      <w:r w:rsidR="00892DB6">
        <w:rPr>
          <w:rFonts w:ascii="Times New Roman" w:hAnsi="Times New Roman" w:cs="Times New Roman"/>
          <w:sz w:val="24"/>
          <w:szCs w:val="24"/>
        </w:rPr>
        <w:t>e above</w:t>
      </w:r>
      <w:r w:rsidRPr="00BA55EF">
        <w:rPr>
          <w:rFonts w:ascii="Times New Roman" w:hAnsi="Times New Roman" w:cs="Times New Roman"/>
          <w:sz w:val="24"/>
          <w:szCs w:val="24"/>
        </w:rPr>
        <w:t xml:space="preserve"> course. It is ill-advised because in determining matters present, a court will never be guided by what a litigant will moot in future.</w:t>
      </w:r>
      <w:r w:rsidR="00D17F4A" w:rsidRPr="00BA55EF">
        <w:rPr>
          <w:rFonts w:ascii="Times New Roman" w:hAnsi="Times New Roman" w:cs="Times New Roman"/>
          <w:sz w:val="24"/>
          <w:szCs w:val="24"/>
        </w:rPr>
        <w:t xml:space="preserve"> In the case of </w:t>
      </w:r>
      <w:r w:rsidR="00D17F4A" w:rsidRPr="00892DB6">
        <w:rPr>
          <w:rFonts w:ascii="Times New Roman" w:hAnsi="Times New Roman" w:cs="Times New Roman"/>
          <w:i/>
          <w:iCs/>
          <w:sz w:val="24"/>
          <w:szCs w:val="24"/>
        </w:rPr>
        <w:t>Loveridge</w:t>
      </w:r>
      <w:r w:rsidR="00D17F4A" w:rsidRPr="00BA55EF">
        <w:rPr>
          <w:rFonts w:ascii="Times New Roman" w:hAnsi="Times New Roman" w:cs="Times New Roman"/>
          <w:i/>
          <w:iCs/>
          <w:sz w:val="24"/>
          <w:szCs w:val="24"/>
        </w:rPr>
        <w:t xml:space="preserve"> Dzimwasha and Others v The State</w:t>
      </w:r>
      <w:r w:rsidR="00D17F4A" w:rsidRPr="00BA55EF">
        <w:rPr>
          <w:rFonts w:ascii="Times New Roman" w:hAnsi="Times New Roman" w:cs="Times New Roman"/>
          <w:sz w:val="24"/>
          <w:szCs w:val="24"/>
        </w:rPr>
        <w:t xml:space="preserve"> HH 119/23, this this court stated that the </w:t>
      </w:r>
      <w:r w:rsidR="00D17F4A" w:rsidRPr="00BA55EF">
        <w:rPr>
          <w:rFonts w:ascii="Times New Roman" w:hAnsi="Times New Roman" w:cs="Times New Roman"/>
          <w:sz w:val="24"/>
          <w:szCs w:val="24"/>
        </w:rPr>
        <w:lastRenderedPageBreak/>
        <w:t>growing subterfuge where legal practitioners deliberately consent to the placement of their clients on remand but immediately seek to circumvent th</w:t>
      </w:r>
      <w:r w:rsidR="001A5219">
        <w:rPr>
          <w:rFonts w:ascii="Times New Roman" w:hAnsi="Times New Roman" w:cs="Times New Roman"/>
          <w:sz w:val="24"/>
          <w:szCs w:val="24"/>
        </w:rPr>
        <w:t>eir admissions therein</w:t>
      </w:r>
      <w:r w:rsidR="00D17F4A" w:rsidRPr="00BA55EF">
        <w:rPr>
          <w:rFonts w:ascii="Times New Roman" w:hAnsi="Times New Roman" w:cs="Times New Roman"/>
          <w:sz w:val="24"/>
          <w:szCs w:val="24"/>
        </w:rPr>
        <w:t xml:space="preserve"> by challenging facts on which an accused would have been placed on remand during bail hearings is a red herring which will always be exposed for what it is. </w:t>
      </w:r>
      <w:r w:rsidR="00C50507">
        <w:rPr>
          <w:rFonts w:ascii="Times New Roman" w:hAnsi="Times New Roman" w:cs="Times New Roman"/>
          <w:sz w:val="24"/>
          <w:szCs w:val="24"/>
        </w:rPr>
        <w:t xml:space="preserve">The irrefutable position of the law is that in a bail application, an applicant cannot possibly deny facts which he/she would have either expressly or by acquiescence admitted to at remand stage.  For the umpteenth time, I restate the basic position that although they have a relationship, the remand processes and bail applications are completely </w:t>
      </w:r>
      <w:r w:rsidR="00B37E76">
        <w:rPr>
          <w:rFonts w:ascii="Times New Roman" w:hAnsi="Times New Roman" w:cs="Times New Roman"/>
          <w:sz w:val="24"/>
          <w:szCs w:val="24"/>
        </w:rPr>
        <w:t>separate stages</w:t>
      </w:r>
      <w:r w:rsidR="00C50507">
        <w:rPr>
          <w:rFonts w:ascii="Times New Roman" w:hAnsi="Times New Roman" w:cs="Times New Roman"/>
          <w:sz w:val="24"/>
          <w:szCs w:val="24"/>
        </w:rPr>
        <w:t xml:space="preserve"> </w:t>
      </w:r>
      <w:r w:rsidR="001A5219">
        <w:rPr>
          <w:rFonts w:ascii="Times New Roman" w:hAnsi="Times New Roman" w:cs="Times New Roman"/>
          <w:sz w:val="24"/>
          <w:szCs w:val="24"/>
        </w:rPr>
        <w:t xml:space="preserve">in the prosecution of </w:t>
      </w:r>
      <w:r w:rsidR="00C50507">
        <w:rPr>
          <w:rFonts w:ascii="Times New Roman" w:hAnsi="Times New Roman" w:cs="Times New Roman"/>
          <w:sz w:val="24"/>
          <w:szCs w:val="24"/>
        </w:rPr>
        <w:t xml:space="preserve">criminal </w:t>
      </w:r>
      <w:r w:rsidR="001A5219">
        <w:rPr>
          <w:rFonts w:ascii="Times New Roman" w:hAnsi="Times New Roman" w:cs="Times New Roman"/>
          <w:sz w:val="24"/>
          <w:szCs w:val="24"/>
        </w:rPr>
        <w:t>offences</w:t>
      </w:r>
      <w:r w:rsidR="00C50507">
        <w:rPr>
          <w:rFonts w:ascii="Times New Roman" w:hAnsi="Times New Roman" w:cs="Times New Roman"/>
          <w:sz w:val="24"/>
          <w:szCs w:val="24"/>
        </w:rPr>
        <w:t xml:space="preserve">. </w:t>
      </w:r>
      <w:r w:rsidR="00B37E76">
        <w:rPr>
          <w:rFonts w:ascii="Times New Roman" w:hAnsi="Times New Roman" w:cs="Times New Roman"/>
          <w:sz w:val="24"/>
          <w:szCs w:val="24"/>
        </w:rPr>
        <w:t>The remand procedure is provided for in s 32 of the Criminal Procedure and Evidence Act [Chapter 9:07] (the CPEA) under Part V thereof whilst bail applications are regulated under Part IX from s 115 onwards. Whilst some legal practitioners may</w:t>
      </w:r>
      <w:r w:rsidR="001A5219">
        <w:rPr>
          <w:rFonts w:ascii="Times New Roman" w:hAnsi="Times New Roman" w:cs="Times New Roman"/>
          <w:sz w:val="24"/>
          <w:szCs w:val="24"/>
        </w:rPr>
        <w:t xml:space="preserve"> therefore consider</w:t>
      </w:r>
      <w:r w:rsidR="00B37E76">
        <w:rPr>
          <w:rFonts w:ascii="Times New Roman" w:hAnsi="Times New Roman" w:cs="Times New Roman"/>
          <w:sz w:val="24"/>
          <w:szCs w:val="24"/>
        </w:rPr>
        <w:t xml:space="preserve"> it wise to conflate the two, the </w:t>
      </w:r>
      <w:r w:rsidR="007F68C9">
        <w:rPr>
          <w:rFonts w:ascii="Times New Roman" w:hAnsi="Times New Roman" w:cs="Times New Roman"/>
          <w:sz w:val="24"/>
          <w:szCs w:val="24"/>
        </w:rPr>
        <w:t>attendant</w:t>
      </w:r>
      <w:r w:rsidR="00B37E76">
        <w:rPr>
          <w:rFonts w:ascii="Times New Roman" w:hAnsi="Times New Roman" w:cs="Times New Roman"/>
          <w:sz w:val="24"/>
          <w:szCs w:val="24"/>
        </w:rPr>
        <w:t xml:space="preserve"> pitfalls are so glaring that anyone who chooses not to see them has only themselves to blame. </w:t>
      </w:r>
    </w:p>
    <w:p w14:paraId="76CCAE5D" w14:textId="4E933D27" w:rsidR="00AA314E" w:rsidRPr="00BA55EF" w:rsidRDefault="00D17F4A" w:rsidP="00BA55EF">
      <w:pPr>
        <w:pStyle w:val="ListParagraph"/>
        <w:numPr>
          <w:ilvl w:val="0"/>
          <w:numId w:val="1"/>
        </w:numPr>
        <w:spacing w:line="360" w:lineRule="auto"/>
        <w:jc w:val="both"/>
        <w:rPr>
          <w:rFonts w:ascii="Times New Roman" w:hAnsi="Times New Roman" w:cs="Times New Roman"/>
          <w:sz w:val="24"/>
          <w:szCs w:val="24"/>
        </w:rPr>
      </w:pPr>
      <w:r w:rsidRPr="00BA55EF">
        <w:rPr>
          <w:rFonts w:ascii="Times New Roman" w:hAnsi="Times New Roman" w:cs="Times New Roman"/>
          <w:sz w:val="24"/>
          <w:szCs w:val="24"/>
        </w:rPr>
        <w:t xml:space="preserve">In </w:t>
      </w:r>
      <w:r w:rsidR="00E24F25">
        <w:rPr>
          <w:rFonts w:ascii="Times New Roman" w:hAnsi="Times New Roman" w:cs="Times New Roman"/>
          <w:sz w:val="24"/>
          <w:szCs w:val="24"/>
        </w:rPr>
        <w:t xml:space="preserve">this case, </w:t>
      </w:r>
      <w:r w:rsidR="001A5219">
        <w:rPr>
          <w:rFonts w:ascii="Times New Roman" w:hAnsi="Times New Roman" w:cs="Times New Roman"/>
          <w:sz w:val="24"/>
          <w:szCs w:val="24"/>
        </w:rPr>
        <w:t xml:space="preserve">the facts on which </w:t>
      </w:r>
      <w:r w:rsidR="00962B9B">
        <w:rPr>
          <w:rFonts w:ascii="Times New Roman" w:hAnsi="Times New Roman" w:cs="Times New Roman"/>
          <w:sz w:val="24"/>
          <w:szCs w:val="24"/>
        </w:rPr>
        <w:t>all the appellants were placed on remand with the agreement of their legal practitioners were described in the following manner. O</w:t>
      </w:r>
      <w:r w:rsidRPr="00BA55EF">
        <w:rPr>
          <w:rFonts w:ascii="Times New Roman" w:hAnsi="Times New Roman" w:cs="Times New Roman"/>
          <w:sz w:val="24"/>
          <w:szCs w:val="24"/>
        </w:rPr>
        <w:t xml:space="preserve">n 16 June 2024 around 1400 hours the police received intelligence that an unsanctioned gathering was taking place at house number 6 Downie Road, Strathaven, Avondale West in Harare. </w:t>
      </w:r>
      <w:r w:rsidR="00AA314E" w:rsidRPr="00BA55EF">
        <w:rPr>
          <w:rFonts w:ascii="Times New Roman" w:hAnsi="Times New Roman" w:cs="Times New Roman"/>
          <w:sz w:val="24"/>
          <w:szCs w:val="24"/>
        </w:rPr>
        <w:t>The purpose</w:t>
      </w:r>
      <w:r w:rsidRPr="00BA55EF">
        <w:rPr>
          <w:rFonts w:ascii="Times New Roman" w:hAnsi="Times New Roman" w:cs="Times New Roman"/>
          <w:sz w:val="24"/>
          <w:szCs w:val="24"/>
        </w:rPr>
        <w:t xml:space="preserve"> of the gathe</w:t>
      </w:r>
      <w:r w:rsidR="00AA314E" w:rsidRPr="00BA55EF">
        <w:rPr>
          <w:rFonts w:ascii="Times New Roman" w:hAnsi="Times New Roman" w:cs="Times New Roman"/>
          <w:sz w:val="24"/>
          <w:szCs w:val="24"/>
        </w:rPr>
        <w:t>ring</w:t>
      </w:r>
      <w:r w:rsidRPr="00BA55EF">
        <w:rPr>
          <w:rFonts w:ascii="Times New Roman" w:hAnsi="Times New Roman" w:cs="Times New Roman"/>
          <w:sz w:val="24"/>
          <w:szCs w:val="24"/>
        </w:rPr>
        <w:t xml:space="preserve"> was to organise engagement in unlawful </w:t>
      </w:r>
      <w:r w:rsidR="00AA314E" w:rsidRPr="00BA55EF">
        <w:rPr>
          <w:rFonts w:ascii="Times New Roman" w:hAnsi="Times New Roman" w:cs="Times New Roman"/>
          <w:sz w:val="24"/>
          <w:szCs w:val="24"/>
        </w:rPr>
        <w:t>demonstrations</w:t>
      </w:r>
      <w:r w:rsidRPr="00BA55EF">
        <w:rPr>
          <w:rFonts w:ascii="Times New Roman" w:hAnsi="Times New Roman" w:cs="Times New Roman"/>
          <w:sz w:val="24"/>
          <w:szCs w:val="24"/>
        </w:rPr>
        <w:t xml:space="preserve"> in Harare. </w:t>
      </w:r>
      <w:r w:rsidR="00AA314E" w:rsidRPr="00BA55EF">
        <w:rPr>
          <w:rFonts w:ascii="Times New Roman" w:hAnsi="Times New Roman" w:cs="Times New Roman"/>
          <w:sz w:val="24"/>
          <w:szCs w:val="24"/>
        </w:rPr>
        <w:t xml:space="preserve">Police officers proceeded to the place. Upon approaching the house, they heard loud noises emanating from the premises, </w:t>
      </w:r>
      <w:r w:rsidR="00962B9B">
        <w:rPr>
          <w:rFonts w:ascii="Times New Roman" w:hAnsi="Times New Roman" w:cs="Times New Roman"/>
          <w:sz w:val="24"/>
          <w:szCs w:val="24"/>
        </w:rPr>
        <w:t>which to them, was</w:t>
      </w:r>
      <w:r w:rsidR="00AA314E" w:rsidRPr="00BA55EF">
        <w:rPr>
          <w:rFonts w:ascii="Times New Roman" w:hAnsi="Times New Roman" w:cs="Times New Roman"/>
          <w:sz w:val="24"/>
          <w:szCs w:val="24"/>
        </w:rPr>
        <w:t xml:space="preserve"> a clear indication that a large number of people was gathered therein. They immediately decided to call for reinforcements to enable them to properly account for the participants and to investigate whether indeed the objective of those gathered was to arrange illegal demonstrations. </w:t>
      </w:r>
    </w:p>
    <w:p w14:paraId="5096D2D3" w14:textId="0BCB92E0" w:rsidR="00BE6EEF" w:rsidRPr="00BA55EF" w:rsidRDefault="00AA314E" w:rsidP="00BA55EF">
      <w:pPr>
        <w:pStyle w:val="ListParagraph"/>
        <w:numPr>
          <w:ilvl w:val="0"/>
          <w:numId w:val="1"/>
        </w:numPr>
        <w:spacing w:line="360" w:lineRule="auto"/>
        <w:jc w:val="both"/>
        <w:rPr>
          <w:rFonts w:ascii="Times New Roman" w:hAnsi="Times New Roman" w:cs="Times New Roman"/>
          <w:sz w:val="24"/>
          <w:szCs w:val="24"/>
        </w:rPr>
      </w:pPr>
      <w:r w:rsidRPr="00BA55EF">
        <w:rPr>
          <w:rFonts w:ascii="Times New Roman" w:hAnsi="Times New Roman" w:cs="Times New Roman"/>
          <w:sz w:val="24"/>
          <w:szCs w:val="24"/>
        </w:rPr>
        <w:t xml:space="preserve">When the police arrived, so the allegations continued, the appellants became riotous. They armed themselves with stones which they hurled at the police officers. Some of the stones </w:t>
      </w:r>
      <w:r w:rsidR="00BE6EEF" w:rsidRPr="00BA55EF">
        <w:rPr>
          <w:rFonts w:ascii="Times New Roman" w:hAnsi="Times New Roman" w:cs="Times New Roman"/>
          <w:sz w:val="24"/>
          <w:szCs w:val="24"/>
        </w:rPr>
        <w:t>found</w:t>
      </w:r>
      <w:r w:rsidRPr="00BA55EF">
        <w:rPr>
          <w:rFonts w:ascii="Times New Roman" w:hAnsi="Times New Roman" w:cs="Times New Roman"/>
          <w:sz w:val="24"/>
          <w:szCs w:val="24"/>
        </w:rPr>
        <w:t xml:space="preserve"> their targets. Two police details were hurt in the melee. A police vehicle described in the papers as a Mahindra with registration numbers ZRP3501M was also damaged. </w:t>
      </w:r>
      <w:r w:rsidR="00BE6EEF" w:rsidRPr="00BA55EF">
        <w:rPr>
          <w:rFonts w:ascii="Times New Roman" w:hAnsi="Times New Roman" w:cs="Times New Roman"/>
          <w:sz w:val="24"/>
          <w:szCs w:val="24"/>
        </w:rPr>
        <w:t>The commotion only stopped after the police officers used tear smoke to quell the disturbances. They eventually managed to arrest the appellants. But even after their arrest, the appellants threatened that they would take their fight to the officers by making follow ups on all the details who were involved in their arrest. The officers who were injured were referred to hospital for medical examination. At the time of the bail hearing th</w:t>
      </w:r>
      <w:r w:rsidR="00C50507">
        <w:rPr>
          <w:rFonts w:ascii="Times New Roman" w:hAnsi="Times New Roman" w:cs="Times New Roman"/>
          <w:sz w:val="24"/>
          <w:szCs w:val="24"/>
        </w:rPr>
        <w:t>e</w:t>
      </w:r>
      <w:r w:rsidR="00BE6EEF" w:rsidRPr="00BA55EF">
        <w:rPr>
          <w:rFonts w:ascii="Times New Roman" w:hAnsi="Times New Roman" w:cs="Times New Roman"/>
          <w:sz w:val="24"/>
          <w:szCs w:val="24"/>
        </w:rPr>
        <w:t xml:space="preserve"> degrees of</w:t>
      </w:r>
      <w:r w:rsidR="00C50507">
        <w:rPr>
          <w:rFonts w:ascii="Times New Roman" w:hAnsi="Times New Roman" w:cs="Times New Roman"/>
          <w:sz w:val="24"/>
          <w:szCs w:val="24"/>
        </w:rPr>
        <w:t xml:space="preserve"> their</w:t>
      </w:r>
      <w:r w:rsidR="00BE6EEF" w:rsidRPr="00BA55EF">
        <w:rPr>
          <w:rFonts w:ascii="Times New Roman" w:hAnsi="Times New Roman" w:cs="Times New Roman"/>
          <w:sz w:val="24"/>
          <w:szCs w:val="24"/>
        </w:rPr>
        <w:t xml:space="preserve"> injuries were yet to be ascertained. </w:t>
      </w:r>
    </w:p>
    <w:p w14:paraId="2AD5EB5F" w14:textId="77777777" w:rsidR="006B3C1A" w:rsidRPr="00BA55EF" w:rsidRDefault="00BE6EEF" w:rsidP="00BA55EF">
      <w:pPr>
        <w:pStyle w:val="ListParagraph"/>
        <w:numPr>
          <w:ilvl w:val="0"/>
          <w:numId w:val="1"/>
        </w:numPr>
        <w:spacing w:line="360" w:lineRule="auto"/>
        <w:jc w:val="both"/>
        <w:rPr>
          <w:rFonts w:ascii="Times New Roman" w:hAnsi="Times New Roman" w:cs="Times New Roman"/>
          <w:sz w:val="24"/>
          <w:szCs w:val="24"/>
        </w:rPr>
      </w:pPr>
      <w:r w:rsidRPr="00BA55EF">
        <w:rPr>
          <w:rFonts w:ascii="Times New Roman" w:hAnsi="Times New Roman" w:cs="Times New Roman"/>
          <w:sz w:val="24"/>
          <w:szCs w:val="24"/>
        </w:rPr>
        <w:lastRenderedPageBreak/>
        <w:t xml:space="preserve">A further telling admission made by all counsel was that almost all of the appellants admitted that they belonged to the same political organisation which is described in the papers as CCC.  I am not sure whether it is an acronym or it is the full name of the political party concerned. </w:t>
      </w:r>
    </w:p>
    <w:p w14:paraId="215F341B" w14:textId="6FF1D25B" w:rsidR="006B3C1A" w:rsidRPr="00BA55EF" w:rsidRDefault="006B3C1A" w:rsidP="00BA55EF">
      <w:pPr>
        <w:pStyle w:val="ListParagraph"/>
        <w:numPr>
          <w:ilvl w:val="0"/>
          <w:numId w:val="1"/>
        </w:numPr>
        <w:spacing w:line="360" w:lineRule="auto"/>
        <w:jc w:val="both"/>
        <w:rPr>
          <w:rFonts w:ascii="Times New Roman" w:hAnsi="Times New Roman" w:cs="Times New Roman"/>
          <w:sz w:val="24"/>
          <w:szCs w:val="24"/>
        </w:rPr>
      </w:pPr>
      <w:r w:rsidRPr="00BA55EF">
        <w:rPr>
          <w:rFonts w:ascii="Times New Roman" w:hAnsi="Times New Roman" w:cs="Times New Roman"/>
          <w:sz w:val="24"/>
          <w:szCs w:val="24"/>
        </w:rPr>
        <w:t xml:space="preserve">With the facts upon which the appellants were arrested rendered uncontentious by their counsels’ acquiescence to the allegations, the court aquo duly placed all of them on remand. The legal effect of that process was that it was agreed that there was reasonable suspicion that they had all committed or participated in the commission of the crimes preferred against them by prosecution. What remained to be determined was whether or not each of them was to be admitted to bail. Needless to state, the prosecutor advised the court that he was opposed to the admission of all the appellants, except accused number 56 called </w:t>
      </w:r>
      <w:r w:rsidRPr="00BA55EF">
        <w:rPr>
          <w:rFonts w:ascii="Times New Roman" w:hAnsi="Times New Roman" w:cs="Times New Roman"/>
          <w:i/>
          <w:iCs/>
          <w:sz w:val="24"/>
          <w:szCs w:val="24"/>
        </w:rPr>
        <w:t>Ndapuwa Shawn Timba</w:t>
      </w:r>
      <w:r w:rsidRPr="00BA55EF">
        <w:rPr>
          <w:rFonts w:ascii="Times New Roman" w:hAnsi="Times New Roman" w:cs="Times New Roman"/>
          <w:sz w:val="24"/>
          <w:szCs w:val="24"/>
        </w:rPr>
        <w:t xml:space="preserve"> and accused number 21 who happened to be a juvenile. </w:t>
      </w:r>
      <w:r w:rsidR="00962B9B">
        <w:rPr>
          <w:rFonts w:ascii="Times New Roman" w:hAnsi="Times New Roman" w:cs="Times New Roman"/>
          <w:sz w:val="24"/>
          <w:szCs w:val="24"/>
        </w:rPr>
        <w:t xml:space="preserve">With the </w:t>
      </w:r>
      <w:r w:rsidRPr="00BA55EF">
        <w:rPr>
          <w:rFonts w:ascii="Times New Roman" w:hAnsi="Times New Roman" w:cs="Times New Roman"/>
          <w:sz w:val="24"/>
          <w:szCs w:val="24"/>
        </w:rPr>
        <w:t>consent</w:t>
      </w:r>
      <w:r w:rsidR="00962B9B">
        <w:rPr>
          <w:rFonts w:ascii="Times New Roman" w:hAnsi="Times New Roman" w:cs="Times New Roman"/>
          <w:sz w:val="24"/>
          <w:szCs w:val="24"/>
        </w:rPr>
        <w:t xml:space="preserve"> of the prosecutor</w:t>
      </w:r>
      <w:r w:rsidRPr="00BA55EF">
        <w:rPr>
          <w:rFonts w:ascii="Times New Roman" w:hAnsi="Times New Roman" w:cs="Times New Roman"/>
          <w:sz w:val="24"/>
          <w:szCs w:val="24"/>
        </w:rPr>
        <w:t xml:space="preserve"> the</w:t>
      </w:r>
      <w:r w:rsidR="00962B9B">
        <w:rPr>
          <w:rFonts w:ascii="Times New Roman" w:hAnsi="Times New Roman" w:cs="Times New Roman"/>
          <w:sz w:val="24"/>
          <w:szCs w:val="24"/>
        </w:rPr>
        <w:t xml:space="preserve"> court aquo </w:t>
      </w:r>
      <w:r w:rsidRPr="00BA55EF">
        <w:rPr>
          <w:rFonts w:ascii="Times New Roman" w:hAnsi="Times New Roman" w:cs="Times New Roman"/>
          <w:sz w:val="24"/>
          <w:szCs w:val="24"/>
        </w:rPr>
        <w:t xml:space="preserve">admitted </w:t>
      </w:r>
      <w:r w:rsidR="00962B9B">
        <w:rPr>
          <w:rFonts w:ascii="Times New Roman" w:hAnsi="Times New Roman" w:cs="Times New Roman"/>
          <w:sz w:val="24"/>
          <w:szCs w:val="24"/>
        </w:rPr>
        <w:t xml:space="preserve">the duo </w:t>
      </w:r>
      <w:r w:rsidRPr="00BA55EF">
        <w:rPr>
          <w:rFonts w:ascii="Times New Roman" w:hAnsi="Times New Roman" w:cs="Times New Roman"/>
          <w:sz w:val="24"/>
          <w:szCs w:val="24"/>
        </w:rPr>
        <w:t xml:space="preserve">to bail on conditions </w:t>
      </w:r>
      <w:r w:rsidR="00962B9B">
        <w:rPr>
          <w:rFonts w:ascii="Times New Roman" w:hAnsi="Times New Roman" w:cs="Times New Roman"/>
          <w:sz w:val="24"/>
          <w:szCs w:val="24"/>
        </w:rPr>
        <w:t xml:space="preserve">which it </w:t>
      </w:r>
      <w:r w:rsidRPr="00BA55EF">
        <w:rPr>
          <w:rFonts w:ascii="Times New Roman" w:hAnsi="Times New Roman" w:cs="Times New Roman"/>
          <w:sz w:val="24"/>
          <w:szCs w:val="24"/>
        </w:rPr>
        <w:t xml:space="preserve">imposed. </w:t>
      </w:r>
      <w:r w:rsidR="00AA314E" w:rsidRPr="00BA55EF">
        <w:rPr>
          <w:rFonts w:ascii="Times New Roman" w:hAnsi="Times New Roman" w:cs="Times New Roman"/>
          <w:sz w:val="24"/>
          <w:szCs w:val="24"/>
        </w:rPr>
        <w:t xml:space="preserve"> </w:t>
      </w:r>
    </w:p>
    <w:p w14:paraId="6BDD1235" w14:textId="73D86460" w:rsidR="00464EEB" w:rsidRPr="00BA55EF" w:rsidRDefault="006B3C1A" w:rsidP="00BA55EF">
      <w:pPr>
        <w:pStyle w:val="ListParagraph"/>
        <w:numPr>
          <w:ilvl w:val="0"/>
          <w:numId w:val="1"/>
        </w:numPr>
        <w:spacing w:line="360" w:lineRule="auto"/>
        <w:jc w:val="both"/>
        <w:rPr>
          <w:rFonts w:ascii="Times New Roman" w:hAnsi="Times New Roman" w:cs="Times New Roman"/>
          <w:sz w:val="24"/>
          <w:szCs w:val="24"/>
        </w:rPr>
      </w:pPr>
      <w:r w:rsidRPr="00BA55EF">
        <w:rPr>
          <w:rFonts w:ascii="Times New Roman" w:hAnsi="Times New Roman" w:cs="Times New Roman"/>
          <w:sz w:val="24"/>
          <w:szCs w:val="24"/>
        </w:rPr>
        <w:t xml:space="preserve"> </w:t>
      </w:r>
      <w:r w:rsidR="00962B9B">
        <w:rPr>
          <w:rFonts w:ascii="Times New Roman" w:hAnsi="Times New Roman" w:cs="Times New Roman"/>
          <w:sz w:val="24"/>
          <w:szCs w:val="24"/>
        </w:rPr>
        <w:t>I</w:t>
      </w:r>
      <w:r w:rsidRPr="00BA55EF">
        <w:rPr>
          <w:rFonts w:ascii="Times New Roman" w:hAnsi="Times New Roman" w:cs="Times New Roman"/>
          <w:sz w:val="24"/>
          <w:szCs w:val="24"/>
        </w:rPr>
        <w:t xml:space="preserve">t is </w:t>
      </w:r>
      <w:r w:rsidR="00962B9B">
        <w:rPr>
          <w:rFonts w:ascii="Times New Roman" w:hAnsi="Times New Roman" w:cs="Times New Roman"/>
          <w:sz w:val="24"/>
          <w:szCs w:val="24"/>
        </w:rPr>
        <w:t>the</w:t>
      </w:r>
      <w:r w:rsidRPr="00BA55EF">
        <w:rPr>
          <w:rFonts w:ascii="Times New Roman" w:hAnsi="Times New Roman" w:cs="Times New Roman"/>
          <w:sz w:val="24"/>
          <w:szCs w:val="24"/>
        </w:rPr>
        <w:t xml:space="preserve"> responsibility</w:t>
      </w:r>
      <w:r w:rsidR="00AA0740">
        <w:rPr>
          <w:rFonts w:ascii="Times New Roman" w:hAnsi="Times New Roman" w:cs="Times New Roman"/>
          <w:sz w:val="24"/>
          <w:szCs w:val="24"/>
        </w:rPr>
        <w:t xml:space="preserve"> of prosecution in all applications for bail except those in which an accused is charged with an offence listed in the third schedule to the </w:t>
      </w:r>
      <w:r w:rsidR="007F68C9">
        <w:rPr>
          <w:rFonts w:ascii="Times New Roman" w:hAnsi="Times New Roman" w:cs="Times New Roman"/>
          <w:sz w:val="24"/>
          <w:szCs w:val="24"/>
        </w:rPr>
        <w:t xml:space="preserve">CPEA, </w:t>
      </w:r>
      <w:r w:rsidR="007F68C9" w:rsidRPr="00BA55EF">
        <w:rPr>
          <w:rFonts w:ascii="Times New Roman" w:hAnsi="Times New Roman" w:cs="Times New Roman"/>
          <w:sz w:val="24"/>
          <w:szCs w:val="24"/>
        </w:rPr>
        <w:t>to</w:t>
      </w:r>
      <w:r w:rsidRPr="00BA55EF">
        <w:rPr>
          <w:rFonts w:ascii="Times New Roman" w:hAnsi="Times New Roman" w:cs="Times New Roman"/>
          <w:sz w:val="24"/>
          <w:szCs w:val="24"/>
        </w:rPr>
        <w:t xml:space="preserve"> show the existence of compelling reasons </w:t>
      </w:r>
      <w:r w:rsidR="00AA0740">
        <w:rPr>
          <w:rFonts w:ascii="Times New Roman" w:hAnsi="Times New Roman" w:cs="Times New Roman"/>
          <w:sz w:val="24"/>
          <w:szCs w:val="24"/>
        </w:rPr>
        <w:t xml:space="preserve">why an accused must not be admitted to bail </w:t>
      </w:r>
      <w:r w:rsidRPr="00BA55EF">
        <w:rPr>
          <w:rFonts w:ascii="Times New Roman" w:hAnsi="Times New Roman" w:cs="Times New Roman"/>
          <w:sz w:val="24"/>
          <w:szCs w:val="24"/>
        </w:rPr>
        <w:t xml:space="preserve">in </w:t>
      </w:r>
      <w:r w:rsidR="00AA0740">
        <w:rPr>
          <w:rFonts w:ascii="Times New Roman" w:hAnsi="Times New Roman" w:cs="Times New Roman"/>
          <w:sz w:val="24"/>
          <w:szCs w:val="24"/>
        </w:rPr>
        <w:t xml:space="preserve">all </w:t>
      </w:r>
      <w:r w:rsidRPr="00BA55EF">
        <w:rPr>
          <w:rFonts w:ascii="Times New Roman" w:hAnsi="Times New Roman" w:cs="Times New Roman"/>
          <w:sz w:val="24"/>
          <w:szCs w:val="24"/>
        </w:rPr>
        <w:t xml:space="preserve">instances where </w:t>
      </w:r>
      <w:r w:rsidR="00AA0740">
        <w:rPr>
          <w:rFonts w:ascii="Times New Roman" w:hAnsi="Times New Roman" w:cs="Times New Roman"/>
          <w:sz w:val="24"/>
          <w:szCs w:val="24"/>
        </w:rPr>
        <w:t>the state</w:t>
      </w:r>
      <w:r w:rsidRPr="00BA55EF">
        <w:rPr>
          <w:rFonts w:ascii="Times New Roman" w:hAnsi="Times New Roman" w:cs="Times New Roman"/>
          <w:sz w:val="24"/>
          <w:szCs w:val="24"/>
        </w:rPr>
        <w:t xml:space="preserve"> objects to the admission of an accused to bail</w:t>
      </w:r>
      <w:r w:rsidR="00AA0740">
        <w:rPr>
          <w:rFonts w:ascii="Times New Roman" w:hAnsi="Times New Roman" w:cs="Times New Roman"/>
          <w:sz w:val="24"/>
          <w:szCs w:val="24"/>
        </w:rPr>
        <w:t>. In a bid to shore up</w:t>
      </w:r>
      <w:r w:rsidRPr="00BA55EF">
        <w:rPr>
          <w:rFonts w:ascii="Times New Roman" w:hAnsi="Times New Roman" w:cs="Times New Roman"/>
          <w:sz w:val="24"/>
          <w:szCs w:val="24"/>
        </w:rPr>
        <w:t xml:space="preserve"> </w:t>
      </w:r>
      <w:r w:rsidR="00AA0740">
        <w:rPr>
          <w:rFonts w:ascii="Times New Roman" w:hAnsi="Times New Roman" w:cs="Times New Roman"/>
          <w:sz w:val="24"/>
          <w:szCs w:val="24"/>
        </w:rPr>
        <w:t xml:space="preserve">its opposition in that regard, </w:t>
      </w:r>
      <w:r w:rsidRPr="00BA55EF">
        <w:rPr>
          <w:rFonts w:ascii="Times New Roman" w:hAnsi="Times New Roman" w:cs="Times New Roman"/>
          <w:sz w:val="24"/>
          <w:szCs w:val="24"/>
        </w:rPr>
        <w:t>the state called the</w:t>
      </w:r>
      <w:r w:rsidR="004444D7" w:rsidRPr="00BA55EF">
        <w:rPr>
          <w:rFonts w:ascii="Times New Roman" w:hAnsi="Times New Roman" w:cs="Times New Roman"/>
          <w:sz w:val="24"/>
          <w:szCs w:val="24"/>
        </w:rPr>
        <w:t xml:space="preserve"> testimony of the investigating officer. It was on the strength of th</w:t>
      </w:r>
      <w:r w:rsidR="00AA0740">
        <w:rPr>
          <w:rFonts w:ascii="Times New Roman" w:hAnsi="Times New Roman" w:cs="Times New Roman"/>
          <w:sz w:val="24"/>
          <w:szCs w:val="24"/>
        </w:rPr>
        <w:t>e prosecutor’s submissions, the</w:t>
      </w:r>
      <w:r w:rsidR="004444D7" w:rsidRPr="00BA55EF">
        <w:rPr>
          <w:rFonts w:ascii="Times New Roman" w:hAnsi="Times New Roman" w:cs="Times New Roman"/>
          <w:sz w:val="24"/>
          <w:szCs w:val="24"/>
        </w:rPr>
        <w:t xml:space="preserve"> testimony</w:t>
      </w:r>
      <w:r w:rsidR="00AA0740">
        <w:rPr>
          <w:rFonts w:ascii="Times New Roman" w:hAnsi="Times New Roman" w:cs="Times New Roman"/>
          <w:sz w:val="24"/>
          <w:szCs w:val="24"/>
        </w:rPr>
        <w:t xml:space="preserve"> of </w:t>
      </w:r>
      <w:r w:rsidR="00AA0740" w:rsidRPr="00AA0740">
        <w:rPr>
          <w:rFonts w:ascii="Times New Roman" w:hAnsi="Times New Roman" w:cs="Times New Roman"/>
          <w:i/>
          <w:iCs/>
          <w:sz w:val="24"/>
          <w:szCs w:val="24"/>
        </w:rPr>
        <w:t>Panganai Gwati</w:t>
      </w:r>
      <w:r w:rsidR="004444D7" w:rsidRPr="00BA55EF">
        <w:rPr>
          <w:rFonts w:ascii="Times New Roman" w:hAnsi="Times New Roman" w:cs="Times New Roman"/>
          <w:sz w:val="24"/>
          <w:szCs w:val="24"/>
        </w:rPr>
        <w:t xml:space="preserve"> </w:t>
      </w:r>
      <w:r w:rsidR="00AA0740">
        <w:rPr>
          <w:rFonts w:ascii="Times New Roman" w:hAnsi="Times New Roman" w:cs="Times New Roman"/>
          <w:sz w:val="24"/>
          <w:szCs w:val="24"/>
        </w:rPr>
        <w:t xml:space="preserve">and the submissions by the various counsels who represented the appellants </w:t>
      </w:r>
      <w:r w:rsidR="004444D7" w:rsidRPr="00BA55EF">
        <w:rPr>
          <w:rFonts w:ascii="Times New Roman" w:hAnsi="Times New Roman" w:cs="Times New Roman"/>
          <w:sz w:val="24"/>
          <w:szCs w:val="24"/>
        </w:rPr>
        <w:t>that the court a quo largely based its reasoning in d</w:t>
      </w:r>
      <w:r w:rsidR="00AA0740">
        <w:rPr>
          <w:rFonts w:ascii="Times New Roman" w:hAnsi="Times New Roman" w:cs="Times New Roman"/>
          <w:sz w:val="24"/>
          <w:szCs w:val="24"/>
        </w:rPr>
        <w:t xml:space="preserve">ismissing </w:t>
      </w:r>
      <w:r w:rsidR="004444D7" w:rsidRPr="00BA55EF">
        <w:rPr>
          <w:rFonts w:ascii="Times New Roman" w:hAnsi="Times New Roman" w:cs="Times New Roman"/>
          <w:sz w:val="24"/>
          <w:szCs w:val="24"/>
        </w:rPr>
        <w:t>the app</w:t>
      </w:r>
      <w:r w:rsidR="00AA0740">
        <w:rPr>
          <w:rFonts w:ascii="Times New Roman" w:hAnsi="Times New Roman" w:cs="Times New Roman"/>
          <w:sz w:val="24"/>
          <w:szCs w:val="24"/>
        </w:rPr>
        <w:t xml:space="preserve">lication for </w:t>
      </w:r>
      <w:r w:rsidR="004444D7" w:rsidRPr="00BA55EF">
        <w:rPr>
          <w:rFonts w:ascii="Times New Roman" w:hAnsi="Times New Roman" w:cs="Times New Roman"/>
          <w:sz w:val="24"/>
          <w:szCs w:val="24"/>
        </w:rPr>
        <w:t xml:space="preserve">bail. </w:t>
      </w:r>
    </w:p>
    <w:p w14:paraId="4473B110" w14:textId="1509EED4" w:rsidR="00464EEB" w:rsidRPr="00BA55EF" w:rsidRDefault="004444D7" w:rsidP="00BA55EF">
      <w:pPr>
        <w:pStyle w:val="ListParagraph"/>
        <w:numPr>
          <w:ilvl w:val="0"/>
          <w:numId w:val="1"/>
        </w:numPr>
        <w:spacing w:line="360" w:lineRule="auto"/>
        <w:jc w:val="both"/>
        <w:rPr>
          <w:rFonts w:ascii="Times New Roman" w:hAnsi="Times New Roman" w:cs="Times New Roman"/>
          <w:sz w:val="24"/>
          <w:szCs w:val="24"/>
        </w:rPr>
      </w:pPr>
      <w:r w:rsidRPr="00BA55EF">
        <w:rPr>
          <w:rFonts w:ascii="Times New Roman" w:hAnsi="Times New Roman" w:cs="Times New Roman"/>
          <w:sz w:val="24"/>
          <w:szCs w:val="24"/>
        </w:rPr>
        <w:t>Paraphrased, the court a quo</w:t>
      </w:r>
      <w:r w:rsidR="00D53A19" w:rsidRPr="00BA55EF">
        <w:rPr>
          <w:rFonts w:ascii="Times New Roman" w:hAnsi="Times New Roman" w:cs="Times New Roman"/>
          <w:sz w:val="24"/>
          <w:szCs w:val="24"/>
        </w:rPr>
        <w:t xml:space="preserve"> denied the appellants bail on the basis tha</w:t>
      </w:r>
      <w:r w:rsidRPr="00BA55EF">
        <w:rPr>
          <w:rFonts w:ascii="Times New Roman" w:hAnsi="Times New Roman" w:cs="Times New Roman"/>
          <w:sz w:val="24"/>
          <w:szCs w:val="24"/>
        </w:rPr>
        <w:t>t</w:t>
      </w:r>
      <w:r w:rsidR="00464EEB" w:rsidRPr="00BA55EF">
        <w:rPr>
          <w:rFonts w:ascii="Times New Roman" w:hAnsi="Times New Roman" w:cs="Times New Roman"/>
          <w:sz w:val="24"/>
          <w:szCs w:val="24"/>
        </w:rPr>
        <w:t>:</w:t>
      </w:r>
    </w:p>
    <w:p w14:paraId="7E02ECDE" w14:textId="77777777" w:rsidR="00464EEB" w:rsidRPr="00AA0740" w:rsidRDefault="004444D7" w:rsidP="00AA074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Pr="00AA0740">
        <w:rPr>
          <w:rFonts w:ascii="Times New Roman" w:hAnsi="Times New Roman" w:cs="Times New Roman"/>
          <w:sz w:val="24"/>
          <w:szCs w:val="24"/>
        </w:rPr>
        <w:t xml:space="preserve">the appellants </w:t>
      </w:r>
      <w:r w:rsidR="00464EEB" w:rsidRPr="00AA0740">
        <w:rPr>
          <w:rFonts w:ascii="Times New Roman" w:hAnsi="Times New Roman" w:cs="Times New Roman"/>
          <w:sz w:val="24"/>
          <w:szCs w:val="24"/>
        </w:rPr>
        <w:t>are</w:t>
      </w:r>
      <w:r w:rsidRPr="00AA0740">
        <w:rPr>
          <w:rFonts w:ascii="Times New Roman" w:hAnsi="Times New Roman" w:cs="Times New Roman"/>
          <w:sz w:val="24"/>
          <w:szCs w:val="24"/>
        </w:rPr>
        <w:t xml:space="preserve"> all facing a serious offence which if convicted of, they </w:t>
      </w:r>
      <w:r w:rsidR="00464EEB" w:rsidRPr="00AA0740">
        <w:rPr>
          <w:rFonts w:ascii="Times New Roman" w:hAnsi="Times New Roman" w:cs="Times New Roman"/>
          <w:sz w:val="24"/>
          <w:szCs w:val="24"/>
        </w:rPr>
        <w:t>are</w:t>
      </w:r>
      <w:r w:rsidRPr="00AA0740">
        <w:rPr>
          <w:rFonts w:ascii="Times New Roman" w:hAnsi="Times New Roman" w:cs="Times New Roman"/>
          <w:sz w:val="24"/>
          <w:szCs w:val="24"/>
        </w:rPr>
        <w:t xml:space="preserve"> likely to be sentenced to imprisonment. As such, the fear of that severe penalty </w:t>
      </w:r>
      <w:r w:rsidR="00464EEB" w:rsidRPr="00AA0740">
        <w:rPr>
          <w:rFonts w:ascii="Times New Roman" w:hAnsi="Times New Roman" w:cs="Times New Roman"/>
          <w:sz w:val="24"/>
          <w:szCs w:val="24"/>
        </w:rPr>
        <w:t>is</w:t>
      </w:r>
      <w:r w:rsidRPr="00AA0740">
        <w:rPr>
          <w:rFonts w:ascii="Times New Roman" w:hAnsi="Times New Roman" w:cs="Times New Roman"/>
          <w:sz w:val="24"/>
          <w:szCs w:val="24"/>
        </w:rPr>
        <w:t xml:space="preserve"> likely to act as an inducement for them to abscond their trial. </w:t>
      </w:r>
    </w:p>
    <w:p w14:paraId="26C1F9EC" w14:textId="362186FF" w:rsidR="00464EEB" w:rsidRPr="00AA0740" w:rsidRDefault="004444D7" w:rsidP="00AA0740">
      <w:pPr>
        <w:pStyle w:val="ListParagraph"/>
        <w:numPr>
          <w:ilvl w:val="0"/>
          <w:numId w:val="2"/>
        </w:numPr>
        <w:spacing w:line="360" w:lineRule="auto"/>
        <w:jc w:val="both"/>
        <w:rPr>
          <w:rFonts w:ascii="Times New Roman" w:hAnsi="Times New Roman" w:cs="Times New Roman"/>
          <w:sz w:val="24"/>
          <w:szCs w:val="24"/>
        </w:rPr>
      </w:pPr>
      <w:r w:rsidRPr="00AA0740">
        <w:rPr>
          <w:rFonts w:ascii="Times New Roman" w:hAnsi="Times New Roman" w:cs="Times New Roman"/>
          <w:sz w:val="24"/>
          <w:szCs w:val="24"/>
        </w:rPr>
        <w:t xml:space="preserve">the appellants </w:t>
      </w:r>
      <w:r w:rsidR="00464EEB" w:rsidRPr="00AA0740">
        <w:rPr>
          <w:rFonts w:ascii="Times New Roman" w:hAnsi="Times New Roman" w:cs="Times New Roman"/>
          <w:sz w:val="24"/>
          <w:szCs w:val="24"/>
        </w:rPr>
        <w:t>are</w:t>
      </w:r>
      <w:r w:rsidRPr="00AA0740">
        <w:rPr>
          <w:rFonts w:ascii="Times New Roman" w:hAnsi="Times New Roman" w:cs="Times New Roman"/>
          <w:sz w:val="24"/>
          <w:szCs w:val="24"/>
        </w:rPr>
        <w:t xml:space="preserve"> likely to interfere with investigations or witnesses because they had attacked police officers on duty and in uniform. </w:t>
      </w:r>
    </w:p>
    <w:p w14:paraId="62655ED6" w14:textId="77777777" w:rsidR="00464EEB" w:rsidRPr="00AA0740" w:rsidRDefault="004444D7" w:rsidP="00AA0740">
      <w:pPr>
        <w:pStyle w:val="ListParagraph"/>
        <w:numPr>
          <w:ilvl w:val="0"/>
          <w:numId w:val="2"/>
        </w:numPr>
        <w:spacing w:line="360" w:lineRule="auto"/>
        <w:jc w:val="both"/>
        <w:rPr>
          <w:rFonts w:ascii="Times New Roman" w:hAnsi="Times New Roman" w:cs="Times New Roman"/>
          <w:sz w:val="24"/>
          <w:szCs w:val="24"/>
        </w:rPr>
      </w:pPr>
      <w:r w:rsidRPr="00AA0740">
        <w:rPr>
          <w:rFonts w:ascii="Times New Roman" w:hAnsi="Times New Roman" w:cs="Times New Roman"/>
          <w:sz w:val="24"/>
          <w:szCs w:val="24"/>
        </w:rPr>
        <w:t xml:space="preserve"> the appellants threatened to follow up al</w:t>
      </w:r>
      <w:r w:rsidR="00464EEB" w:rsidRPr="00AA0740">
        <w:rPr>
          <w:rFonts w:ascii="Times New Roman" w:hAnsi="Times New Roman" w:cs="Times New Roman"/>
          <w:sz w:val="24"/>
          <w:szCs w:val="24"/>
        </w:rPr>
        <w:t>l</w:t>
      </w:r>
      <w:r w:rsidRPr="00AA0740">
        <w:rPr>
          <w:rFonts w:ascii="Times New Roman" w:hAnsi="Times New Roman" w:cs="Times New Roman"/>
          <w:sz w:val="24"/>
          <w:szCs w:val="24"/>
        </w:rPr>
        <w:t xml:space="preserve">, </w:t>
      </w:r>
      <w:r w:rsidR="00464EEB" w:rsidRPr="00AA0740">
        <w:rPr>
          <w:rFonts w:ascii="Times New Roman" w:hAnsi="Times New Roman" w:cs="Times New Roman"/>
          <w:sz w:val="24"/>
          <w:szCs w:val="24"/>
        </w:rPr>
        <w:t>police details</w:t>
      </w:r>
      <w:r w:rsidRPr="00AA0740">
        <w:rPr>
          <w:rFonts w:ascii="Times New Roman" w:hAnsi="Times New Roman" w:cs="Times New Roman"/>
          <w:sz w:val="24"/>
          <w:szCs w:val="24"/>
        </w:rPr>
        <w:t xml:space="preserve"> involved in their arrest and deal with them. </w:t>
      </w:r>
    </w:p>
    <w:p w14:paraId="1E6144A2" w14:textId="77777777" w:rsidR="00464EEB" w:rsidRPr="00AA0740" w:rsidRDefault="00464EEB" w:rsidP="00AA0740">
      <w:pPr>
        <w:pStyle w:val="ListParagraph"/>
        <w:numPr>
          <w:ilvl w:val="0"/>
          <w:numId w:val="2"/>
        </w:numPr>
        <w:spacing w:line="360" w:lineRule="auto"/>
        <w:jc w:val="both"/>
        <w:rPr>
          <w:rFonts w:ascii="Times New Roman" w:hAnsi="Times New Roman" w:cs="Times New Roman"/>
          <w:sz w:val="24"/>
          <w:szCs w:val="24"/>
        </w:rPr>
      </w:pPr>
      <w:r w:rsidRPr="00AA0740">
        <w:rPr>
          <w:rFonts w:ascii="Times New Roman" w:hAnsi="Times New Roman" w:cs="Times New Roman"/>
          <w:sz w:val="24"/>
          <w:szCs w:val="24"/>
        </w:rPr>
        <w:t xml:space="preserve">The appellants are likely to commit further and similar offences given that at the time of their arrest, about twenty of their accomplices fled the scene and escaped </w:t>
      </w:r>
      <w:r w:rsidRPr="00AA0740">
        <w:rPr>
          <w:rFonts w:ascii="Times New Roman" w:hAnsi="Times New Roman" w:cs="Times New Roman"/>
          <w:sz w:val="24"/>
          <w:szCs w:val="24"/>
        </w:rPr>
        <w:lastRenderedPageBreak/>
        <w:t>arrest. It is therefore likely that if released on bail, the appellants will team up with the fugitives and commit further offences.</w:t>
      </w:r>
    </w:p>
    <w:p w14:paraId="5FB2CC4A" w14:textId="246C98CB" w:rsidR="00464EEB" w:rsidRPr="00AA0740" w:rsidRDefault="00464EEB" w:rsidP="00AA0740">
      <w:pPr>
        <w:pStyle w:val="ListParagraph"/>
        <w:numPr>
          <w:ilvl w:val="0"/>
          <w:numId w:val="2"/>
        </w:numPr>
        <w:spacing w:line="360" w:lineRule="auto"/>
        <w:jc w:val="both"/>
        <w:rPr>
          <w:rFonts w:ascii="Times New Roman" w:hAnsi="Times New Roman" w:cs="Times New Roman"/>
          <w:sz w:val="24"/>
          <w:szCs w:val="24"/>
        </w:rPr>
      </w:pPr>
      <w:r w:rsidRPr="00AA0740">
        <w:rPr>
          <w:rFonts w:ascii="Times New Roman" w:hAnsi="Times New Roman" w:cs="Times New Roman"/>
          <w:sz w:val="24"/>
          <w:szCs w:val="24"/>
        </w:rPr>
        <w:t xml:space="preserve">The court a quo also justified the factor of likelihood that public order will be disturbed or that public peace or security will be undermined if the appellants were admitted to bail on the same </w:t>
      </w:r>
      <w:r w:rsidR="00AA0740" w:rsidRPr="00AA0740">
        <w:rPr>
          <w:rFonts w:ascii="Times New Roman" w:hAnsi="Times New Roman" w:cs="Times New Roman"/>
          <w:sz w:val="24"/>
          <w:szCs w:val="24"/>
        </w:rPr>
        <w:t>reasoning</w:t>
      </w:r>
      <w:r w:rsidRPr="00AA0740">
        <w:rPr>
          <w:rFonts w:ascii="Times New Roman" w:hAnsi="Times New Roman" w:cs="Times New Roman"/>
          <w:sz w:val="24"/>
          <w:szCs w:val="24"/>
        </w:rPr>
        <w:t xml:space="preserve"> </w:t>
      </w:r>
      <w:r w:rsidR="00D53A19" w:rsidRPr="00AA0740">
        <w:rPr>
          <w:rFonts w:ascii="Times New Roman" w:hAnsi="Times New Roman" w:cs="Times New Roman"/>
          <w:sz w:val="24"/>
          <w:szCs w:val="24"/>
        </w:rPr>
        <w:t>that persons</w:t>
      </w:r>
      <w:r w:rsidRPr="00AA0740">
        <w:rPr>
          <w:rFonts w:ascii="Times New Roman" w:hAnsi="Times New Roman" w:cs="Times New Roman"/>
          <w:sz w:val="24"/>
          <w:szCs w:val="24"/>
        </w:rPr>
        <w:t xml:space="preserve"> who attack and threaten police officers have no regard for the law.</w:t>
      </w:r>
    </w:p>
    <w:p w14:paraId="20DCFF37" w14:textId="27102BED" w:rsidR="006B3C1A" w:rsidRDefault="00D53A19" w:rsidP="007F68C9">
      <w:pPr>
        <w:pStyle w:val="ListParagraph"/>
        <w:numPr>
          <w:ilvl w:val="0"/>
          <w:numId w:val="1"/>
        </w:numPr>
        <w:spacing w:after="0" w:line="360" w:lineRule="auto"/>
        <w:jc w:val="both"/>
        <w:rPr>
          <w:rFonts w:ascii="Times New Roman" w:hAnsi="Times New Roman" w:cs="Times New Roman"/>
          <w:sz w:val="24"/>
          <w:szCs w:val="24"/>
        </w:rPr>
      </w:pPr>
      <w:r w:rsidRPr="00BA55EF">
        <w:rPr>
          <w:rFonts w:ascii="Times New Roman" w:hAnsi="Times New Roman" w:cs="Times New Roman"/>
          <w:sz w:val="24"/>
          <w:szCs w:val="24"/>
        </w:rPr>
        <w:t>It is the above decision which the appellants have appealed against to this court. They cited several grounds for their contestation. In summary they are that:</w:t>
      </w:r>
    </w:p>
    <w:p w14:paraId="1892AA1F" w14:textId="77777777" w:rsidR="007F68C9" w:rsidRPr="00BA55EF" w:rsidRDefault="007F68C9" w:rsidP="007F68C9">
      <w:pPr>
        <w:pStyle w:val="ListParagraph"/>
        <w:spacing w:after="0" w:line="240" w:lineRule="auto"/>
        <w:jc w:val="both"/>
        <w:rPr>
          <w:rFonts w:ascii="Times New Roman" w:hAnsi="Times New Roman" w:cs="Times New Roman"/>
          <w:sz w:val="24"/>
          <w:szCs w:val="24"/>
        </w:rPr>
      </w:pPr>
    </w:p>
    <w:p w14:paraId="5777B216" w14:textId="2EBA63FA" w:rsidR="00D53A19" w:rsidRPr="007F68C9" w:rsidRDefault="007F68C9" w:rsidP="00BA55EF">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t>“</w:t>
      </w:r>
      <w:r w:rsidR="00D53A19" w:rsidRPr="007F68C9">
        <w:rPr>
          <w:rFonts w:ascii="Times New Roman" w:hAnsi="Times New Roman" w:cs="Times New Roman"/>
        </w:rPr>
        <w:t>By granting bail to accused number 56, the court aquo failed to treat the appellants uniformly</w:t>
      </w:r>
    </w:p>
    <w:p w14:paraId="7572F5AC" w14:textId="280C2148" w:rsidR="00D53A19" w:rsidRPr="007F68C9" w:rsidRDefault="00D53A19" w:rsidP="00BA55EF">
      <w:pPr>
        <w:pStyle w:val="ListParagraph"/>
        <w:numPr>
          <w:ilvl w:val="0"/>
          <w:numId w:val="4"/>
        </w:numPr>
        <w:spacing w:line="240" w:lineRule="auto"/>
        <w:jc w:val="both"/>
        <w:rPr>
          <w:rFonts w:ascii="Times New Roman" w:hAnsi="Times New Roman" w:cs="Times New Roman"/>
        </w:rPr>
      </w:pPr>
      <w:r w:rsidRPr="007F68C9">
        <w:rPr>
          <w:rFonts w:ascii="Times New Roman" w:hAnsi="Times New Roman" w:cs="Times New Roman"/>
        </w:rPr>
        <w:t xml:space="preserve">By failing to admit Maxwell </w:t>
      </w:r>
      <w:r w:rsidR="003E7B10" w:rsidRPr="007F68C9">
        <w:rPr>
          <w:rFonts w:ascii="Times New Roman" w:hAnsi="Times New Roman" w:cs="Times New Roman"/>
        </w:rPr>
        <w:t>S</w:t>
      </w:r>
      <w:r w:rsidR="000F37DA">
        <w:rPr>
          <w:rFonts w:ascii="Times New Roman" w:hAnsi="Times New Roman" w:cs="Times New Roman"/>
        </w:rPr>
        <w:t>ande</w:t>
      </w:r>
      <w:r w:rsidR="003E7B10" w:rsidRPr="007F68C9">
        <w:rPr>
          <w:rFonts w:ascii="Times New Roman" w:hAnsi="Times New Roman" w:cs="Times New Roman"/>
        </w:rPr>
        <w:t xml:space="preserve"> (</w:t>
      </w:r>
      <w:r w:rsidRPr="007F68C9">
        <w:rPr>
          <w:rFonts w:ascii="Times New Roman" w:hAnsi="Times New Roman" w:cs="Times New Roman"/>
        </w:rPr>
        <w:t xml:space="preserve">appellant 43) to bail, the court aquo misdirected itself given that he is a minor who should have been released into the custody of his parent(s) or guardian. </w:t>
      </w:r>
    </w:p>
    <w:p w14:paraId="0150C5A5" w14:textId="0FD82095" w:rsidR="00D53A19" w:rsidRPr="007F68C9" w:rsidRDefault="00D53A19" w:rsidP="00BA55EF">
      <w:pPr>
        <w:pStyle w:val="ListParagraph"/>
        <w:numPr>
          <w:ilvl w:val="0"/>
          <w:numId w:val="4"/>
        </w:numPr>
        <w:spacing w:line="240" w:lineRule="auto"/>
        <w:jc w:val="both"/>
        <w:rPr>
          <w:rFonts w:ascii="Times New Roman" w:hAnsi="Times New Roman" w:cs="Times New Roman"/>
        </w:rPr>
      </w:pPr>
      <w:r w:rsidRPr="007F68C9">
        <w:rPr>
          <w:rFonts w:ascii="Times New Roman" w:hAnsi="Times New Roman" w:cs="Times New Roman"/>
        </w:rPr>
        <w:t>The court aquo failed to consider each appellant’s personal circumstances</w:t>
      </w:r>
    </w:p>
    <w:p w14:paraId="086FAB8C" w14:textId="4D1C80C7" w:rsidR="00D53A19" w:rsidRPr="007F68C9" w:rsidRDefault="00D53A19" w:rsidP="00BA55EF">
      <w:pPr>
        <w:pStyle w:val="ListParagraph"/>
        <w:numPr>
          <w:ilvl w:val="0"/>
          <w:numId w:val="4"/>
        </w:numPr>
        <w:spacing w:line="240" w:lineRule="auto"/>
        <w:jc w:val="both"/>
        <w:rPr>
          <w:rFonts w:ascii="Times New Roman" w:hAnsi="Times New Roman" w:cs="Times New Roman"/>
        </w:rPr>
      </w:pPr>
      <w:r w:rsidRPr="007F68C9">
        <w:rPr>
          <w:rFonts w:ascii="Times New Roman" w:hAnsi="Times New Roman" w:cs="Times New Roman"/>
        </w:rPr>
        <w:t xml:space="preserve">It further misdirected itself by relying on the seriousness of the offence and the likely penalty without considering the relative strength of the state’s case and </w:t>
      </w:r>
      <w:r w:rsidR="003E7B10" w:rsidRPr="007F68C9">
        <w:rPr>
          <w:rFonts w:ascii="Times New Roman" w:hAnsi="Times New Roman" w:cs="Times New Roman"/>
        </w:rPr>
        <w:t>assurances</w:t>
      </w:r>
      <w:r w:rsidRPr="007F68C9">
        <w:rPr>
          <w:rFonts w:ascii="Times New Roman" w:hAnsi="Times New Roman" w:cs="Times New Roman"/>
        </w:rPr>
        <w:t xml:space="preserve"> given by</w:t>
      </w:r>
      <w:r w:rsidR="003E7B10" w:rsidRPr="007F68C9">
        <w:rPr>
          <w:rFonts w:ascii="Times New Roman" w:hAnsi="Times New Roman" w:cs="Times New Roman"/>
        </w:rPr>
        <w:t xml:space="preserve"> </w:t>
      </w:r>
      <w:r w:rsidRPr="007F68C9">
        <w:rPr>
          <w:rFonts w:ascii="Times New Roman" w:hAnsi="Times New Roman" w:cs="Times New Roman"/>
        </w:rPr>
        <w:t xml:space="preserve">the appellants that they would </w:t>
      </w:r>
      <w:r w:rsidR="003E7B10" w:rsidRPr="007F68C9">
        <w:rPr>
          <w:rFonts w:ascii="Times New Roman" w:hAnsi="Times New Roman" w:cs="Times New Roman"/>
        </w:rPr>
        <w:t>stand</w:t>
      </w:r>
      <w:r w:rsidRPr="007F68C9">
        <w:rPr>
          <w:rFonts w:ascii="Times New Roman" w:hAnsi="Times New Roman" w:cs="Times New Roman"/>
        </w:rPr>
        <w:t xml:space="preserve"> trial</w:t>
      </w:r>
    </w:p>
    <w:p w14:paraId="64069104" w14:textId="5EB2D16D" w:rsidR="003E7B10" w:rsidRPr="007F68C9" w:rsidRDefault="003E7B10" w:rsidP="00BA55EF">
      <w:pPr>
        <w:pStyle w:val="ListParagraph"/>
        <w:numPr>
          <w:ilvl w:val="0"/>
          <w:numId w:val="4"/>
        </w:numPr>
        <w:spacing w:line="240" w:lineRule="auto"/>
        <w:jc w:val="both"/>
        <w:rPr>
          <w:rFonts w:ascii="Times New Roman" w:hAnsi="Times New Roman" w:cs="Times New Roman"/>
        </w:rPr>
      </w:pPr>
      <w:r w:rsidRPr="007F68C9">
        <w:rPr>
          <w:rFonts w:ascii="Times New Roman" w:hAnsi="Times New Roman" w:cs="Times New Roman"/>
        </w:rPr>
        <w:t>That the court aquo erred by concluding that the appellants were likely to interfere with witnesses without giving regard to the considerations stated in s 117 (3) (c) of the Criminal Procedure and Evidence Act [</w:t>
      </w:r>
      <w:r w:rsidRPr="007F68C9">
        <w:rPr>
          <w:rFonts w:ascii="Times New Roman" w:hAnsi="Times New Roman" w:cs="Times New Roman"/>
          <w:i/>
          <w:iCs/>
        </w:rPr>
        <w:t>Chapter 9:07</w:t>
      </w:r>
      <w:r w:rsidRPr="007F68C9">
        <w:rPr>
          <w:rFonts w:ascii="Times New Roman" w:hAnsi="Times New Roman" w:cs="Times New Roman"/>
        </w:rPr>
        <w:t xml:space="preserve">] (The CPEA). </w:t>
      </w:r>
    </w:p>
    <w:p w14:paraId="6958AD3A" w14:textId="2359FFCC" w:rsidR="003E7B10" w:rsidRPr="007F68C9" w:rsidRDefault="003E7B10" w:rsidP="00BA55EF">
      <w:pPr>
        <w:pStyle w:val="ListParagraph"/>
        <w:numPr>
          <w:ilvl w:val="0"/>
          <w:numId w:val="4"/>
        </w:numPr>
        <w:spacing w:line="240" w:lineRule="auto"/>
        <w:jc w:val="both"/>
        <w:rPr>
          <w:rFonts w:ascii="Times New Roman" w:hAnsi="Times New Roman" w:cs="Times New Roman"/>
        </w:rPr>
      </w:pPr>
      <w:r w:rsidRPr="007F68C9">
        <w:rPr>
          <w:rFonts w:ascii="Times New Roman" w:hAnsi="Times New Roman" w:cs="Times New Roman"/>
        </w:rPr>
        <w:t>That in concluding that the appellants were likely to team up with their fugitive accomplices, the court aquo erred because it did not apply the factors prescribed under s 117 (3)(a)(iv) of the CPEA</w:t>
      </w:r>
    </w:p>
    <w:p w14:paraId="5CF0F28A" w14:textId="21BD3B39" w:rsidR="003E7B10" w:rsidRPr="007F68C9" w:rsidRDefault="003E7B10" w:rsidP="00BA55EF">
      <w:pPr>
        <w:pStyle w:val="ListParagraph"/>
        <w:numPr>
          <w:ilvl w:val="0"/>
          <w:numId w:val="4"/>
        </w:numPr>
        <w:spacing w:line="240" w:lineRule="auto"/>
        <w:jc w:val="both"/>
        <w:rPr>
          <w:rFonts w:ascii="Times New Roman" w:hAnsi="Times New Roman" w:cs="Times New Roman"/>
        </w:rPr>
      </w:pPr>
      <w:r w:rsidRPr="007F68C9">
        <w:rPr>
          <w:rFonts w:ascii="Times New Roman" w:hAnsi="Times New Roman" w:cs="Times New Roman"/>
        </w:rPr>
        <w:t>That the court aquo also erred in finding that the release on bail, of the appellants would jeopardise the criminal justice system including the bail system when that had not been established by evidence on record</w:t>
      </w:r>
    </w:p>
    <w:p w14:paraId="23590E83" w14:textId="2DD86C43" w:rsidR="003E7B10" w:rsidRDefault="003E7B10" w:rsidP="007F68C9">
      <w:pPr>
        <w:pStyle w:val="ListParagraph"/>
        <w:numPr>
          <w:ilvl w:val="0"/>
          <w:numId w:val="4"/>
        </w:numPr>
        <w:spacing w:after="0" w:line="240" w:lineRule="auto"/>
        <w:jc w:val="both"/>
        <w:rPr>
          <w:rFonts w:ascii="Times New Roman" w:hAnsi="Times New Roman" w:cs="Times New Roman"/>
        </w:rPr>
      </w:pPr>
      <w:r w:rsidRPr="007F68C9">
        <w:rPr>
          <w:rFonts w:ascii="Times New Roman" w:hAnsi="Times New Roman" w:cs="Times New Roman"/>
        </w:rPr>
        <w:t>That the court aquo failed to adopt a holistic approach to the question of bail in this case</w:t>
      </w:r>
      <w:r w:rsidR="007F68C9">
        <w:rPr>
          <w:rFonts w:ascii="Times New Roman" w:hAnsi="Times New Roman" w:cs="Times New Roman"/>
        </w:rPr>
        <w:t>.”</w:t>
      </w:r>
    </w:p>
    <w:p w14:paraId="5A5DE5E1" w14:textId="77777777" w:rsidR="007F68C9" w:rsidRPr="007F68C9" w:rsidRDefault="007F68C9" w:rsidP="007F68C9">
      <w:pPr>
        <w:pStyle w:val="ListParagraph"/>
        <w:spacing w:after="0" w:line="240" w:lineRule="auto"/>
        <w:ind w:left="2160"/>
        <w:jc w:val="both"/>
        <w:rPr>
          <w:rFonts w:ascii="Times New Roman" w:hAnsi="Times New Roman" w:cs="Times New Roman"/>
        </w:rPr>
      </w:pPr>
    </w:p>
    <w:p w14:paraId="09D383A3" w14:textId="5BF6CB0F" w:rsidR="00906ADD" w:rsidRPr="007F68C9" w:rsidRDefault="00906ADD" w:rsidP="007F68C9">
      <w:pPr>
        <w:spacing w:after="0" w:line="360" w:lineRule="auto"/>
        <w:ind w:left="720"/>
        <w:jc w:val="both"/>
        <w:rPr>
          <w:rFonts w:ascii="Times New Roman" w:hAnsi="Times New Roman" w:cs="Times New Roman"/>
          <w:b/>
          <w:bCs/>
          <w:sz w:val="24"/>
          <w:szCs w:val="24"/>
          <w:u w:val="single"/>
        </w:rPr>
      </w:pPr>
      <w:r w:rsidRPr="007F68C9">
        <w:rPr>
          <w:rFonts w:ascii="Times New Roman" w:hAnsi="Times New Roman" w:cs="Times New Roman"/>
          <w:b/>
          <w:bCs/>
          <w:sz w:val="24"/>
          <w:szCs w:val="24"/>
          <w:u w:val="single"/>
        </w:rPr>
        <w:t>The law regarding bail appeals</w:t>
      </w:r>
    </w:p>
    <w:p w14:paraId="5902E69D" w14:textId="79C94BA9" w:rsidR="00906ADD" w:rsidRPr="00BA55EF" w:rsidRDefault="001320D3" w:rsidP="00BA55EF">
      <w:pPr>
        <w:pStyle w:val="Default"/>
        <w:numPr>
          <w:ilvl w:val="0"/>
          <w:numId w:val="1"/>
        </w:numPr>
        <w:spacing w:line="360" w:lineRule="auto"/>
        <w:jc w:val="both"/>
      </w:pPr>
      <w:r>
        <w:t>A</w:t>
      </w:r>
      <w:r w:rsidR="00906ADD" w:rsidRPr="00BA55EF">
        <w:t xml:space="preserve">ppeals </w:t>
      </w:r>
      <w:r>
        <w:t xml:space="preserve">regarding bail are regulated by s 121(1)(b) of the CPEA. They do not necessarily </w:t>
      </w:r>
      <w:r w:rsidR="00906ADD" w:rsidRPr="00BA55EF">
        <w:t>f</w:t>
      </w:r>
      <w:r>
        <w:t>a</w:t>
      </w:r>
      <w:r w:rsidR="00906ADD" w:rsidRPr="00BA55EF">
        <w:t>ll into the bracket of other general appeals</w:t>
      </w:r>
      <w:r>
        <w:t>. If they did,</w:t>
      </w:r>
      <w:r w:rsidR="00906ADD" w:rsidRPr="00BA55EF">
        <w:t xml:space="preserve"> the grounds stated in this appeal would </w:t>
      </w:r>
      <w:r>
        <w:t xml:space="preserve">inevitably, </w:t>
      </w:r>
      <w:r w:rsidR="00906ADD" w:rsidRPr="00BA55EF">
        <w:t xml:space="preserve">not have passed the test of conciseness. </w:t>
      </w:r>
      <w:r w:rsidR="00892DB6">
        <w:t>They</w:t>
      </w:r>
      <w:r w:rsidR="00D06F65" w:rsidRPr="00BA55EF">
        <w:t xml:space="preserve"> would have also been non-compliant for failure to state several detail that is mandatory in </w:t>
      </w:r>
      <w:r>
        <w:t xml:space="preserve">in notices and grounds of </w:t>
      </w:r>
      <w:r w:rsidR="00D06F65" w:rsidRPr="00BA55EF">
        <w:t xml:space="preserve">other appeals. </w:t>
      </w:r>
      <w:r>
        <w:t>I</w:t>
      </w:r>
      <w:r w:rsidR="00906ADD" w:rsidRPr="00BA55EF">
        <w:t xml:space="preserve">n the case of </w:t>
      </w:r>
      <w:r w:rsidR="00906ADD" w:rsidRPr="00BA55EF">
        <w:rPr>
          <w:i/>
        </w:rPr>
        <w:t>Mary Mubaiwa-Chiwenga v The State and others</w:t>
      </w:r>
      <w:r w:rsidR="00906ADD" w:rsidRPr="00BA55EF">
        <w:t xml:space="preserve"> SC 4/21, at p. 6 of the cyclostyled judgment, the Supreme Court clarified the procedure which must be followed in the noting of an appeal in terms of s121 (1) (b) of the C</w:t>
      </w:r>
      <w:r>
        <w:t>PEA when it</w:t>
      </w:r>
      <w:r w:rsidR="00906ADD" w:rsidRPr="00BA55EF">
        <w:t xml:space="preserve"> said:</w:t>
      </w:r>
    </w:p>
    <w:p w14:paraId="5F560CC5" w14:textId="77777777" w:rsidR="00906ADD" w:rsidRPr="00906ADD" w:rsidRDefault="00906ADD" w:rsidP="00906ADD">
      <w:pPr>
        <w:autoSpaceDE w:val="0"/>
        <w:autoSpaceDN w:val="0"/>
        <w:adjustRightInd w:val="0"/>
        <w:spacing w:after="0" w:line="240" w:lineRule="auto"/>
        <w:rPr>
          <w:rFonts w:ascii="Times New Roman" w:hAnsi="Times New Roman" w:cs="Times New Roman"/>
          <w:kern w:val="0"/>
          <w:sz w:val="24"/>
          <w:szCs w:val="24"/>
          <w14:ligatures w14:val="none"/>
        </w:rPr>
      </w:pPr>
    </w:p>
    <w:p w14:paraId="1529C23C" w14:textId="77777777" w:rsidR="001320D3" w:rsidRPr="007F68C9" w:rsidRDefault="001320D3" w:rsidP="00BA55EF">
      <w:pPr>
        <w:spacing w:after="0" w:line="240" w:lineRule="auto"/>
        <w:ind w:left="2160"/>
        <w:contextualSpacing/>
        <w:jc w:val="both"/>
        <w:rPr>
          <w:rFonts w:ascii="Times New Roman" w:hAnsi="Times New Roman" w:cs="Times New Roman"/>
          <w:kern w:val="0"/>
          <w14:ligatures w14:val="none"/>
        </w:rPr>
      </w:pPr>
      <w:r w:rsidRPr="007F68C9">
        <w:rPr>
          <w:rFonts w:ascii="Times New Roman" w:hAnsi="Times New Roman" w:cs="Times New Roman"/>
          <w:kern w:val="0"/>
          <w14:ligatures w14:val="none"/>
        </w:rPr>
        <w:lastRenderedPageBreak/>
        <w:t>“</w:t>
      </w:r>
      <w:r w:rsidR="00906ADD" w:rsidRPr="007F68C9">
        <w:rPr>
          <w:rFonts w:ascii="Times New Roman" w:hAnsi="Times New Roman" w:cs="Times New Roman"/>
          <w:kern w:val="0"/>
          <w14:ligatures w14:val="none"/>
        </w:rPr>
        <w:t xml:space="preserve">Rule 67 prescribes the procedure by which an appeal provided for by s 121 (1) (b) of the Criminal Procedure and Evidence Act (which the appellant’s intended appeal is) may be noted. The appeal is noted by filing with the registrar </w:t>
      </w:r>
      <w:r w:rsidR="00906ADD" w:rsidRPr="007F68C9">
        <w:rPr>
          <w:rFonts w:ascii="Times New Roman" w:hAnsi="Times New Roman" w:cs="Times New Roman"/>
          <w:b/>
          <w:kern w:val="0"/>
          <w14:ligatures w14:val="none"/>
        </w:rPr>
        <w:t>a written statement</w:t>
      </w:r>
      <w:r w:rsidR="00906ADD" w:rsidRPr="007F68C9">
        <w:rPr>
          <w:rFonts w:ascii="Times New Roman" w:hAnsi="Times New Roman" w:cs="Times New Roman"/>
          <w:kern w:val="0"/>
          <w14:ligatures w14:val="none"/>
        </w:rPr>
        <w:t xml:space="preserve"> indicating the matters stated in paragraphs (a) to (c) of sub- rule (1). In addition to the said statement the appellant </w:t>
      </w:r>
      <w:r w:rsidR="00906ADD" w:rsidRPr="007F68C9">
        <w:rPr>
          <w:rFonts w:ascii="Times New Roman" w:hAnsi="Times New Roman" w:cs="Times New Roman"/>
          <w:kern w:val="0"/>
          <w:u w:val="single"/>
          <w14:ligatures w14:val="none"/>
        </w:rPr>
        <w:t>must</w:t>
      </w:r>
      <w:r w:rsidR="00906ADD" w:rsidRPr="007F68C9">
        <w:rPr>
          <w:rFonts w:ascii="Times New Roman" w:hAnsi="Times New Roman" w:cs="Times New Roman"/>
          <w:kern w:val="0"/>
          <w14:ligatures w14:val="none"/>
        </w:rPr>
        <w:t xml:space="preserve">, (the underlining is for emphasis) in accordance with sub- rule (2), simultaneously lodge with the registrar a record of the bail proceedings which are the subject of the appeal. After filing the appeal the appellant </w:t>
      </w:r>
      <w:r w:rsidR="00906ADD" w:rsidRPr="007F68C9">
        <w:rPr>
          <w:rFonts w:ascii="Times New Roman" w:hAnsi="Times New Roman" w:cs="Times New Roman"/>
          <w:kern w:val="0"/>
          <w:u w:val="single"/>
          <w14:ligatures w14:val="none"/>
        </w:rPr>
        <w:t>shall</w:t>
      </w:r>
      <w:r w:rsidR="00906ADD" w:rsidRPr="007F68C9">
        <w:rPr>
          <w:rFonts w:ascii="Times New Roman" w:hAnsi="Times New Roman" w:cs="Times New Roman"/>
          <w:kern w:val="0"/>
          <w14:ligatures w14:val="none"/>
        </w:rPr>
        <w:t>, (the underlining is for emphasis) in fulfilment of the requirements of r 5 (a), cause a copy of the statement and the record of the bail proceedings to be served on the Prosecutor-General and on the judge whose decision is the subject of the appeal.</w:t>
      </w:r>
      <w:r w:rsidRPr="007F68C9">
        <w:rPr>
          <w:rFonts w:ascii="Times New Roman" w:hAnsi="Times New Roman" w:cs="Times New Roman"/>
          <w:kern w:val="0"/>
          <w14:ligatures w14:val="none"/>
        </w:rPr>
        <w:t>”</w:t>
      </w:r>
    </w:p>
    <w:p w14:paraId="0334C573" w14:textId="5C17B93A" w:rsidR="00906ADD" w:rsidRPr="00906ADD" w:rsidRDefault="00906ADD" w:rsidP="00BA55EF">
      <w:pPr>
        <w:spacing w:after="0" w:line="240" w:lineRule="auto"/>
        <w:ind w:left="2160"/>
        <w:contextualSpacing/>
        <w:jc w:val="both"/>
        <w:rPr>
          <w:rFonts w:ascii="Times New Roman" w:hAnsi="Times New Roman" w:cs="Times New Roman"/>
          <w:kern w:val="0"/>
          <w:sz w:val="20"/>
          <w:szCs w:val="20"/>
          <w14:ligatures w14:val="none"/>
        </w:rPr>
      </w:pPr>
      <w:r w:rsidRPr="00906ADD">
        <w:rPr>
          <w:rFonts w:ascii="Times New Roman" w:hAnsi="Times New Roman" w:cs="Times New Roman"/>
          <w:kern w:val="0"/>
          <w:sz w:val="20"/>
          <w:szCs w:val="20"/>
          <w14:ligatures w14:val="none"/>
        </w:rPr>
        <w:t xml:space="preserve"> </w:t>
      </w:r>
    </w:p>
    <w:p w14:paraId="25BDD0AA" w14:textId="7247F6C9" w:rsidR="00034A8D" w:rsidRPr="00BA55EF" w:rsidRDefault="00F96CEF" w:rsidP="007F68C9">
      <w:pPr>
        <w:pStyle w:val="ListParagraph"/>
        <w:numPr>
          <w:ilvl w:val="0"/>
          <w:numId w:val="1"/>
        </w:numPr>
        <w:spacing w:after="0" w:line="360" w:lineRule="auto"/>
        <w:jc w:val="both"/>
        <w:rPr>
          <w:rFonts w:ascii="Times New Roman" w:hAnsi="Times New Roman" w:cs="Times New Roman"/>
          <w:sz w:val="24"/>
          <w:szCs w:val="24"/>
        </w:rPr>
      </w:pPr>
      <w:r w:rsidRPr="00A735E3">
        <w:rPr>
          <w:rFonts w:ascii="Times New Roman" w:hAnsi="Times New Roman" w:cs="Times New Roman"/>
          <w:sz w:val="24"/>
          <w:szCs w:val="24"/>
        </w:rPr>
        <w:t xml:space="preserve">On the strength of the above dicta, this court </w:t>
      </w:r>
      <w:r w:rsidR="001320D3" w:rsidRPr="00A735E3">
        <w:rPr>
          <w:rFonts w:ascii="Times New Roman" w:hAnsi="Times New Roman" w:cs="Times New Roman"/>
          <w:sz w:val="24"/>
          <w:szCs w:val="24"/>
        </w:rPr>
        <w:t xml:space="preserve">also </w:t>
      </w:r>
      <w:r w:rsidRPr="00A735E3">
        <w:rPr>
          <w:rFonts w:ascii="Times New Roman" w:hAnsi="Times New Roman" w:cs="Times New Roman"/>
          <w:sz w:val="24"/>
          <w:szCs w:val="24"/>
        </w:rPr>
        <w:t>concluded in the case of</w:t>
      </w:r>
      <w:r w:rsidRPr="00A735E3">
        <w:rPr>
          <w:rFonts w:ascii="Times New Roman" w:hAnsi="Times New Roman" w:cs="Times New Roman"/>
          <w:i/>
          <w:iCs/>
          <w:sz w:val="24"/>
          <w:szCs w:val="24"/>
        </w:rPr>
        <w:t xml:space="preserve"> Grace Mandisodza v the State</w:t>
      </w:r>
      <w:r w:rsidRPr="00A735E3">
        <w:rPr>
          <w:rFonts w:ascii="Times New Roman" w:hAnsi="Times New Roman" w:cs="Times New Roman"/>
          <w:sz w:val="24"/>
          <w:szCs w:val="24"/>
        </w:rPr>
        <w:t xml:space="preserve"> H</w:t>
      </w:r>
      <w:r w:rsidR="00A735E3" w:rsidRPr="00A735E3">
        <w:rPr>
          <w:rFonts w:ascii="Times New Roman" w:hAnsi="Times New Roman" w:cs="Times New Roman"/>
          <w:sz w:val="24"/>
          <w:szCs w:val="24"/>
        </w:rPr>
        <w:t>H 363/22</w:t>
      </w:r>
      <w:r w:rsidRPr="00A735E3">
        <w:rPr>
          <w:rFonts w:ascii="Times New Roman" w:hAnsi="Times New Roman" w:cs="Times New Roman"/>
          <w:sz w:val="24"/>
          <w:szCs w:val="24"/>
        </w:rPr>
        <w:t xml:space="preserve"> that </w:t>
      </w:r>
      <w:r w:rsidR="00303E5F" w:rsidRPr="00A735E3">
        <w:rPr>
          <w:rFonts w:ascii="Times New Roman" w:hAnsi="Times New Roman" w:cs="Times New Roman"/>
          <w:sz w:val="24"/>
          <w:szCs w:val="24"/>
        </w:rPr>
        <w:t>an</w:t>
      </w:r>
      <w:r w:rsidRPr="00A735E3">
        <w:rPr>
          <w:rFonts w:ascii="Times New Roman" w:hAnsi="Times New Roman" w:cs="Times New Roman"/>
          <w:sz w:val="24"/>
          <w:szCs w:val="24"/>
        </w:rPr>
        <w:t xml:space="preserve"> appeal against a decision of bail is not initiated by a notice of appeal but by filing a written statement with the registrar.</w:t>
      </w:r>
      <w:r w:rsidR="00303E5F" w:rsidRPr="00A735E3">
        <w:rPr>
          <w:rFonts w:ascii="Times New Roman" w:hAnsi="Times New Roman" w:cs="Times New Roman"/>
          <w:sz w:val="24"/>
          <w:szCs w:val="24"/>
        </w:rPr>
        <w:t xml:space="preserve"> It would therefore be erroneous for an appellant </w:t>
      </w:r>
      <w:r w:rsidR="00303E5F" w:rsidRPr="00BA55EF">
        <w:rPr>
          <w:rFonts w:ascii="Times New Roman" w:hAnsi="Times New Roman" w:cs="Times New Roman"/>
          <w:sz w:val="24"/>
          <w:szCs w:val="24"/>
        </w:rPr>
        <w:t>to just file a notice of appeal and omit to file the bail statement</w:t>
      </w:r>
      <w:r w:rsidR="001320D3">
        <w:rPr>
          <w:rFonts w:ascii="Times New Roman" w:hAnsi="Times New Roman" w:cs="Times New Roman"/>
          <w:sz w:val="24"/>
          <w:szCs w:val="24"/>
        </w:rPr>
        <w:t xml:space="preserve"> as</w:t>
      </w:r>
      <w:r w:rsidR="00303E5F" w:rsidRPr="00BA55EF">
        <w:rPr>
          <w:rFonts w:ascii="Times New Roman" w:hAnsi="Times New Roman" w:cs="Times New Roman"/>
          <w:sz w:val="24"/>
          <w:szCs w:val="24"/>
        </w:rPr>
        <w:t xml:space="preserve"> required by R 91 of the High Court Rules, 2021 (the Rules). In this case, the appellants chose to file both the grounds of appeal like in ordinary appeals and the bail statement. Including both was superfluous but certainly not fatal in my view. It must also follow that it is difficult if not impossible for a court to refuse to hear a bail appeal </w:t>
      </w:r>
      <w:r w:rsidR="00D06F65" w:rsidRPr="00BA55EF">
        <w:rPr>
          <w:rFonts w:ascii="Times New Roman" w:hAnsi="Times New Roman" w:cs="Times New Roman"/>
          <w:sz w:val="24"/>
          <w:szCs w:val="24"/>
        </w:rPr>
        <w:t xml:space="preserve">for non-compliance with the format </w:t>
      </w:r>
      <w:r w:rsidR="00690315">
        <w:rPr>
          <w:rFonts w:ascii="Times New Roman" w:hAnsi="Times New Roman" w:cs="Times New Roman"/>
          <w:sz w:val="24"/>
          <w:szCs w:val="24"/>
        </w:rPr>
        <w:t xml:space="preserve">required </w:t>
      </w:r>
      <w:r w:rsidR="00D06F65" w:rsidRPr="00BA55EF">
        <w:rPr>
          <w:rFonts w:ascii="Times New Roman" w:hAnsi="Times New Roman" w:cs="Times New Roman"/>
          <w:sz w:val="24"/>
          <w:szCs w:val="24"/>
        </w:rPr>
        <w:t xml:space="preserve">of </w:t>
      </w:r>
      <w:r w:rsidR="00690315" w:rsidRPr="00BA55EF">
        <w:rPr>
          <w:rFonts w:ascii="Times New Roman" w:hAnsi="Times New Roman" w:cs="Times New Roman"/>
          <w:sz w:val="24"/>
          <w:szCs w:val="24"/>
        </w:rPr>
        <w:t xml:space="preserve">general </w:t>
      </w:r>
      <w:r w:rsidR="00D06F65" w:rsidRPr="00BA55EF">
        <w:rPr>
          <w:rFonts w:ascii="Times New Roman" w:hAnsi="Times New Roman" w:cs="Times New Roman"/>
          <w:sz w:val="24"/>
          <w:szCs w:val="24"/>
        </w:rPr>
        <w:t>notices of appeal.</w:t>
      </w:r>
    </w:p>
    <w:p w14:paraId="1A8D5231" w14:textId="3AD96CF3" w:rsidR="00034A8D" w:rsidRPr="00BA55EF" w:rsidRDefault="00034A8D" w:rsidP="00BA55EF">
      <w:pPr>
        <w:pStyle w:val="Default"/>
        <w:numPr>
          <w:ilvl w:val="0"/>
          <w:numId w:val="1"/>
        </w:numPr>
        <w:spacing w:line="360" w:lineRule="auto"/>
        <w:jc w:val="both"/>
      </w:pPr>
      <w:r w:rsidRPr="00BA55EF">
        <w:t xml:space="preserve">Once the above hurdle is surmounted, the factors which come into play in the actual determination of a bail appeal do not significantly differ from what must be considered in a general appeal. The only further difference is that in all other appeals a finding by the </w:t>
      </w:r>
      <w:r w:rsidR="00EE2AB6" w:rsidRPr="00BA55EF">
        <w:t>appeal</w:t>
      </w:r>
      <w:r w:rsidRPr="00BA55EF">
        <w:t xml:space="preserve"> </w:t>
      </w:r>
      <w:r w:rsidR="00EE2AB6" w:rsidRPr="00BA55EF">
        <w:t>court</w:t>
      </w:r>
      <w:r w:rsidRPr="00BA55EF">
        <w:t xml:space="preserve"> that the court aquo committed a misdirection inevitably leads to the appeal succeeding and the decision being vacated but with bail appeals the matter does not end there. The appeal court is mandated to still look beyond that and determine</w:t>
      </w:r>
      <w:r w:rsidR="00690315">
        <w:t>,</w:t>
      </w:r>
      <w:r w:rsidRPr="00BA55EF">
        <w:t xml:space="preserve"> regardless of the misdirection whether or not the appellant can be admitted to bail. See the case </w:t>
      </w:r>
      <w:r w:rsidR="00EE2AB6" w:rsidRPr="00BA55EF">
        <w:t xml:space="preserve">of </w:t>
      </w:r>
      <w:r w:rsidR="00EE2AB6" w:rsidRPr="00BA55EF">
        <w:rPr>
          <w:i/>
          <w:iCs/>
        </w:rPr>
        <w:t>Belington</w:t>
      </w:r>
      <w:r w:rsidRPr="00BA55EF">
        <w:rPr>
          <w:i/>
          <w:color w:val="4A4A4A"/>
        </w:rPr>
        <w:t xml:space="preserve"> </w:t>
      </w:r>
      <w:r w:rsidRPr="007F68C9">
        <w:rPr>
          <w:i/>
          <w:color w:val="auto"/>
        </w:rPr>
        <w:t>Maronga and Others v The State</w:t>
      </w:r>
      <w:r w:rsidRPr="007F68C9">
        <w:rPr>
          <w:color w:val="auto"/>
        </w:rPr>
        <w:t xml:space="preserve"> </w:t>
      </w:r>
      <w:r w:rsidRPr="00BA55EF">
        <w:rPr>
          <w:color w:val="4A4A4A"/>
        </w:rPr>
        <w:t>HH</w:t>
      </w:r>
      <w:r w:rsidR="00690315">
        <w:rPr>
          <w:color w:val="4A4A4A"/>
        </w:rPr>
        <w:t xml:space="preserve"> </w:t>
      </w:r>
      <w:r w:rsidRPr="00BA55EF">
        <w:rPr>
          <w:color w:val="4A4A4A"/>
        </w:rPr>
        <w:t>393/21</w:t>
      </w:r>
      <w:r w:rsidRPr="00BA55EF">
        <w:t xml:space="preserve">. </w:t>
      </w:r>
    </w:p>
    <w:p w14:paraId="54BED5BA" w14:textId="4F32C934" w:rsidR="00690315" w:rsidRPr="007F68C9" w:rsidRDefault="00EE2AB6" w:rsidP="00BA55EF">
      <w:pPr>
        <w:pStyle w:val="Default"/>
        <w:numPr>
          <w:ilvl w:val="0"/>
          <w:numId w:val="1"/>
        </w:numPr>
        <w:spacing w:line="360" w:lineRule="auto"/>
        <w:jc w:val="both"/>
        <w:rPr>
          <w:color w:val="auto"/>
          <w:shd w:val="clear" w:color="auto" w:fill="FFFFFF"/>
        </w:rPr>
      </w:pPr>
      <w:r w:rsidRPr="007F68C9">
        <w:rPr>
          <w:color w:val="auto"/>
        </w:rPr>
        <w:t xml:space="preserve">Like </w:t>
      </w:r>
      <w:r w:rsidR="00690315" w:rsidRPr="007F68C9">
        <w:rPr>
          <w:color w:val="auto"/>
        </w:rPr>
        <w:t xml:space="preserve">with </w:t>
      </w:r>
      <w:r w:rsidRPr="007F68C9">
        <w:rPr>
          <w:color w:val="auto"/>
        </w:rPr>
        <w:t>any other appeal, when hearing a bail appeal, the appellate court is not permitted to st</w:t>
      </w:r>
      <w:r w:rsidR="00B92646" w:rsidRPr="007F68C9">
        <w:rPr>
          <w:color w:val="auto"/>
        </w:rPr>
        <w:t>ray</w:t>
      </w:r>
      <w:r w:rsidRPr="007F68C9">
        <w:rPr>
          <w:color w:val="auto"/>
        </w:rPr>
        <w:t xml:space="preserve"> outside the record of proceedings. What it must determine is </w:t>
      </w:r>
      <w:r w:rsidR="00034A8D" w:rsidRPr="007F68C9">
        <w:rPr>
          <w:color w:val="auto"/>
          <w:shd w:val="clear" w:color="auto" w:fill="FFFFFF"/>
        </w:rPr>
        <w:t>whether the court </w:t>
      </w:r>
      <w:r w:rsidR="00034A8D" w:rsidRPr="007F68C9">
        <w:rPr>
          <w:i/>
          <w:iCs/>
          <w:color w:val="auto"/>
          <w:shd w:val="clear" w:color="auto" w:fill="FFFFFF"/>
        </w:rPr>
        <w:t>a quo</w:t>
      </w:r>
      <w:r w:rsidR="00034A8D" w:rsidRPr="007F68C9">
        <w:rPr>
          <w:color w:val="auto"/>
          <w:shd w:val="clear" w:color="auto" w:fill="FFFFFF"/>
        </w:rPr>
        <w:t> misdirected itself in denying the appellant bail.</w:t>
      </w:r>
      <w:r w:rsidRPr="007F68C9">
        <w:rPr>
          <w:color w:val="auto"/>
        </w:rPr>
        <w:t xml:space="preserve"> </w:t>
      </w:r>
      <w:r w:rsidR="00690315" w:rsidRPr="007F68C9">
        <w:rPr>
          <w:color w:val="auto"/>
        </w:rPr>
        <w:t>T</w:t>
      </w:r>
      <w:r w:rsidRPr="007F68C9">
        <w:rPr>
          <w:color w:val="auto"/>
        </w:rPr>
        <w:t>he case</w:t>
      </w:r>
      <w:r w:rsidR="00690315" w:rsidRPr="007F68C9">
        <w:rPr>
          <w:color w:val="auto"/>
        </w:rPr>
        <w:t>s</w:t>
      </w:r>
      <w:r w:rsidRPr="007F68C9">
        <w:rPr>
          <w:color w:val="auto"/>
        </w:rPr>
        <w:t xml:space="preserve"> </w:t>
      </w:r>
      <w:r w:rsidR="00B92646" w:rsidRPr="007F68C9">
        <w:rPr>
          <w:color w:val="auto"/>
        </w:rPr>
        <w:t xml:space="preserve">of </w:t>
      </w:r>
      <w:r w:rsidR="00B92646" w:rsidRPr="007F68C9">
        <w:rPr>
          <w:i/>
          <w:iCs/>
          <w:color w:val="auto"/>
        </w:rPr>
        <w:t>S</w:t>
      </w:r>
      <w:r w:rsidRPr="007F68C9">
        <w:rPr>
          <w:i/>
          <w:color w:val="auto"/>
        </w:rPr>
        <w:t xml:space="preserve"> v Maphosa and 2 Others</w:t>
      </w:r>
      <w:r w:rsidRPr="007F68C9">
        <w:rPr>
          <w:color w:val="auto"/>
        </w:rPr>
        <w:t xml:space="preserve"> HMT 1/21</w:t>
      </w:r>
      <w:r w:rsidR="00B92646" w:rsidRPr="007F68C9">
        <w:rPr>
          <w:color w:val="auto"/>
        </w:rPr>
        <w:t xml:space="preserve">; and </w:t>
      </w:r>
      <w:r w:rsidR="00B92646" w:rsidRPr="007F68C9">
        <w:rPr>
          <w:i/>
          <w:iCs/>
          <w:color w:val="auto"/>
        </w:rPr>
        <w:t xml:space="preserve">Pardon Chigwada and Others v The </w:t>
      </w:r>
      <w:r w:rsidR="007F68C9">
        <w:rPr>
          <w:i/>
          <w:iCs/>
          <w:color w:val="auto"/>
        </w:rPr>
        <w:t>S</w:t>
      </w:r>
      <w:r w:rsidR="00B92646" w:rsidRPr="007F68C9">
        <w:rPr>
          <w:i/>
          <w:iCs/>
          <w:color w:val="auto"/>
        </w:rPr>
        <w:t>tate</w:t>
      </w:r>
      <w:r w:rsidR="00B92646" w:rsidRPr="007F68C9">
        <w:rPr>
          <w:color w:val="auto"/>
        </w:rPr>
        <w:t xml:space="preserve"> 221/14</w:t>
      </w:r>
      <w:r w:rsidRPr="007F68C9">
        <w:rPr>
          <w:color w:val="auto"/>
        </w:rPr>
        <w:t xml:space="preserve"> </w:t>
      </w:r>
      <w:r w:rsidR="00690315" w:rsidRPr="007F68C9">
        <w:rPr>
          <w:color w:val="auto"/>
        </w:rPr>
        <w:t>are apposite.</w:t>
      </w:r>
    </w:p>
    <w:p w14:paraId="417B6849" w14:textId="77777777" w:rsidR="008A3309" w:rsidRPr="008A3309" w:rsidRDefault="00EE2AB6" w:rsidP="00BA55EF">
      <w:pPr>
        <w:pStyle w:val="Default"/>
        <w:numPr>
          <w:ilvl w:val="0"/>
          <w:numId w:val="1"/>
        </w:numPr>
        <w:spacing w:line="360" w:lineRule="auto"/>
        <w:jc w:val="both"/>
        <w:rPr>
          <w:color w:val="4A4A4A"/>
          <w:shd w:val="clear" w:color="auto" w:fill="FFFFFF"/>
        </w:rPr>
      </w:pPr>
      <w:r w:rsidRPr="007F68C9">
        <w:rPr>
          <w:color w:val="auto"/>
        </w:rPr>
        <w:t xml:space="preserve"> </w:t>
      </w:r>
      <w:r w:rsidR="00034A8D" w:rsidRPr="007F68C9">
        <w:rPr>
          <w:color w:val="auto"/>
          <w:shd w:val="clear" w:color="auto" w:fill="FFFFFF"/>
        </w:rPr>
        <w:t xml:space="preserve"> </w:t>
      </w:r>
      <w:r w:rsidRPr="007F68C9">
        <w:rPr>
          <w:color w:val="auto"/>
          <w:shd w:val="clear" w:color="auto" w:fill="FFFFFF"/>
        </w:rPr>
        <w:t>Where the appellate court determines that the court aquo</w:t>
      </w:r>
      <w:r w:rsidR="00034A8D" w:rsidRPr="007F68C9">
        <w:rPr>
          <w:color w:val="auto"/>
          <w:shd w:val="clear" w:color="auto" w:fill="FFFFFF"/>
        </w:rPr>
        <w:t xml:space="preserve"> properly considered the </w:t>
      </w:r>
      <w:r w:rsidRPr="007F68C9">
        <w:rPr>
          <w:color w:val="auto"/>
          <w:shd w:val="clear" w:color="auto" w:fill="FFFFFF"/>
        </w:rPr>
        <w:t xml:space="preserve">parties’ contestations and applied the legal principles which regulate bail appeals correctly it cannot interfere with the decision simply because it could have decided the </w:t>
      </w:r>
      <w:r w:rsidRPr="007F68C9">
        <w:rPr>
          <w:color w:val="auto"/>
          <w:shd w:val="clear" w:color="auto" w:fill="FFFFFF"/>
        </w:rPr>
        <w:lastRenderedPageBreak/>
        <w:t xml:space="preserve">application for bail differently. Interference is only permitted where a finding that for one reason or another the lower court misdirected itself. If that conclusion is arrived at, </w:t>
      </w:r>
      <w:r w:rsidR="00034A8D" w:rsidRPr="007F68C9">
        <w:rPr>
          <w:color w:val="auto"/>
          <w:shd w:val="clear" w:color="auto" w:fill="FFFFFF"/>
        </w:rPr>
        <w:t xml:space="preserve">then the appeal court </w:t>
      </w:r>
      <w:r w:rsidRPr="007F68C9">
        <w:rPr>
          <w:color w:val="auto"/>
          <w:shd w:val="clear" w:color="auto" w:fill="FFFFFF"/>
        </w:rPr>
        <w:t xml:space="preserve">has the freedom to </w:t>
      </w:r>
      <w:r w:rsidR="00794F6C" w:rsidRPr="007F68C9">
        <w:rPr>
          <w:color w:val="auto"/>
          <w:shd w:val="clear" w:color="auto" w:fill="FFFFFF"/>
        </w:rPr>
        <w:t>pry into</w:t>
      </w:r>
      <w:r w:rsidR="00034A8D" w:rsidRPr="007F68C9">
        <w:rPr>
          <w:color w:val="auto"/>
          <w:shd w:val="clear" w:color="auto" w:fill="FFFFFF"/>
        </w:rPr>
        <w:t xml:space="preserve"> the court </w:t>
      </w:r>
      <w:r w:rsidR="00034A8D" w:rsidRPr="007F68C9">
        <w:rPr>
          <w:i/>
          <w:iCs/>
          <w:color w:val="auto"/>
          <w:shd w:val="clear" w:color="auto" w:fill="FFFFFF"/>
        </w:rPr>
        <w:t>a quo</w:t>
      </w:r>
      <w:r w:rsidR="00034A8D" w:rsidRPr="007F68C9">
        <w:rPr>
          <w:color w:val="auto"/>
          <w:shd w:val="clear" w:color="auto" w:fill="FFFFFF"/>
        </w:rPr>
        <w:t>’s decision.</w:t>
      </w:r>
      <w:r w:rsidR="00794F6C" w:rsidRPr="007F68C9">
        <w:rPr>
          <w:color w:val="auto"/>
          <w:shd w:val="clear" w:color="auto" w:fill="FFFFFF"/>
        </w:rPr>
        <w:t xml:space="preserve"> This reasoning is squarely premised on the understanding that the decision to </w:t>
      </w:r>
      <w:r w:rsidR="00034A8D" w:rsidRPr="007F68C9">
        <w:rPr>
          <w:color w:val="auto"/>
          <w:shd w:val="clear" w:color="auto" w:fill="FFFFFF"/>
        </w:rPr>
        <w:t xml:space="preserve">grant or to </w:t>
      </w:r>
      <w:r w:rsidR="00794F6C" w:rsidRPr="007F68C9">
        <w:rPr>
          <w:color w:val="auto"/>
          <w:shd w:val="clear" w:color="auto" w:fill="FFFFFF"/>
        </w:rPr>
        <w:t xml:space="preserve">refuse to </w:t>
      </w:r>
      <w:r w:rsidR="00034A8D" w:rsidRPr="007F68C9">
        <w:rPr>
          <w:color w:val="auto"/>
          <w:shd w:val="clear" w:color="auto" w:fill="FFFFFF"/>
        </w:rPr>
        <w:t xml:space="preserve">grant bail </w:t>
      </w:r>
      <w:r w:rsidR="00794F6C" w:rsidRPr="007F68C9">
        <w:rPr>
          <w:color w:val="auto"/>
          <w:shd w:val="clear" w:color="auto" w:fill="FFFFFF"/>
        </w:rPr>
        <w:t xml:space="preserve">to a person accused of crime, </w:t>
      </w:r>
      <w:r w:rsidR="00034A8D" w:rsidRPr="007F68C9">
        <w:rPr>
          <w:color w:val="auto"/>
          <w:shd w:val="clear" w:color="auto" w:fill="FFFFFF"/>
        </w:rPr>
        <w:t xml:space="preserve">is a </w:t>
      </w:r>
      <w:r w:rsidR="00794F6C" w:rsidRPr="007F68C9">
        <w:rPr>
          <w:color w:val="auto"/>
          <w:shd w:val="clear" w:color="auto" w:fill="FFFFFF"/>
        </w:rPr>
        <w:t>judgement</w:t>
      </w:r>
      <w:r w:rsidR="00034A8D" w:rsidRPr="007F68C9">
        <w:rPr>
          <w:color w:val="auto"/>
          <w:shd w:val="clear" w:color="auto" w:fill="FFFFFF"/>
        </w:rPr>
        <w:t xml:space="preserve"> </w:t>
      </w:r>
      <w:r w:rsidR="00794F6C" w:rsidRPr="007F68C9">
        <w:rPr>
          <w:color w:val="auto"/>
          <w:shd w:val="clear" w:color="auto" w:fill="FFFFFF"/>
        </w:rPr>
        <w:t xml:space="preserve">of </w:t>
      </w:r>
      <w:r w:rsidR="00034A8D" w:rsidRPr="007F68C9">
        <w:rPr>
          <w:color w:val="auto"/>
          <w:shd w:val="clear" w:color="auto" w:fill="FFFFFF"/>
        </w:rPr>
        <w:t xml:space="preserve">the court </w:t>
      </w:r>
      <w:r w:rsidR="00794F6C" w:rsidRPr="007F68C9">
        <w:rPr>
          <w:color w:val="auto"/>
          <w:shd w:val="clear" w:color="auto" w:fill="FFFFFF"/>
        </w:rPr>
        <w:t xml:space="preserve">seized with </w:t>
      </w:r>
      <w:r w:rsidR="00034A8D" w:rsidRPr="007F68C9">
        <w:rPr>
          <w:color w:val="auto"/>
          <w:shd w:val="clear" w:color="auto" w:fill="FFFFFF"/>
        </w:rPr>
        <w:t xml:space="preserve">the application for bail. </w:t>
      </w:r>
      <w:r w:rsidR="00794F6C" w:rsidRPr="007F68C9">
        <w:rPr>
          <w:color w:val="auto"/>
          <w:shd w:val="clear" w:color="auto" w:fill="FFFFFF"/>
        </w:rPr>
        <w:t xml:space="preserve">In beseeching an appellate court to disturb the </w:t>
      </w:r>
      <w:r w:rsidR="00794F6C" w:rsidRPr="00BA55EF">
        <w:rPr>
          <w:shd w:val="clear" w:color="auto" w:fill="FFFFFF"/>
        </w:rPr>
        <w:t>decision of the lower court in bail appeals, an appellant therefore has the burden to prove the existence of a misdirection in that decision. It is not enough to simply state that there was such misdirection. I</w:t>
      </w:r>
      <w:r w:rsidR="00690315">
        <w:rPr>
          <w:shd w:val="clear" w:color="auto" w:fill="FFFFFF"/>
        </w:rPr>
        <w:t xml:space="preserve">f </w:t>
      </w:r>
      <w:r w:rsidR="00794F6C" w:rsidRPr="00BA55EF">
        <w:rPr>
          <w:shd w:val="clear" w:color="auto" w:fill="FFFFFF"/>
        </w:rPr>
        <w:t xml:space="preserve">the </w:t>
      </w:r>
      <w:r w:rsidR="00794F6C" w:rsidRPr="00BA55EF">
        <w:t>malfeasance</w:t>
      </w:r>
      <w:r w:rsidR="00794F6C" w:rsidRPr="00BA55EF">
        <w:rPr>
          <w:shd w:val="clear" w:color="auto" w:fill="FFFFFF"/>
        </w:rPr>
        <w:t xml:space="preserve"> </w:t>
      </w:r>
      <w:r w:rsidR="00690315">
        <w:rPr>
          <w:shd w:val="clear" w:color="auto" w:fill="FFFFFF"/>
        </w:rPr>
        <w:t xml:space="preserve">is not palpable it </w:t>
      </w:r>
      <w:r w:rsidR="00794F6C" w:rsidRPr="00BA55EF">
        <w:rPr>
          <w:shd w:val="clear" w:color="auto" w:fill="FFFFFF"/>
        </w:rPr>
        <w:t>must be demonstrated</w:t>
      </w:r>
      <w:r w:rsidR="00690315">
        <w:rPr>
          <w:shd w:val="clear" w:color="auto" w:fill="FFFFFF"/>
        </w:rPr>
        <w:t xml:space="preserve"> by the appellant</w:t>
      </w:r>
      <w:r w:rsidR="00794F6C" w:rsidRPr="00BA55EF">
        <w:rPr>
          <w:shd w:val="clear" w:color="auto" w:fill="FFFFFF"/>
        </w:rPr>
        <w:t xml:space="preserve">. </w:t>
      </w:r>
      <w:r w:rsidR="00690315">
        <w:rPr>
          <w:shd w:val="clear" w:color="auto" w:fill="FFFFFF"/>
        </w:rPr>
        <w:t xml:space="preserve">He/she must </w:t>
      </w:r>
      <w:r w:rsidR="00794F6C" w:rsidRPr="00BA55EF">
        <w:rPr>
          <w:shd w:val="clear" w:color="auto" w:fill="FFFFFF"/>
        </w:rPr>
        <w:t>clear</w:t>
      </w:r>
      <w:r w:rsidR="00690315">
        <w:rPr>
          <w:shd w:val="clear" w:color="auto" w:fill="FFFFFF"/>
        </w:rPr>
        <w:t>ly show</w:t>
      </w:r>
      <w:r w:rsidR="00794F6C" w:rsidRPr="00BA55EF">
        <w:rPr>
          <w:shd w:val="clear" w:color="auto" w:fill="FFFFFF"/>
        </w:rPr>
        <w:t xml:space="preserve"> that the lower court </w:t>
      </w:r>
      <w:r w:rsidR="00034A8D" w:rsidRPr="00BA55EF">
        <w:rPr>
          <w:shd w:val="clear" w:color="auto" w:fill="FFFFFF"/>
        </w:rPr>
        <w:t xml:space="preserve">exercised its discretion so unreasonably that its decision </w:t>
      </w:r>
      <w:r w:rsidR="00794F6C" w:rsidRPr="00BA55EF">
        <w:rPr>
          <w:shd w:val="clear" w:color="auto" w:fill="FFFFFF"/>
        </w:rPr>
        <w:t>cannot be allowed to stand</w:t>
      </w:r>
      <w:r w:rsidR="00034A8D" w:rsidRPr="00BA55EF">
        <w:rPr>
          <w:shd w:val="clear" w:color="auto" w:fill="FFFFFF"/>
        </w:rPr>
        <w:t xml:space="preserve">. </w:t>
      </w:r>
      <w:r w:rsidR="00690315">
        <w:rPr>
          <w:shd w:val="clear" w:color="auto" w:fill="FFFFFF"/>
        </w:rPr>
        <w:t xml:space="preserve">That requirement is not satisfied by unsubstantiated </w:t>
      </w:r>
      <w:r w:rsidR="00D57B86">
        <w:rPr>
          <w:shd w:val="clear" w:color="auto" w:fill="FFFFFF"/>
        </w:rPr>
        <w:t>allegations or merely because the court aquo did not arrive at a decision which the applicant expected.</w:t>
      </w:r>
    </w:p>
    <w:p w14:paraId="365C85FF" w14:textId="77777777" w:rsidR="008A3309" w:rsidRPr="00BA55EF" w:rsidRDefault="008A3309" w:rsidP="008A330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Regarding the exercise of discretion, in the fabled case of </w:t>
      </w:r>
      <w:r w:rsidRPr="00BA55EF">
        <w:rPr>
          <w:rFonts w:ascii="Times New Roman" w:hAnsi="Times New Roman" w:cs="Times New Roman"/>
          <w:i/>
          <w:sz w:val="24"/>
          <w:szCs w:val="24"/>
        </w:rPr>
        <w:t xml:space="preserve">Barros &amp; Anor </w:t>
      </w:r>
      <w:r w:rsidRPr="00BA55EF">
        <w:rPr>
          <w:rFonts w:ascii="Times New Roman" w:hAnsi="Times New Roman" w:cs="Times New Roman"/>
          <w:sz w:val="24"/>
          <w:szCs w:val="24"/>
        </w:rPr>
        <w:t>v</w:t>
      </w:r>
      <w:r w:rsidRPr="00BA55EF">
        <w:rPr>
          <w:rFonts w:ascii="Times New Roman" w:hAnsi="Times New Roman" w:cs="Times New Roman"/>
          <w:i/>
          <w:sz w:val="24"/>
          <w:szCs w:val="24"/>
        </w:rPr>
        <w:t xml:space="preserve"> Chimpondah </w:t>
      </w:r>
      <w:r w:rsidRPr="00BA55EF">
        <w:rPr>
          <w:rFonts w:ascii="Times New Roman" w:hAnsi="Times New Roman" w:cs="Times New Roman"/>
          <w:sz w:val="24"/>
          <w:szCs w:val="24"/>
        </w:rPr>
        <w:t>1999 (1) ZLR 58</w:t>
      </w:r>
      <w:r>
        <w:rPr>
          <w:rFonts w:ascii="Times New Roman" w:hAnsi="Times New Roman" w:cs="Times New Roman"/>
          <w:sz w:val="24"/>
          <w:szCs w:val="24"/>
        </w:rPr>
        <w:t xml:space="preserve"> (S)</w:t>
      </w:r>
      <w:r w:rsidRPr="00BA55EF">
        <w:rPr>
          <w:rFonts w:ascii="Times New Roman" w:hAnsi="Times New Roman" w:cs="Times New Roman"/>
          <w:i/>
          <w:sz w:val="24"/>
          <w:szCs w:val="24"/>
        </w:rPr>
        <w:t xml:space="preserve">, </w:t>
      </w:r>
      <w:r>
        <w:rPr>
          <w:rFonts w:ascii="Times New Roman" w:hAnsi="Times New Roman" w:cs="Times New Roman"/>
          <w:iCs/>
          <w:sz w:val="24"/>
          <w:szCs w:val="24"/>
        </w:rPr>
        <w:t>the Supreme Court also</w:t>
      </w:r>
      <w:r w:rsidRPr="00BA55EF">
        <w:rPr>
          <w:rFonts w:ascii="Times New Roman" w:hAnsi="Times New Roman" w:cs="Times New Roman"/>
          <w:sz w:val="24"/>
          <w:szCs w:val="24"/>
        </w:rPr>
        <w:t xml:space="preserve"> held that:</w:t>
      </w:r>
    </w:p>
    <w:p w14:paraId="39FFD0FD" w14:textId="77777777" w:rsidR="008A3309" w:rsidRPr="007F68C9" w:rsidRDefault="008A3309" w:rsidP="007F68C9">
      <w:pPr>
        <w:autoSpaceDE w:val="0"/>
        <w:autoSpaceDN w:val="0"/>
        <w:adjustRightInd w:val="0"/>
        <w:spacing w:after="0" w:line="240" w:lineRule="auto"/>
        <w:ind w:left="1418"/>
        <w:jc w:val="both"/>
        <w:rPr>
          <w:rFonts w:ascii="Times New Roman" w:hAnsi="Times New Roman"/>
        </w:rPr>
      </w:pPr>
      <w:r w:rsidRPr="007F68C9">
        <w:rPr>
          <w:rFonts w:ascii="Times New Roman" w:hAnsi="Times New Roman"/>
        </w:rPr>
        <w:t>“The exercise of …discretion may only be interfered with on limited grounds. It is not enough that the appellate court thinks that it would have taken a different course from the trial court. It must appear that some error had been made in exercising the discretion, such as acting on a wrong principle, allowing extraneous or irrelevant considerations to affect its decision, making mistakes of facts or not taking into account relevant considerations.”</w:t>
      </w:r>
    </w:p>
    <w:p w14:paraId="48A04988" w14:textId="3CB655A1" w:rsidR="00034A8D" w:rsidRPr="007F68C9" w:rsidRDefault="00D57B86" w:rsidP="008A3309">
      <w:pPr>
        <w:autoSpaceDE w:val="0"/>
        <w:autoSpaceDN w:val="0"/>
        <w:adjustRightInd w:val="0"/>
        <w:spacing w:after="0" w:line="240" w:lineRule="auto"/>
        <w:ind w:left="2160"/>
        <w:jc w:val="both"/>
        <w:rPr>
          <w:rFonts w:ascii="Times New Roman" w:hAnsi="Times New Roman"/>
        </w:rPr>
      </w:pPr>
      <w:r w:rsidRPr="007F68C9">
        <w:rPr>
          <w:shd w:val="clear" w:color="auto" w:fill="FFFFFF"/>
        </w:rPr>
        <w:t xml:space="preserve"> </w:t>
      </w:r>
    </w:p>
    <w:p w14:paraId="061DE7E4" w14:textId="4373ECD9" w:rsidR="00D57B86" w:rsidRDefault="00BA55EF" w:rsidP="007F68C9">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BA55EF">
        <w:rPr>
          <w:rFonts w:ascii="Times New Roman" w:hAnsi="Times New Roman" w:cs="Times New Roman"/>
          <w:sz w:val="24"/>
          <w:szCs w:val="24"/>
          <w:shd w:val="clear" w:color="auto" w:fill="FFFFFF"/>
        </w:rPr>
        <w:t xml:space="preserve">I must add that in instances where an appellant seeks to challenge a lower court’s findings of fact, the test </w:t>
      </w:r>
      <w:r w:rsidR="00D57B86">
        <w:rPr>
          <w:rFonts w:ascii="Times New Roman" w:hAnsi="Times New Roman" w:cs="Times New Roman"/>
          <w:sz w:val="24"/>
          <w:szCs w:val="24"/>
          <w:shd w:val="clear" w:color="auto" w:fill="FFFFFF"/>
        </w:rPr>
        <w:t xml:space="preserve">is even more onerous. It </w:t>
      </w:r>
      <w:r w:rsidRPr="00BA55EF">
        <w:rPr>
          <w:rFonts w:ascii="Times New Roman" w:hAnsi="Times New Roman" w:cs="Times New Roman"/>
          <w:sz w:val="24"/>
          <w:szCs w:val="24"/>
          <w:shd w:val="clear" w:color="auto" w:fill="FFFFFF"/>
        </w:rPr>
        <w:t xml:space="preserve">was laid by the Supreme Court in the case </w:t>
      </w:r>
      <w:r w:rsidRPr="00BA55EF">
        <w:rPr>
          <w:rFonts w:ascii="Times New Roman" w:hAnsi="Times New Roman" w:cs="Times New Roman"/>
          <w:sz w:val="24"/>
          <w:szCs w:val="24"/>
        </w:rPr>
        <w:t xml:space="preserve">of </w:t>
      </w:r>
      <w:r w:rsidR="00D57B86" w:rsidRPr="008A3309">
        <w:rPr>
          <w:rFonts w:ascii="Times New Roman" w:hAnsi="Times New Roman" w:cs="Times New Roman"/>
          <w:i/>
          <w:iCs/>
          <w:sz w:val="24"/>
          <w:szCs w:val="24"/>
        </w:rPr>
        <w:t>Metalon Gold v Golden Million (Pvt) Ltd</w:t>
      </w:r>
      <w:r w:rsidR="00D57B86">
        <w:rPr>
          <w:rFonts w:ascii="Times New Roman" w:hAnsi="Times New Roman" w:cs="Times New Roman"/>
          <w:sz w:val="24"/>
          <w:szCs w:val="24"/>
        </w:rPr>
        <w:t xml:space="preserve"> SC 12/2015 whereat p. 7 of the cyclostyled decision </w:t>
      </w:r>
      <w:r w:rsidR="007F68C9" w:rsidRPr="007F68C9">
        <w:rPr>
          <w:rFonts w:ascii="Times New Roman" w:hAnsi="Times New Roman" w:cs="Times New Roman"/>
          <w:smallCaps/>
          <w:sz w:val="24"/>
          <w:szCs w:val="24"/>
        </w:rPr>
        <w:t>Ziyambi Ja</w:t>
      </w:r>
      <w:r w:rsidR="007F68C9">
        <w:rPr>
          <w:rFonts w:ascii="Times New Roman" w:hAnsi="Times New Roman" w:cs="Times New Roman"/>
          <w:sz w:val="24"/>
          <w:szCs w:val="24"/>
        </w:rPr>
        <w:t xml:space="preserve"> </w:t>
      </w:r>
      <w:r w:rsidR="00D57B86">
        <w:rPr>
          <w:rFonts w:ascii="Times New Roman" w:hAnsi="Times New Roman" w:cs="Times New Roman"/>
          <w:sz w:val="24"/>
          <w:szCs w:val="24"/>
        </w:rPr>
        <w:t xml:space="preserve">quoting with approval from </w:t>
      </w:r>
      <w:r w:rsidR="008A3309">
        <w:rPr>
          <w:rFonts w:ascii="Times New Roman" w:hAnsi="Times New Roman" w:cs="Times New Roman"/>
          <w:sz w:val="24"/>
          <w:szCs w:val="24"/>
        </w:rPr>
        <w:t xml:space="preserve">celebrated authors </w:t>
      </w:r>
      <w:r w:rsidR="00D57B86">
        <w:rPr>
          <w:rFonts w:ascii="Times New Roman" w:hAnsi="Times New Roman" w:cs="Times New Roman"/>
          <w:sz w:val="24"/>
          <w:szCs w:val="24"/>
        </w:rPr>
        <w:t>Herbstein and Van Winsen:</w:t>
      </w:r>
      <w:r w:rsidR="00D57B86" w:rsidRPr="00D57B86">
        <w:t xml:space="preserve"> </w:t>
      </w:r>
      <w:r w:rsidR="00D57B86" w:rsidRPr="00D57B86">
        <w:rPr>
          <w:rFonts w:ascii="Times New Roman" w:hAnsi="Times New Roman" w:cs="Times New Roman"/>
          <w:i/>
          <w:iCs/>
          <w:sz w:val="24"/>
          <w:szCs w:val="24"/>
        </w:rPr>
        <w:t xml:space="preserve">The </w:t>
      </w:r>
      <w:r w:rsidR="008A3309">
        <w:rPr>
          <w:rFonts w:ascii="Times New Roman" w:hAnsi="Times New Roman" w:cs="Times New Roman"/>
          <w:i/>
          <w:iCs/>
          <w:sz w:val="24"/>
          <w:szCs w:val="24"/>
        </w:rPr>
        <w:t>C</w:t>
      </w:r>
      <w:r w:rsidR="00D57B86" w:rsidRPr="00D57B86">
        <w:rPr>
          <w:rFonts w:ascii="Times New Roman" w:hAnsi="Times New Roman" w:cs="Times New Roman"/>
          <w:i/>
          <w:iCs/>
          <w:sz w:val="24"/>
          <w:szCs w:val="24"/>
        </w:rPr>
        <w:t>ivil Practice of The Superior Courts</w:t>
      </w:r>
      <w:r w:rsidR="00D57B86">
        <w:t xml:space="preserve"> </w:t>
      </w:r>
      <w:r w:rsidR="00D57B86" w:rsidRPr="00D57B86">
        <w:rPr>
          <w:rFonts w:ascii="Times New Roman" w:hAnsi="Times New Roman" w:cs="Times New Roman"/>
          <w:sz w:val="24"/>
          <w:szCs w:val="24"/>
        </w:rPr>
        <w:t>at page 738-9; remarked that:</w:t>
      </w:r>
    </w:p>
    <w:p w14:paraId="39555683" w14:textId="77777777" w:rsidR="007F68C9" w:rsidRDefault="007F68C9" w:rsidP="007F68C9">
      <w:pPr>
        <w:pStyle w:val="ListParagraph"/>
        <w:autoSpaceDE w:val="0"/>
        <w:autoSpaceDN w:val="0"/>
        <w:adjustRightInd w:val="0"/>
        <w:spacing w:after="0" w:line="240" w:lineRule="auto"/>
        <w:jc w:val="both"/>
        <w:rPr>
          <w:rFonts w:ascii="Times New Roman" w:hAnsi="Times New Roman" w:cs="Times New Roman"/>
          <w:sz w:val="24"/>
          <w:szCs w:val="24"/>
        </w:rPr>
      </w:pPr>
    </w:p>
    <w:p w14:paraId="6F3CB02A" w14:textId="698E6935" w:rsidR="00D57B86" w:rsidRDefault="00D57B86" w:rsidP="00D57B86">
      <w:pPr>
        <w:pStyle w:val="ListParagraph"/>
        <w:spacing w:line="240" w:lineRule="auto"/>
        <w:ind w:left="1440"/>
        <w:jc w:val="both"/>
        <w:rPr>
          <w:rFonts w:ascii="Times New Roman" w:hAnsi="Times New Roman" w:cs="Times New Roman"/>
        </w:rPr>
      </w:pPr>
      <w:r w:rsidRPr="007F68C9">
        <w:rPr>
          <w:rFonts w:ascii="Times New Roman" w:hAnsi="Times New Roman" w:cs="Times New Roman"/>
        </w:rPr>
        <w:t>“It is settled that an appellate court will not interfere with factual findings made by a trial court unless those findings were grossly unreasonable in the sense that no reasonable tribunal applying its mind to the same facts would have arrived at the same conclusion; or that the court had taken leave of its senses; or, put otherwise, the decision is so outrageous in its defiance of logic that no sensible person who had applied his mind to the question to be decided could have arrived at it.”</w:t>
      </w:r>
    </w:p>
    <w:p w14:paraId="6F6FDD79" w14:textId="77777777" w:rsidR="007F68C9" w:rsidRPr="007F68C9" w:rsidRDefault="007F68C9" w:rsidP="007F68C9">
      <w:pPr>
        <w:pStyle w:val="ListParagraph"/>
        <w:spacing w:after="0" w:line="240" w:lineRule="auto"/>
        <w:ind w:left="1440"/>
        <w:jc w:val="both"/>
        <w:rPr>
          <w:rFonts w:ascii="Times New Roman" w:hAnsi="Times New Roman" w:cs="Times New Roman"/>
        </w:rPr>
      </w:pPr>
    </w:p>
    <w:p w14:paraId="09B53E99" w14:textId="5757FE9E" w:rsidR="00D57B86" w:rsidRDefault="008A3309" w:rsidP="00FE58D3">
      <w:pPr>
        <w:pStyle w:val="ListParagraph"/>
        <w:numPr>
          <w:ilvl w:val="0"/>
          <w:numId w:val="1"/>
        </w:numPr>
        <w:autoSpaceDE w:val="0"/>
        <w:autoSpaceDN w:val="0"/>
        <w:adjustRightInd w:val="0"/>
        <w:spacing w:after="0" w:line="360" w:lineRule="auto"/>
        <w:ind w:left="360"/>
        <w:jc w:val="both"/>
        <w:rPr>
          <w:rFonts w:ascii="Times New Roman" w:hAnsi="Times New Roman" w:cs="Times New Roman"/>
          <w:sz w:val="24"/>
          <w:szCs w:val="24"/>
        </w:rPr>
      </w:pPr>
      <w:r w:rsidRPr="008A3309">
        <w:rPr>
          <w:rFonts w:ascii="Times New Roman" w:hAnsi="Times New Roman" w:cs="Times New Roman"/>
          <w:sz w:val="24"/>
          <w:szCs w:val="24"/>
        </w:rPr>
        <w:t xml:space="preserve">To put it mildly, the language used to set the threshold required to overturn a trial court’s findings of fact is strong. </w:t>
      </w:r>
      <w:r w:rsidR="00FE58D3">
        <w:rPr>
          <w:rFonts w:ascii="Times New Roman" w:hAnsi="Times New Roman" w:cs="Times New Roman"/>
          <w:sz w:val="24"/>
          <w:szCs w:val="24"/>
        </w:rPr>
        <w:t xml:space="preserve">The phrases used to describe a find of fact that it is susceptible to interference include ‘grossly unreasonable; a court having taken leave of its senses; and outrageous in its defiance of logic.’ In </w:t>
      </w:r>
      <w:r w:rsidR="00FE58D3" w:rsidRPr="00FE58D3">
        <w:rPr>
          <w:rFonts w:ascii="Times New Roman" w:hAnsi="Times New Roman" w:cs="Times New Roman"/>
          <w:i/>
          <w:iCs/>
          <w:sz w:val="24"/>
          <w:szCs w:val="24"/>
        </w:rPr>
        <w:t xml:space="preserve">Georgias Katsimebris v Muchuchuti-Guwiriro </w:t>
      </w:r>
      <w:r w:rsidR="00FE58D3">
        <w:rPr>
          <w:rFonts w:ascii="Times New Roman" w:hAnsi="Times New Roman" w:cs="Times New Roman"/>
          <w:sz w:val="24"/>
          <w:szCs w:val="24"/>
        </w:rPr>
        <w:t xml:space="preserve">HH </w:t>
      </w:r>
      <w:r w:rsidR="00FE58D3">
        <w:rPr>
          <w:rFonts w:ascii="Times New Roman" w:hAnsi="Times New Roman" w:cs="Times New Roman"/>
          <w:sz w:val="24"/>
          <w:szCs w:val="24"/>
        </w:rPr>
        <w:lastRenderedPageBreak/>
        <w:t>187/24, I had occasion to deal with the meaning of the same principles and remarked as follows:</w:t>
      </w:r>
    </w:p>
    <w:p w14:paraId="71549F92" w14:textId="0C926761" w:rsidR="00FE58D3" w:rsidRPr="007F68C9" w:rsidRDefault="00FE58D3" w:rsidP="00FE58D3">
      <w:pPr>
        <w:pStyle w:val="ListParagraph"/>
        <w:autoSpaceDE w:val="0"/>
        <w:autoSpaceDN w:val="0"/>
        <w:adjustRightInd w:val="0"/>
        <w:spacing w:after="0" w:line="240" w:lineRule="auto"/>
        <w:ind w:left="1440"/>
        <w:jc w:val="both"/>
        <w:rPr>
          <w:rFonts w:ascii="Times New Roman" w:eastAsiaTheme="minorEastAsia" w:hAnsi="Times New Roman" w:cs="Times New Roman"/>
          <w:kern w:val="0"/>
          <w14:ligatures w14:val="none"/>
        </w:rPr>
      </w:pPr>
      <w:r w:rsidRPr="007F68C9">
        <w:rPr>
          <w:rFonts w:ascii="Times New Roman" w:eastAsiaTheme="minorEastAsia" w:hAnsi="Times New Roman" w:cs="Times New Roman"/>
          <w:kern w:val="0"/>
          <w14:ligatures w14:val="none"/>
        </w:rPr>
        <w:t>“The term grossly unreasonable means manifestly unreasonable. It means the decision is so outrageous in its defiance of logic that no court acting reasonably could have arrived at such a decision.  It connotes unreasoniblity or unacceptability to a very great extent, degree or intensity.</w:t>
      </w:r>
      <w:r w:rsidRPr="007F68C9">
        <w:rPr>
          <w:rFonts w:ascii="Times New Roman" w:eastAsiaTheme="minorEastAsia" w:hAnsi="Times New Roman" w:cs="Times New Roman"/>
          <w:kern w:val="0"/>
          <w:vertAlign w:val="superscript"/>
          <w14:ligatures w14:val="none"/>
        </w:rPr>
        <w:footnoteReference w:id="1"/>
      </w:r>
      <w:r w:rsidRPr="007F68C9">
        <w:rPr>
          <w:rFonts w:ascii="Times New Roman" w:eastAsiaTheme="minorEastAsia" w:hAnsi="Times New Roman" w:cs="Times New Roman"/>
          <w:kern w:val="0"/>
          <w14:ligatures w14:val="none"/>
        </w:rPr>
        <w:t xml:space="preserve"> The difference between gross unreasonableness and unreasonableness can be equated to that between gross negligence and ordinary negligence. The former is a higher standard or version of the latter. The same goes for gross irrationality. A grossly irrational decision is one that approximates it having been made in the absence of any intellect. It must have been made pursuant to the application of an arbitrary method of deciding cases akin to the throwing of lots. Where a court employs some semblance of reasoning based on acceptable thought processes the fact that the decision is ultimately wrong does not slap it with the ignominy which comes with gross unreasonableness…”</w:t>
      </w:r>
    </w:p>
    <w:p w14:paraId="1F7A540E" w14:textId="77777777" w:rsidR="00FE58D3" w:rsidRDefault="00FE58D3" w:rsidP="00FE58D3">
      <w:pPr>
        <w:autoSpaceDE w:val="0"/>
        <w:autoSpaceDN w:val="0"/>
        <w:adjustRightInd w:val="0"/>
        <w:spacing w:after="0" w:line="240" w:lineRule="auto"/>
        <w:jc w:val="both"/>
        <w:rPr>
          <w:rFonts w:ascii="Times New Roman" w:hAnsi="Times New Roman" w:cs="Times New Roman"/>
          <w:sz w:val="24"/>
          <w:szCs w:val="24"/>
        </w:rPr>
      </w:pPr>
    </w:p>
    <w:p w14:paraId="692453B0" w14:textId="7DC630A0" w:rsidR="00FE58D3" w:rsidRPr="00FE58D3" w:rsidRDefault="007F68C9" w:rsidP="00966AB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E58D3">
        <w:rPr>
          <w:rFonts w:ascii="Times New Roman" w:hAnsi="Times New Roman" w:cs="Times New Roman"/>
          <w:sz w:val="24"/>
          <w:szCs w:val="24"/>
        </w:rPr>
        <w:t>In addition to the above, to say a court ha</w:t>
      </w:r>
      <w:r w:rsidR="00966AB0">
        <w:rPr>
          <w:rFonts w:ascii="Times New Roman" w:hAnsi="Times New Roman" w:cs="Times New Roman"/>
          <w:sz w:val="24"/>
          <w:szCs w:val="24"/>
        </w:rPr>
        <w:t>d</w:t>
      </w:r>
      <w:r w:rsidR="00FE58D3">
        <w:rPr>
          <w:rFonts w:ascii="Times New Roman" w:hAnsi="Times New Roman" w:cs="Times New Roman"/>
          <w:sz w:val="24"/>
          <w:szCs w:val="24"/>
        </w:rPr>
        <w:t xml:space="preserve"> taken leave of its senses is simply euphemism that the judicial officer had lost his/her mind when he/she arrived at the decision complained of. A decision that defies logic is one which is equally senseless; is preposterous; is irrational or implausible. </w:t>
      </w:r>
      <w:r w:rsidR="00966AB0">
        <w:rPr>
          <w:rFonts w:ascii="Times New Roman" w:hAnsi="Times New Roman" w:cs="Times New Roman"/>
          <w:sz w:val="24"/>
          <w:szCs w:val="24"/>
        </w:rPr>
        <w:t xml:space="preserve">It is on the basis of such strong categorisation that I conclude that findings of fact by a trial court cannot be lightly overturned. </w:t>
      </w:r>
    </w:p>
    <w:p w14:paraId="3F1AF2E9" w14:textId="07E5BB13" w:rsidR="007F68C9" w:rsidRDefault="00B92646" w:rsidP="007F68C9">
      <w:pPr>
        <w:pStyle w:val="Default"/>
        <w:rPr>
          <w:b/>
          <w:bCs/>
          <w:color w:val="auto"/>
          <w:u w:val="single"/>
          <w:shd w:val="clear" w:color="auto" w:fill="FFFFFF"/>
        </w:rPr>
      </w:pPr>
      <w:r w:rsidRPr="007F68C9">
        <w:rPr>
          <w:b/>
          <w:bCs/>
          <w:color w:val="auto"/>
          <w:u w:val="single"/>
          <w:shd w:val="clear" w:color="auto" w:fill="FFFFFF"/>
        </w:rPr>
        <w:t>Application of the law to the facts</w:t>
      </w:r>
    </w:p>
    <w:p w14:paraId="13B595DE" w14:textId="77777777" w:rsidR="007F68C9" w:rsidRPr="007F68C9" w:rsidRDefault="007F68C9" w:rsidP="007F68C9">
      <w:pPr>
        <w:pStyle w:val="Default"/>
        <w:rPr>
          <w:b/>
          <w:bCs/>
          <w:color w:val="auto"/>
          <w:u w:val="single"/>
          <w:shd w:val="clear" w:color="auto" w:fill="FFFFFF"/>
        </w:rPr>
      </w:pPr>
    </w:p>
    <w:p w14:paraId="12E7DEEC" w14:textId="6E93F1CA" w:rsidR="00B92646" w:rsidRPr="00317AB0" w:rsidRDefault="00B92646" w:rsidP="00675D0A">
      <w:pPr>
        <w:pStyle w:val="ListParagraph"/>
        <w:numPr>
          <w:ilvl w:val="0"/>
          <w:numId w:val="1"/>
        </w:numPr>
        <w:spacing w:after="0" w:line="360" w:lineRule="auto"/>
        <w:jc w:val="both"/>
        <w:rPr>
          <w:rFonts w:ascii="Times New Roman" w:hAnsi="Times New Roman" w:cs="Times New Roman"/>
          <w:sz w:val="24"/>
          <w:szCs w:val="24"/>
        </w:rPr>
      </w:pPr>
      <w:r w:rsidRPr="00317AB0">
        <w:rPr>
          <w:rFonts w:ascii="Times New Roman" w:hAnsi="Times New Roman" w:cs="Times New Roman"/>
          <w:sz w:val="24"/>
          <w:szCs w:val="24"/>
        </w:rPr>
        <w:t>Having stated the law, I now turn to relate it to the facts of this case</w:t>
      </w:r>
      <w:r w:rsidR="00966AB0">
        <w:rPr>
          <w:rFonts w:ascii="Times New Roman" w:hAnsi="Times New Roman" w:cs="Times New Roman"/>
          <w:sz w:val="24"/>
          <w:szCs w:val="24"/>
        </w:rPr>
        <w:t xml:space="preserve"> and the grounds of appeal raised by the appellants</w:t>
      </w:r>
      <w:r w:rsidRPr="00317AB0">
        <w:rPr>
          <w:rFonts w:ascii="Times New Roman" w:hAnsi="Times New Roman" w:cs="Times New Roman"/>
          <w:sz w:val="24"/>
          <w:szCs w:val="24"/>
        </w:rPr>
        <w:t>.</w:t>
      </w:r>
    </w:p>
    <w:p w14:paraId="701DF52D" w14:textId="11E2DC78" w:rsidR="00B92646" w:rsidRPr="00BD3E3B" w:rsidRDefault="00B92646" w:rsidP="007F68C9">
      <w:pPr>
        <w:spacing w:after="0" w:line="360" w:lineRule="auto"/>
        <w:ind w:left="360" w:hanging="360"/>
        <w:jc w:val="both"/>
        <w:rPr>
          <w:rFonts w:ascii="Times New Roman" w:hAnsi="Times New Roman" w:cs="Times New Roman"/>
          <w:b/>
          <w:bCs/>
          <w:sz w:val="24"/>
          <w:szCs w:val="24"/>
          <w:u w:val="single"/>
        </w:rPr>
      </w:pPr>
      <w:r w:rsidRPr="00BD3E3B">
        <w:rPr>
          <w:rFonts w:ascii="Times New Roman" w:hAnsi="Times New Roman" w:cs="Times New Roman"/>
          <w:b/>
          <w:bCs/>
          <w:sz w:val="24"/>
          <w:szCs w:val="24"/>
          <w:u w:val="single"/>
        </w:rPr>
        <w:t xml:space="preserve">Grounds 1-3 </w:t>
      </w:r>
      <w:r w:rsidR="00D06F65" w:rsidRPr="00BD3E3B">
        <w:rPr>
          <w:rFonts w:ascii="Times New Roman" w:hAnsi="Times New Roman" w:cs="Times New Roman"/>
          <w:b/>
          <w:bCs/>
          <w:sz w:val="24"/>
          <w:szCs w:val="24"/>
          <w:u w:val="single"/>
        </w:rPr>
        <w:t xml:space="preserve"> </w:t>
      </w:r>
    </w:p>
    <w:p w14:paraId="2F27DDF4" w14:textId="7F08D263" w:rsidR="002369E4" w:rsidRDefault="007F68C9" w:rsidP="007F68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2646" w:rsidRPr="00317AB0">
        <w:rPr>
          <w:rFonts w:ascii="Times New Roman" w:hAnsi="Times New Roman" w:cs="Times New Roman"/>
          <w:sz w:val="24"/>
          <w:szCs w:val="24"/>
        </w:rPr>
        <w:t xml:space="preserve">In grounds 1-3, the appellants are hum and haw. They are irresolute. They accused the lower court, </w:t>
      </w:r>
      <w:r w:rsidR="00966AB0">
        <w:rPr>
          <w:rFonts w:ascii="Times New Roman" w:hAnsi="Times New Roman" w:cs="Times New Roman"/>
          <w:sz w:val="24"/>
          <w:szCs w:val="24"/>
        </w:rPr>
        <w:t xml:space="preserve">particularly </w:t>
      </w:r>
      <w:r w:rsidR="00B92646" w:rsidRPr="00317AB0">
        <w:rPr>
          <w:rFonts w:ascii="Times New Roman" w:hAnsi="Times New Roman" w:cs="Times New Roman"/>
          <w:sz w:val="24"/>
          <w:szCs w:val="24"/>
        </w:rPr>
        <w:t>in ground three, of having failed to treat the appellants uniformly</w:t>
      </w:r>
      <w:r w:rsidR="00966AB0">
        <w:rPr>
          <w:rFonts w:ascii="Times New Roman" w:hAnsi="Times New Roman" w:cs="Times New Roman"/>
          <w:sz w:val="24"/>
          <w:szCs w:val="24"/>
        </w:rPr>
        <w:t xml:space="preserve">. In </w:t>
      </w:r>
      <w:r w:rsidR="00B92646" w:rsidRPr="00317AB0">
        <w:rPr>
          <w:rFonts w:ascii="Times New Roman" w:hAnsi="Times New Roman" w:cs="Times New Roman"/>
          <w:sz w:val="24"/>
          <w:szCs w:val="24"/>
        </w:rPr>
        <w:t xml:space="preserve">the same </w:t>
      </w:r>
      <w:r w:rsidR="00966AB0">
        <w:rPr>
          <w:rFonts w:ascii="Times New Roman" w:hAnsi="Times New Roman" w:cs="Times New Roman"/>
          <w:sz w:val="24"/>
          <w:szCs w:val="24"/>
        </w:rPr>
        <w:t>breath, the appellants</w:t>
      </w:r>
      <w:r w:rsidR="00B92646" w:rsidRPr="00317AB0">
        <w:rPr>
          <w:rFonts w:ascii="Times New Roman" w:hAnsi="Times New Roman" w:cs="Times New Roman"/>
          <w:sz w:val="24"/>
          <w:szCs w:val="24"/>
        </w:rPr>
        <w:t xml:space="preserve"> refuse to </w:t>
      </w:r>
      <w:r w:rsidR="00317AB0" w:rsidRPr="00317AB0">
        <w:rPr>
          <w:rFonts w:ascii="Times New Roman" w:hAnsi="Times New Roman" w:cs="Times New Roman"/>
          <w:sz w:val="24"/>
          <w:szCs w:val="24"/>
        </w:rPr>
        <w:t>accept</w:t>
      </w:r>
      <w:r w:rsidR="00B92646" w:rsidRPr="00317AB0">
        <w:rPr>
          <w:rFonts w:ascii="Times New Roman" w:hAnsi="Times New Roman" w:cs="Times New Roman"/>
          <w:sz w:val="24"/>
          <w:szCs w:val="24"/>
        </w:rPr>
        <w:t xml:space="preserve"> that the circumstances of those accused who were granted bail may have been different f</w:t>
      </w:r>
      <w:r w:rsidR="00966AB0">
        <w:rPr>
          <w:rFonts w:ascii="Times New Roman" w:hAnsi="Times New Roman" w:cs="Times New Roman"/>
          <w:sz w:val="24"/>
          <w:szCs w:val="24"/>
        </w:rPr>
        <w:t>rom</w:t>
      </w:r>
      <w:r w:rsidR="00B92646" w:rsidRPr="00317AB0">
        <w:rPr>
          <w:rFonts w:ascii="Times New Roman" w:hAnsi="Times New Roman" w:cs="Times New Roman"/>
          <w:sz w:val="24"/>
          <w:szCs w:val="24"/>
        </w:rPr>
        <w:t xml:space="preserve"> the rest of the others. For example, I read from the record of proceedings </w:t>
      </w:r>
      <w:r w:rsidR="00966AB0">
        <w:rPr>
          <w:rFonts w:ascii="Times New Roman" w:hAnsi="Times New Roman" w:cs="Times New Roman"/>
          <w:sz w:val="24"/>
          <w:szCs w:val="24"/>
        </w:rPr>
        <w:t>and it was emphasised at the hearing</w:t>
      </w:r>
      <w:r w:rsidR="00B92646" w:rsidRPr="00317AB0">
        <w:rPr>
          <w:rFonts w:ascii="Times New Roman" w:hAnsi="Times New Roman" w:cs="Times New Roman"/>
          <w:sz w:val="24"/>
          <w:szCs w:val="24"/>
        </w:rPr>
        <w:t xml:space="preserve"> that accused number 56 named </w:t>
      </w:r>
      <w:r w:rsidR="00317AB0" w:rsidRPr="00317AB0">
        <w:rPr>
          <w:rFonts w:ascii="Times New Roman" w:hAnsi="Times New Roman" w:cs="Times New Roman"/>
          <w:i/>
          <w:iCs/>
          <w:sz w:val="24"/>
          <w:szCs w:val="24"/>
        </w:rPr>
        <w:t>Ndapuwa Shawn Timba</w:t>
      </w:r>
      <w:r w:rsidR="00317AB0" w:rsidRPr="00317AB0">
        <w:rPr>
          <w:rFonts w:ascii="Times New Roman" w:hAnsi="Times New Roman" w:cs="Times New Roman"/>
          <w:sz w:val="24"/>
          <w:szCs w:val="24"/>
        </w:rPr>
        <w:t xml:space="preserve"> had just visited a</w:t>
      </w:r>
      <w:r w:rsidR="00966AB0">
        <w:rPr>
          <w:rFonts w:ascii="Times New Roman" w:hAnsi="Times New Roman" w:cs="Times New Roman"/>
          <w:sz w:val="24"/>
          <w:szCs w:val="24"/>
        </w:rPr>
        <w:t>ppellant</w:t>
      </w:r>
      <w:r w:rsidR="00317AB0" w:rsidRPr="00317AB0">
        <w:rPr>
          <w:rFonts w:ascii="Times New Roman" w:hAnsi="Times New Roman" w:cs="Times New Roman"/>
          <w:sz w:val="24"/>
          <w:szCs w:val="24"/>
        </w:rPr>
        <w:t xml:space="preserve"> one who is his father to drop a gift he had bought for him</w:t>
      </w:r>
      <w:r w:rsidR="00300EBC">
        <w:rPr>
          <w:rFonts w:ascii="Times New Roman" w:hAnsi="Times New Roman" w:cs="Times New Roman"/>
          <w:sz w:val="24"/>
          <w:szCs w:val="24"/>
        </w:rPr>
        <w:t xml:space="preserve"> at the time that the police swooped on house number 6 Downie Road</w:t>
      </w:r>
      <w:r w:rsidR="00317AB0" w:rsidRPr="00317AB0">
        <w:rPr>
          <w:rFonts w:ascii="Times New Roman" w:hAnsi="Times New Roman" w:cs="Times New Roman"/>
          <w:sz w:val="24"/>
          <w:szCs w:val="24"/>
        </w:rPr>
        <w:t xml:space="preserve">. </w:t>
      </w:r>
      <w:r w:rsidR="00FA0D53">
        <w:rPr>
          <w:rFonts w:ascii="Times New Roman" w:hAnsi="Times New Roman" w:cs="Times New Roman"/>
          <w:sz w:val="24"/>
          <w:szCs w:val="24"/>
        </w:rPr>
        <w:t xml:space="preserve">On that basis, prosecution did not oppose his admission to bail. </w:t>
      </w:r>
      <w:r w:rsidR="00300EBC">
        <w:rPr>
          <w:rFonts w:ascii="Times New Roman" w:hAnsi="Times New Roman" w:cs="Times New Roman"/>
          <w:sz w:val="24"/>
          <w:szCs w:val="24"/>
        </w:rPr>
        <w:t xml:space="preserve">Counsel for appellant one then sought to argue that because both him and </w:t>
      </w:r>
      <w:r w:rsidR="00300EBC" w:rsidRPr="00300EBC">
        <w:rPr>
          <w:rFonts w:ascii="Times New Roman" w:hAnsi="Times New Roman" w:cs="Times New Roman"/>
          <w:i/>
          <w:iCs/>
          <w:sz w:val="24"/>
          <w:szCs w:val="24"/>
        </w:rPr>
        <w:t xml:space="preserve">Ndapuwa </w:t>
      </w:r>
      <w:r w:rsidR="00300EBC">
        <w:rPr>
          <w:rFonts w:ascii="Times New Roman" w:hAnsi="Times New Roman" w:cs="Times New Roman"/>
          <w:sz w:val="24"/>
          <w:szCs w:val="24"/>
        </w:rPr>
        <w:t xml:space="preserve">were a few houses away from the premises where the gathering was taking place, there was no reason to differentiate him from accused 56. </w:t>
      </w:r>
      <w:r w:rsidR="00966AB0">
        <w:rPr>
          <w:rFonts w:ascii="Times New Roman" w:hAnsi="Times New Roman" w:cs="Times New Roman"/>
          <w:sz w:val="24"/>
          <w:szCs w:val="24"/>
        </w:rPr>
        <w:t>But t</w:t>
      </w:r>
      <w:r w:rsidR="00300EBC">
        <w:rPr>
          <w:rFonts w:ascii="Times New Roman" w:hAnsi="Times New Roman" w:cs="Times New Roman"/>
          <w:sz w:val="24"/>
          <w:szCs w:val="24"/>
        </w:rPr>
        <w:t xml:space="preserve">hat argument is fallacious in my analysis. It is not denied that appellant number </w:t>
      </w:r>
      <w:r w:rsidR="00966AB0">
        <w:rPr>
          <w:rFonts w:ascii="Times New Roman" w:hAnsi="Times New Roman" w:cs="Times New Roman"/>
          <w:sz w:val="24"/>
          <w:szCs w:val="24"/>
        </w:rPr>
        <w:t>one</w:t>
      </w:r>
      <w:r w:rsidR="00300EBC">
        <w:rPr>
          <w:rFonts w:ascii="Times New Roman" w:hAnsi="Times New Roman" w:cs="Times New Roman"/>
          <w:sz w:val="24"/>
          <w:szCs w:val="24"/>
        </w:rPr>
        <w:t xml:space="preserve"> is the owner of house n</w:t>
      </w:r>
      <w:r w:rsidR="00966AB0">
        <w:rPr>
          <w:rFonts w:ascii="Times New Roman" w:hAnsi="Times New Roman" w:cs="Times New Roman"/>
          <w:sz w:val="24"/>
          <w:szCs w:val="24"/>
        </w:rPr>
        <w:t>umber</w:t>
      </w:r>
      <w:r w:rsidR="00300EBC">
        <w:rPr>
          <w:rFonts w:ascii="Times New Roman" w:hAnsi="Times New Roman" w:cs="Times New Roman"/>
          <w:sz w:val="24"/>
          <w:szCs w:val="24"/>
        </w:rPr>
        <w:t xml:space="preserve"> 6 Downie Road. If the gathering was taking place on his premises and in his house, </w:t>
      </w:r>
      <w:r w:rsidR="00300EBC">
        <w:rPr>
          <w:rFonts w:ascii="Times New Roman" w:hAnsi="Times New Roman" w:cs="Times New Roman"/>
          <w:sz w:val="24"/>
          <w:szCs w:val="24"/>
        </w:rPr>
        <w:lastRenderedPageBreak/>
        <w:t xml:space="preserve">it is not unreasonable to draw the conclusion that it was with his authority and under his sanction that the participants in the gathering had converged there. If it is admitted that </w:t>
      </w:r>
      <w:r w:rsidR="00300EBC" w:rsidRPr="00300EBC">
        <w:rPr>
          <w:rFonts w:ascii="Times New Roman" w:hAnsi="Times New Roman" w:cs="Times New Roman"/>
          <w:i/>
          <w:iCs/>
          <w:sz w:val="24"/>
          <w:szCs w:val="24"/>
        </w:rPr>
        <w:t>Ndapuwa</w:t>
      </w:r>
      <w:r w:rsidR="00300EBC">
        <w:rPr>
          <w:rFonts w:ascii="Times New Roman" w:hAnsi="Times New Roman" w:cs="Times New Roman"/>
          <w:sz w:val="24"/>
          <w:szCs w:val="24"/>
        </w:rPr>
        <w:t xml:space="preserve"> was only a visitor, then the appellants were required to show that his admission to bail at the exclusion of all the others was so outrageous in its defiance of logic that no court acting reasonably could have arrived at that decision. </w:t>
      </w:r>
      <w:r w:rsidR="00966AB0">
        <w:rPr>
          <w:rFonts w:ascii="Times New Roman" w:hAnsi="Times New Roman" w:cs="Times New Roman"/>
          <w:sz w:val="24"/>
          <w:szCs w:val="24"/>
        </w:rPr>
        <w:t xml:space="preserve">Mr. </w:t>
      </w:r>
      <w:r w:rsidR="00966AB0" w:rsidRPr="00966AB0">
        <w:rPr>
          <w:rFonts w:ascii="Times New Roman" w:hAnsi="Times New Roman" w:cs="Times New Roman"/>
          <w:i/>
          <w:iCs/>
          <w:sz w:val="24"/>
          <w:szCs w:val="24"/>
        </w:rPr>
        <w:t>Bhamu</w:t>
      </w:r>
      <w:r w:rsidR="00966AB0">
        <w:rPr>
          <w:rFonts w:ascii="Times New Roman" w:hAnsi="Times New Roman" w:cs="Times New Roman"/>
          <w:sz w:val="24"/>
          <w:szCs w:val="24"/>
        </w:rPr>
        <w:t xml:space="preserve"> for the appellants motivated the court to hold so principally because the court did not give reasons for isolating </w:t>
      </w:r>
      <w:r w:rsidR="00966AB0" w:rsidRPr="00966AB0">
        <w:rPr>
          <w:rFonts w:ascii="Times New Roman" w:hAnsi="Times New Roman" w:cs="Times New Roman"/>
          <w:i/>
          <w:iCs/>
          <w:sz w:val="24"/>
          <w:szCs w:val="24"/>
        </w:rPr>
        <w:t>Ndapuwa</w:t>
      </w:r>
      <w:r w:rsidR="00966AB0">
        <w:rPr>
          <w:rFonts w:ascii="Times New Roman" w:hAnsi="Times New Roman" w:cs="Times New Roman"/>
          <w:sz w:val="24"/>
          <w:szCs w:val="24"/>
        </w:rPr>
        <w:t xml:space="preserve"> from the rest of the group. I refuse to be so persuaded. Courts do not usually give reasons for orders that are obtained by consent. As such the omission by the court aquo to give </w:t>
      </w:r>
      <w:r w:rsidR="002369E4">
        <w:rPr>
          <w:rFonts w:ascii="Times New Roman" w:hAnsi="Times New Roman" w:cs="Times New Roman"/>
          <w:sz w:val="24"/>
          <w:szCs w:val="24"/>
        </w:rPr>
        <w:t>reasons</w:t>
      </w:r>
      <w:r w:rsidR="00966AB0">
        <w:rPr>
          <w:rFonts w:ascii="Times New Roman" w:hAnsi="Times New Roman" w:cs="Times New Roman"/>
          <w:sz w:val="24"/>
          <w:szCs w:val="24"/>
        </w:rPr>
        <w:t xml:space="preserve"> why it granted </w:t>
      </w:r>
      <w:r w:rsidR="00966AB0" w:rsidRPr="002369E4">
        <w:rPr>
          <w:rFonts w:ascii="Times New Roman" w:hAnsi="Times New Roman" w:cs="Times New Roman"/>
          <w:i/>
          <w:iCs/>
          <w:sz w:val="24"/>
          <w:szCs w:val="24"/>
        </w:rPr>
        <w:t>Ndapuwa</w:t>
      </w:r>
      <w:r w:rsidR="00966AB0">
        <w:rPr>
          <w:rFonts w:ascii="Times New Roman" w:hAnsi="Times New Roman" w:cs="Times New Roman"/>
          <w:sz w:val="24"/>
          <w:szCs w:val="24"/>
        </w:rPr>
        <w:t xml:space="preserve"> bail </w:t>
      </w:r>
      <w:r w:rsidR="002369E4">
        <w:rPr>
          <w:rFonts w:ascii="Times New Roman" w:hAnsi="Times New Roman" w:cs="Times New Roman"/>
          <w:sz w:val="24"/>
          <w:szCs w:val="24"/>
        </w:rPr>
        <w:t xml:space="preserve">is generally the norm. </w:t>
      </w:r>
      <w:r w:rsidR="00966AB0">
        <w:rPr>
          <w:rFonts w:ascii="Times New Roman" w:hAnsi="Times New Roman" w:cs="Times New Roman"/>
          <w:sz w:val="24"/>
          <w:szCs w:val="24"/>
        </w:rPr>
        <w:t xml:space="preserve"> </w:t>
      </w:r>
      <w:r w:rsidR="00FA0D53">
        <w:rPr>
          <w:rFonts w:ascii="Times New Roman" w:hAnsi="Times New Roman" w:cs="Times New Roman"/>
          <w:sz w:val="24"/>
          <w:szCs w:val="24"/>
        </w:rPr>
        <w:t xml:space="preserve">The same applied to accused 21. </w:t>
      </w:r>
      <w:r w:rsidR="002369E4">
        <w:rPr>
          <w:rFonts w:ascii="Times New Roman" w:hAnsi="Times New Roman" w:cs="Times New Roman"/>
          <w:sz w:val="24"/>
          <w:szCs w:val="24"/>
        </w:rPr>
        <w:t>That he is a juvenile was brought to the attention of the court. Prosecution once again consented to his admission to bail. Without going to town about it, it was obvious to everyone involved that it was his</w:t>
      </w:r>
      <w:r w:rsidR="00FA0D53">
        <w:rPr>
          <w:rFonts w:ascii="Times New Roman" w:hAnsi="Times New Roman" w:cs="Times New Roman"/>
          <w:sz w:val="24"/>
          <w:szCs w:val="24"/>
        </w:rPr>
        <w:t xml:space="preserve"> status as a minor </w:t>
      </w:r>
      <w:r w:rsidR="002369E4">
        <w:rPr>
          <w:rFonts w:ascii="Times New Roman" w:hAnsi="Times New Roman" w:cs="Times New Roman"/>
          <w:sz w:val="24"/>
          <w:szCs w:val="24"/>
        </w:rPr>
        <w:t xml:space="preserve">which </w:t>
      </w:r>
      <w:r w:rsidR="00FA0D53">
        <w:rPr>
          <w:rFonts w:ascii="Times New Roman" w:hAnsi="Times New Roman" w:cs="Times New Roman"/>
          <w:sz w:val="24"/>
          <w:szCs w:val="24"/>
        </w:rPr>
        <w:t xml:space="preserve">entitled him to be distinguished from the rest of his accomplices. </w:t>
      </w:r>
      <w:r w:rsidR="002369E4">
        <w:rPr>
          <w:rFonts w:ascii="Times New Roman" w:hAnsi="Times New Roman" w:cs="Times New Roman"/>
          <w:sz w:val="24"/>
          <w:szCs w:val="24"/>
        </w:rPr>
        <w:t>I fail to make sense why a whole ground of appeal had to be based on that. It is futile to argue that the unreasonableness of the court aquo’s decision is illustrated by its refusal to grant appellant 43 Maxwell Sunday bail because</w:t>
      </w:r>
      <w:r w:rsidR="00FA0D53">
        <w:rPr>
          <w:rFonts w:ascii="Times New Roman" w:hAnsi="Times New Roman" w:cs="Times New Roman"/>
          <w:sz w:val="24"/>
          <w:szCs w:val="24"/>
        </w:rPr>
        <w:t xml:space="preserve"> a perusal of the record of proceedings shows that if indeed appellant 43 is a minor, then either the court aquo was misled or it wasn’t given enough information to that effect</w:t>
      </w:r>
      <w:r w:rsidR="002369E4">
        <w:rPr>
          <w:rFonts w:ascii="Times New Roman" w:hAnsi="Times New Roman" w:cs="Times New Roman"/>
          <w:sz w:val="24"/>
          <w:szCs w:val="24"/>
        </w:rPr>
        <w:t>. On the papers</w:t>
      </w:r>
      <w:r w:rsidR="00FA0D53">
        <w:rPr>
          <w:rFonts w:ascii="Times New Roman" w:hAnsi="Times New Roman" w:cs="Times New Roman"/>
          <w:sz w:val="24"/>
          <w:szCs w:val="24"/>
        </w:rPr>
        <w:t xml:space="preserve"> that appellant’s age is depicted as eighteen (18) years. </w:t>
      </w:r>
      <w:r w:rsidR="00C80D58">
        <w:rPr>
          <w:rFonts w:ascii="Times New Roman" w:hAnsi="Times New Roman" w:cs="Times New Roman"/>
          <w:sz w:val="24"/>
          <w:szCs w:val="24"/>
        </w:rPr>
        <w:t xml:space="preserve">The culpability of counsel is equally depicted in the present appeal. The draft for the order sought for Maxwell Sunday paints him as an adult. He is required to pay the same amount of bail and abide by the same conditions that his adult accomplices may be subjected to. There is nothing beneficial which can be obtained from alleging misdirection on the part of a court when it is apparent that an accused and his legal practitioner did not play their role. Counsel had an image of Maxwell’s birth certificate in his phone. He only showed it to the state’s representative at the hearing of this appeal. </w:t>
      </w:r>
      <w:r w:rsidR="00FA0D53">
        <w:rPr>
          <w:rFonts w:ascii="Times New Roman" w:hAnsi="Times New Roman" w:cs="Times New Roman"/>
          <w:sz w:val="24"/>
          <w:szCs w:val="24"/>
        </w:rPr>
        <w:t xml:space="preserve"> The court had every right to treat </w:t>
      </w:r>
      <w:r w:rsidR="00C80D58">
        <w:rPr>
          <w:rFonts w:ascii="Times New Roman" w:hAnsi="Times New Roman" w:cs="Times New Roman"/>
          <w:sz w:val="24"/>
          <w:szCs w:val="24"/>
        </w:rPr>
        <w:t>Maxwell</w:t>
      </w:r>
      <w:r w:rsidR="00FA0D53">
        <w:rPr>
          <w:rFonts w:ascii="Times New Roman" w:hAnsi="Times New Roman" w:cs="Times New Roman"/>
          <w:sz w:val="24"/>
          <w:szCs w:val="24"/>
        </w:rPr>
        <w:t xml:space="preserve"> as a major</w:t>
      </w:r>
      <w:r w:rsidR="00C80D58">
        <w:rPr>
          <w:rFonts w:ascii="Times New Roman" w:hAnsi="Times New Roman" w:cs="Times New Roman"/>
          <w:sz w:val="24"/>
          <w:szCs w:val="24"/>
        </w:rPr>
        <w:t xml:space="preserve"> because the papers said he was</w:t>
      </w:r>
      <w:r w:rsidR="00FA0D53">
        <w:rPr>
          <w:rFonts w:ascii="Times New Roman" w:hAnsi="Times New Roman" w:cs="Times New Roman"/>
          <w:sz w:val="24"/>
          <w:szCs w:val="24"/>
        </w:rPr>
        <w:t xml:space="preserve">. </w:t>
      </w:r>
      <w:r w:rsidR="002369E4">
        <w:rPr>
          <w:rFonts w:ascii="Times New Roman" w:hAnsi="Times New Roman" w:cs="Times New Roman"/>
          <w:sz w:val="24"/>
          <w:szCs w:val="24"/>
        </w:rPr>
        <w:t>Th</w:t>
      </w:r>
      <w:r w:rsidR="00C80D58">
        <w:rPr>
          <w:rFonts w:ascii="Times New Roman" w:hAnsi="Times New Roman" w:cs="Times New Roman"/>
          <w:sz w:val="24"/>
          <w:szCs w:val="24"/>
        </w:rPr>
        <w:t xml:space="preserve">ere </w:t>
      </w:r>
      <w:r w:rsidR="002369E4">
        <w:rPr>
          <w:rFonts w:ascii="Times New Roman" w:hAnsi="Times New Roman" w:cs="Times New Roman"/>
          <w:sz w:val="24"/>
          <w:szCs w:val="24"/>
        </w:rPr>
        <w:t>is</w:t>
      </w:r>
      <w:r w:rsidR="00FA0D53">
        <w:rPr>
          <w:rFonts w:ascii="Times New Roman" w:hAnsi="Times New Roman" w:cs="Times New Roman"/>
          <w:sz w:val="24"/>
          <w:szCs w:val="24"/>
        </w:rPr>
        <w:t xml:space="preserve"> therefore </w:t>
      </w:r>
      <w:r w:rsidR="002369E4">
        <w:rPr>
          <w:rFonts w:ascii="Times New Roman" w:hAnsi="Times New Roman" w:cs="Times New Roman"/>
          <w:sz w:val="24"/>
          <w:szCs w:val="24"/>
        </w:rPr>
        <w:t>no</w:t>
      </w:r>
      <w:r w:rsidR="00FA0D53">
        <w:rPr>
          <w:rFonts w:ascii="Times New Roman" w:hAnsi="Times New Roman" w:cs="Times New Roman"/>
          <w:sz w:val="24"/>
          <w:szCs w:val="24"/>
        </w:rPr>
        <w:t xml:space="preserve"> basis for alleging misdirection by the lower court. </w:t>
      </w:r>
      <w:r w:rsidR="005E63E5">
        <w:rPr>
          <w:rFonts w:ascii="Times New Roman" w:hAnsi="Times New Roman" w:cs="Times New Roman"/>
          <w:sz w:val="24"/>
          <w:szCs w:val="24"/>
        </w:rPr>
        <w:t xml:space="preserve">That </w:t>
      </w:r>
      <w:r w:rsidR="00C80D58">
        <w:rPr>
          <w:rFonts w:ascii="Times New Roman" w:hAnsi="Times New Roman" w:cs="Times New Roman"/>
          <w:sz w:val="24"/>
          <w:szCs w:val="24"/>
        </w:rPr>
        <w:t>Maxwell</w:t>
      </w:r>
      <w:r w:rsidR="005E63E5">
        <w:rPr>
          <w:rFonts w:ascii="Times New Roman" w:hAnsi="Times New Roman" w:cs="Times New Roman"/>
          <w:sz w:val="24"/>
          <w:szCs w:val="24"/>
        </w:rPr>
        <w:t xml:space="preserve"> was not admitted to bail was an inadvertence not attributable to the court alone but also to counsel for not properly bringing the issue of Maxwell Sunday’s minority to the attention of the court. </w:t>
      </w:r>
    </w:p>
    <w:p w14:paraId="09E477A9" w14:textId="513BC800" w:rsidR="000A7FC0" w:rsidRDefault="000A7FC0" w:rsidP="000A7FC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law, at least none was brought to the attention of the trial magistrate which requires a special treatment of an applicant with disability </w:t>
      </w:r>
      <w:r w:rsidR="00E725D8">
        <w:rPr>
          <w:rFonts w:ascii="Times New Roman" w:hAnsi="Times New Roman" w:cs="Times New Roman"/>
          <w:sz w:val="24"/>
          <w:szCs w:val="24"/>
        </w:rPr>
        <w:t xml:space="preserve">in an application for bail. The offence with which the appellants were charged is not one that required the exertion of physical toil such that it could be held to have been physically impossible for the </w:t>
      </w:r>
      <w:r w:rsidR="00E71CCB">
        <w:rPr>
          <w:rFonts w:ascii="Times New Roman" w:hAnsi="Times New Roman" w:cs="Times New Roman"/>
          <w:sz w:val="24"/>
          <w:szCs w:val="24"/>
        </w:rPr>
        <w:t xml:space="preserve">appellant with the stated disabilities. </w:t>
      </w:r>
    </w:p>
    <w:p w14:paraId="3B63F864" w14:textId="760F624B" w:rsidR="007D2FC3" w:rsidRPr="000A7FC0" w:rsidRDefault="007D2FC3" w:rsidP="000A7FC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one of the appellants was just a tenant at number 6 Downie Road is akin to saying that there is no reasonable suspicion that she committed the offence or participated in its commission. It amounts to contesting the facts alleged at remand stage. I have already said they were not controverted at all. If that is the case the court aquo was right not to differentiate her from the rest of the appellants. </w:t>
      </w:r>
    </w:p>
    <w:p w14:paraId="72774BF7" w14:textId="53F17F15" w:rsidR="00FA0D53" w:rsidRPr="002369E4" w:rsidRDefault="002369E4" w:rsidP="007F68C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besides stating the personal circumstances of the appellants such as their ages, sex, residential addresses and employment statuses I did not see any particularisation of their circumstances in relation to the commission of the offence. The bail application was made </w:t>
      </w:r>
      <w:r w:rsidR="002D7FA6">
        <w:rPr>
          <w:rFonts w:ascii="Times New Roman" w:hAnsi="Times New Roman" w:cs="Times New Roman"/>
          <w:sz w:val="24"/>
          <w:szCs w:val="24"/>
        </w:rPr>
        <w:t>as a block. It related to all of them. The court aquo took it as such. Where in the charge prosecution alleges connivance or acting in common purpose</w:t>
      </w:r>
      <w:r w:rsidR="007D2FC3">
        <w:rPr>
          <w:rFonts w:ascii="Times New Roman" w:hAnsi="Times New Roman" w:cs="Times New Roman"/>
          <w:sz w:val="24"/>
          <w:szCs w:val="24"/>
        </w:rPr>
        <w:t xml:space="preserve"> </w:t>
      </w:r>
      <w:r w:rsidR="002D7FA6">
        <w:rPr>
          <w:rFonts w:ascii="Times New Roman" w:hAnsi="Times New Roman" w:cs="Times New Roman"/>
          <w:sz w:val="24"/>
          <w:szCs w:val="24"/>
        </w:rPr>
        <w:t>as co-principal perpetrators in terms of s 196 A of the Criminal Law (Codification and Reform) Act [</w:t>
      </w:r>
      <w:r w:rsidR="002D7FA6" w:rsidRPr="007F68C9">
        <w:rPr>
          <w:rFonts w:ascii="Times New Roman" w:hAnsi="Times New Roman" w:cs="Times New Roman"/>
          <w:i/>
          <w:iCs/>
          <w:sz w:val="24"/>
          <w:szCs w:val="24"/>
        </w:rPr>
        <w:t>Chapter 9:23</w:t>
      </w:r>
      <w:r w:rsidR="002D7FA6">
        <w:rPr>
          <w:rFonts w:ascii="Times New Roman" w:hAnsi="Times New Roman" w:cs="Times New Roman"/>
          <w:sz w:val="24"/>
          <w:szCs w:val="24"/>
        </w:rPr>
        <w:t>] (The Code), an adverse averment by the prosecutor against one accused necessarily affects the other. In my view, g</w:t>
      </w:r>
      <w:r w:rsidR="00FA0D53" w:rsidRPr="002369E4">
        <w:rPr>
          <w:rFonts w:ascii="Times New Roman" w:hAnsi="Times New Roman" w:cs="Times New Roman"/>
          <w:sz w:val="24"/>
          <w:szCs w:val="24"/>
        </w:rPr>
        <w:t>rounds of appeal 1-3 are therefore clearly meritless.</w:t>
      </w:r>
    </w:p>
    <w:p w14:paraId="2E9474E5" w14:textId="028221AB" w:rsidR="00B92646" w:rsidRPr="00BD3E3B" w:rsidRDefault="00FA0D53" w:rsidP="007F68C9">
      <w:pPr>
        <w:pStyle w:val="ListParagraph"/>
        <w:numPr>
          <w:ilvl w:val="0"/>
          <w:numId w:val="1"/>
        </w:numPr>
        <w:spacing w:after="0" w:line="360" w:lineRule="auto"/>
        <w:jc w:val="both"/>
        <w:rPr>
          <w:rFonts w:ascii="Times New Roman" w:hAnsi="Times New Roman" w:cs="Times New Roman"/>
          <w:b/>
          <w:bCs/>
          <w:sz w:val="24"/>
          <w:szCs w:val="24"/>
          <w:u w:val="single"/>
        </w:rPr>
      </w:pPr>
      <w:r w:rsidRPr="00BD3E3B">
        <w:rPr>
          <w:rFonts w:ascii="Times New Roman" w:hAnsi="Times New Roman" w:cs="Times New Roman"/>
          <w:b/>
          <w:bCs/>
          <w:sz w:val="24"/>
          <w:szCs w:val="24"/>
          <w:u w:val="single"/>
        </w:rPr>
        <w:t>Ground 4- seriousness of the crime</w:t>
      </w:r>
      <w:r w:rsidR="00372CBD" w:rsidRPr="00BD3E3B">
        <w:rPr>
          <w:rFonts w:ascii="Times New Roman" w:hAnsi="Times New Roman" w:cs="Times New Roman"/>
          <w:b/>
          <w:bCs/>
          <w:sz w:val="24"/>
          <w:szCs w:val="24"/>
          <w:u w:val="single"/>
        </w:rPr>
        <w:t xml:space="preserve"> and the severity of the penalty</w:t>
      </w:r>
    </w:p>
    <w:p w14:paraId="29AF0B77" w14:textId="5CB64DB4" w:rsidR="003C4A79" w:rsidRDefault="007F68C9" w:rsidP="00372CB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372CBD">
        <w:rPr>
          <w:rFonts w:ascii="Times New Roman" w:hAnsi="Times New Roman" w:cs="Times New Roman"/>
          <w:sz w:val="24"/>
          <w:szCs w:val="24"/>
        </w:rPr>
        <w:t xml:space="preserve">The attack on the court </w:t>
      </w:r>
      <w:r w:rsidR="00372CBD" w:rsidRPr="00372CBD">
        <w:rPr>
          <w:rFonts w:ascii="Times New Roman" w:hAnsi="Times New Roman" w:cs="Times New Roman"/>
          <w:i/>
          <w:iCs/>
          <w:sz w:val="24"/>
          <w:szCs w:val="24"/>
        </w:rPr>
        <w:t>a</w:t>
      </w:r>
      <w:r>
        <w:rPr>
          <w:rFonts w:ascii="Times New Roman" w:hAnsi="Times New Roman" w:cs="Times New Roman"/>
          <w:i/>
          <w:iCs/>
          <w:sz w:val="24"/>
          <w:szCs w:val="24"/>
        </w:rPr>
        <w:t xml:space="preserve"> </w:t>
      </w:r>
      <w:r w:rsidR="00372CBD" w:rsidRPr="00372CBD">
        <w:rPr>
          <w:rFonts w:ascii="Times New Roman" w:hAnsi="Times New Roman" w:cs="Times New Roman"/>
          <w:i/>
          <w:iCs/>
          <w:sz w:val="24"/>
          <w:szCs w:val="24"/>
        </w:rPr>
        <w:t>quo’s</w:t>
      </w:r>
      <w:r w:rsidR="00372CBD">
        <w:rPr>
          <w:rFonts w:ascii="Times New Roman" w:hAnsi="Times New Roman" w:cs="Times New Roman"/>
          <w:sz w:val="24"/>
          <w:szCs w:val="24"/>
        </w:rPr>
        <w:t xml:space="preserve"> finding is that it relied on this aspect without relating it to the relative strength of the state’s case. I however find that pillory insupportable. In her ruling at p. 128 of the appeal record the magistrate remarked that:</w:t>
      </w:r>
    </w:p>
    <w:p w14:paraId="11E26305" w14:textId="418CC731" w:rsidR="00F47402" w:rsidRPr="007F68C9" w:rsidRDefault="003C4A79" w:rsidP="00F47402">
      <w:pPr>
        <w:spacing w:line="240" w:lineRule="auto"/>
        <w:ind w:left="720"/>
        <w:jc w:val="both"/>
        <w:rPr>
          <w:rFonts w:ascii="Times New Roman" w:hAnsi="Times New Roman" w:cs="Times New Roman"/>
        </w:rPr>
      </w:pPr>
      <w:r w:rsidRPr="007F68C9">
        <w:rPr>
          <w:rFonts w:ascii="Times New Roman" w:hAnsi="Times New Roman" w:cs="Times New Roman"/>
        </w:rPr>
        <w:t>“The D.</w:t>
      </w:r>
      <w:r w:rsidR="007F68C9" w:rsidRPr="007F68C9">
        <w:rPr>
          <w:rFonts w:ascii="Times New Roman" w:hAnsi="Times New Roman" w:cs="Times New Roman"/>
        </w:rPr>
        <w:t>A. I’s</w:t>
      </w:r>
      <w:r w:rsidRPr="007F68C9">
        <w:rPr>
          <w:rFonts w:ascii="Times New Roman" w:hAnsi="Times New Roman" w:cs="Times New Roman"/>
        </w:rPr>
        <w:t xml:space="preserve"> evidence in opposing … was that the accused are facing a serious offence. It should be noted that it is a factor to be considered in conjunction with other factors. In</w:t>
      </w:r>
      <w:r w:rsidR="00F47402" w:rsidRPr="007F68C9">
        <w:rPr>
          <w:rFonts w:ascii="Times New Roman" w:hAnsi="Times New Roman" w:cs="Times New Roman"/>
        </w:rPr>
        <w:t xml:space="preserve"> </w:t>
      </w:r>
      <w:r w:rsidRPr="007F68C9">
        <w:rPr>
          <w:rFonts w:ascii="Times New Roman" w:hAnsi="Times New Roman" w:cs="Times New Roman"/>
          <w:i/>
          <w:iCs/>
        </w:rPr>
        <w:t>S v Madzokere and Ors</w:t>
      </w:r>
      <w:r w:rsidRPr="007F68C9">
        <w:rPr>
          <w:rFonts w:ascii="Times New Roman" w:hAnsi="Times New Roman" w:cs="Times New Roman"/>
        </w:rPr>
        <w:t xml:space="preserve"> 2011(2) </w:t>
      </w:r>
      <w:r w:rsidR="007F68C9" w:rsidRPr="007F68C9">
        <w:rPr>
          <w:rFonts w:ascii="Times New Roman" w:hAnsi="Times New Roman" w:cs="Times New Roman"/>
        </w:rPr>
        <w:t>ZLR,</w:t>
      </w:r>
      <w:r w:rsidRPr="007F68C9">
        <w:rPr>
          <w:rFonts w:ascii="Times New Roman" w:hAnsi="Times New Roman" w:cs="Times New Roman"/>
        </w:rPr>
        <w:t xml:space="preserve"> the </w:t>
      </w:r>
      <w:r w:rsidR="00F47402" w:rsidRPr="007F68C9">
        <w:rPr>
          <w:rFonts w:ascii="Times New Roman" w:hAnsi="Times New Roman" w:cs="Times New Roman"/>
        </w:rPr>
        <w:t>court said</w:t>
      </w:r>
      <w:r w:rsidRPr="007F68C9">
        <w:rPr>
          <w:rFonts w:ascii="Times New Roman" w:hAnsi="Times New Roman" w:cs="Times New Roman"/>
        </w:rPr>
        <w:t xml:space="preserve"> that </w:t>
      </w:r>
      <w:r w:rsidR="00F47402" w:rsidRPr="007F68C9">
        <w:rPr>
          <w:rFonts w:ascii="Times New Roman" w:hAnsi="Times New Roman" w:cs="Times New Roman"/>
        </w:rPr>
        <w:t>seriousness</w:t>
      </w:r>
      <w:r w:rsidRPr="007F68C9">
        <w:rPr>
          <w:rFonts w:ascii="Times New Roman" w:hAnsi="Times New Roman" w:cs="Times New Roman"/>
        </w:rPr>
        <w:t xml:space="preserve"> of an offence is not on its own enough to deny accused </w:t>
      </w:r>
      <w:r w:rsidR="00F47402" w:rsidRPr="007F68C9">
        <w:rPr>
          <w:rFonts w:ascii="Times New Roman" w:hAnsi="Times New Roman" w:cs="Times New Roman"/>
        </w:rPr>
        <w:t>person bail</w:t>
      </w:r>
      <w:r w:rsidRPr="007F68C9">
        <w:rPr>
          <w:rFonts w:ascii="Times New Roman" w:hAnsi="Times New Roman" w:cs="Times New Roman"/>
        </w:rPr>
        <w:t xml:space="preserve">. In </w:t>
      </w:r>
      <w:r w:rsidRPr="007F68C9">
        <w:rPr>
          <w:rFonts w:ascii="Times New Roman" w:hAnsi="Times New Roman" w:cs="Times New Roman"/>
          <w:i/>
          <w:iCs/>
        </w:rPr>
        <w:t>S v Biti</w:t>
      </w:r>
      <w:r w:rsidRPr="007F68C9">
        <w:rPr>
          <w:rFonts w:ascii="Times New Roman" w:hAnsi="Times New Roman" w:cs="Times New Roman"/>
        </w:rPr>
        <w:t xml:space="preserve"> (supra) the </w:t>
      </w:r>
      <w:r w:rsidR="00F47402" w:rsidRPr="007F68C9">
        <w:rPr>
          <w:rFonts w:ascii="Times New Roman" w:hAnsi="Times New Roman" w:cs="Times New Roman"/>
        </w:rPr>
        <w:t>court also</w:t>
      </w:r>
      <w:r w:rsidRPr="007F68C9">
        <w:rPr>
          <w:rFonts w:ascii="Times New Roman" w:hAnsi="Times New Roman" w:cs="Times New Roman"/>
        </w:rPr>
        <w:t xml:space="preserve"> highlighted that seriousness of the offence charged and the likelihood of a severe sentence being imposed upon conviction are factors that </w:t>
      </w:r>
      <w:r w:rsidR="00F47402" w:rsidRPr="007F68C9">
        <w:rPr>
          <w:rFonts w:ascii="Times New Roman" w:hAnsi="Times New Roman" w:cs="Times New Roman"/>
        </w:rPr>
        <w:t xml:space="preserve">the court must take into account as an inducement for abscondment. </w:t>
      </w:r>
      <w:r w:rsidRPr="007F68C9">
        <w:rPr>
          <w:rFonts w:ascii="Times New Roman" w:hAnsi="Times New Roman" w:cs="Times New Roman"/>
        </w:rPr>
        <w:t xml:space="preserve"> In </w:t>
      </w:r>
      <w:r w:rsidRPr="007F68C9">
        <w:rPr>
          <w:rFonts w:ascii="Times New Roman" w:hAnsi="Times New Roman" w:cs="Times New Roman"/>
          <w:i/>
          <w:iCs/>
        </w:rPr>
        <w:t>casu</w:t>
      </w:r>
      <w:r w:rsidR="00F47402" w:rsidRPr="007F68C9">
        <w:rPr>
          <w:rFonts w:ascii="Times New Roman" w:hAnsi="Times New Roman" w:cs="Times New Roman"/>
          <w:i/>
          <w:iCs/>
        </w:rPr>
        <w:t xml:space="preserve">, </w:t>
      </w:r>
      <w:r w:rsidR="00F47402" w:rsidRPr="007F68C9">
        <w:rPr>
          <w:rFonts w:ascii="Times New Roman" w:hAnsi="Times New Roman" w:cs="Times New Roman"/>
        </w:rPr>
        <w:t xml:space="preserve">the court will consider this factor </w:t>
      </w:r>
      <w:r w:rsidR="00F47402" w:rsidRPr="007F68C9">
        <w:rPr>
          <w:rFonts w:ascii="Times New Roman" w:hAnsi="Times New Roman" w:cs="Times New Roman"/>
          <w:b/>
          <w:bCs/>
        </w:rPr>
        <w:t>together</w:t>
      </w:r>
      <w:r w:rsidR="00F47402" w:rsidRPr="007F68C9">
        <w:rPr>
          <w:rFonts w:ascii="Times New Roman" w:hAnsi="Times New Roman" w:cs="Times New Roman"/>
        </w:rPr>
        <w:t xml:space="preserve"> with others discussed in this ruling to reach its determination…”</w:t>
      </w:r>
      <w:r w:rsidRPr="007F68C9">
        <w:rPr>
          <w:rFonts w:ascii="Times New Roman" w:hAnsi="Times New Roman" w:cs="Times New Roman"/>
          <w:i/>
          <w:iCs/>
        </w:rPr>
        <w:t xml:space="preserve"> </w:t>
      </w:r>
      <w:r w:rsidR="00372CBD" w:rsidRPr="007F68C9">
        <w:rPr>
          <w:rFonts w:ascii="Times New Roman" w:hAnsi="Times New Roman" w:cs="Times New Roman"/>
          <w:i/>
          <w:iCs/>
        </w:rPr>
        <w:t xml:space="preserve"> </w:t>
      </w:r>
      <w:r w:rsidR="002D7FA6" w:rsidRPr="007F68C9">
        <w:rPr>
          <w:rFonts w:ascii="Times New Roman" w:hAnsi="Times New Roman" w:cs="Times New Roman"/>
        </w:rPr>
        <w:t>(bolding is for emphasis)</w:t>
      </w:r>
    </w:p>
    <w:p w14:paraId="0D5ECC70" w14:textId="6D09C27F" w:rsidR="00C56802" w:rsidRDefault="00F47402" w:rsidP="007F68C9">
      <w:pPr>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sidRPr="00F47402">
        <w:rPr>
          <w:rFonts w:ascii="Times New Roman" w:hAnsi="Times New Roman" w:cs="Times New Roman"/>
          <w:sz w:val="24"/>
          <w:szCs w:val="24"/>
        </w:rPr>
        <w:t>To me,</w:t>
      </w:r>
      <w:r w:rsidRPr="00F47402">
        <w:rPr>
          <w:rFonts w:ascii="Times New Roman" w:hAnsi="Times New Roman" w:cs="Times New Roman"/>
          <w:i/>
          <w:iCs/>
          <w:sz w:val="24"/>
          <w:szCs w:val="24"/>
        </w:rPr>
        <w:t xml:space="preserve"> </w:t>
      </w:r>
      <w:r w:rsidRPr="00F47402">
        <w:rPr>
          <w:rFonts w:ascii="Times New Roman" w:hAnsi="Times New Roman" w:cs="Times New Roman"/>
          <w:sz w:val="24"/>
          <w:szCs w:val="24"/>
        </w:rPr>
        <w:t>the</w:t>
      </w:r>
      <w:r>
        <w:rPr>
          <w:rFonts w:ascii="Times New Roman" w:hAnsi="Times New Roman" w:cs="Times New Roman"/>
          <w:sz w:val="24"/>
          <w:szCs w:val="24"/>
        </w:rPr>
        <w:t xml:space="preserve"> above remarks clearly illustrate that the learned magistrate warned herself of the need not to take the seriousness of the offence in isolation.</w:t>
      </w:r>
      <w:r w:rsidR="002D7FA6">
        <w:rPr>
          <w:rFonts w:ascii="Times New Roman" w:hAnsi="Times New Roman" w:cs="Times New Roman"/>
          <w:sz w:val="24"/>
          <w:szCs w:val="24"/>
        </w:rPr>
        <w:t xml:space="preserve"> S</w:t>
      </w:r>
      <w:r>
        <w:rPr>
          <w:rFonts w:ascii="Times New Roman" w:hAnsi="Times New Roman" w:cs="Times New Roman"/>
          <w:sz w:val="24"/>
          <w:szCs w:val="24"/>
        </w:rPr>
        <w:t>he singled out the considerations which must be conjoined to the gravity of the crime charged</w:t>
      </w:r>
      <w:r w:rsidR="002D7FA6">
        <w:rPr>
          <w:rFonts w:ascii="Times New Roman" w:hAnsi="Times New Roman" w:cs="Times New Roman"/>
          <w:sz w:val="24"/>
          <w:szCs w:val="24"/>
        </w:rPr>
        <w:t>. Once she did so, she proceeded</w:t>
      </w:r>
      <w:r>
        <w:rPr>
          <w:rFonts w:ascii="Times New Roman" w:hAnsi="Times New Roman" w:cs="Times New Roman"/>
          <w:sz w:val="24"/>
          <w:szCs w:val="24"/>
        </w:rPr>
        <w:t xml:space="preserve"> on the correct legal principle. </w:t>
      </w:r>
      <w:r w:rsidR="00352570">
        <w:rPr>
          <w:rFonts w:ascii="Times New Roman" w:hAnsi="Times New Roman" w:cs="Times New Roman"/>
          <w:sz w:val="24"/>
          <w:szCs w:val="24"/>
        </w:rPr>
        <w:t xml:space="preserve">Later in her ruling at p. 131 of the appeal record, she stated that in her view the law allowed the admission of evidence on oath including hearsay evidence in bail applications. She </w:t>
      </w:r>
      <w:r w:rsidR="002D7FA6">
        <w:rPr>
          <w:rFonts w:ascii="Times New Roman" w:hAnsi="Times New Roman" w:cs="Times New Roman"/>
          <w:sz w:val="24"/>
          <w:szCs w:val="24"/>
        </w:rPr>
        <w:t xml:space="preserve">then </w:t>
      </w:r>
      <w:r w:rsidR="00352570">
        <w:rPr>
          <w:rFonts w:ascii="Times New Roman" w:hAnsi="Times New Roman" w:cs="Times New Roman"/>
          <w:sz w:val="24"/>
          <w:szCs w:val="24"/>
        </w:rPr>
        <w:t xml:space="preserve">concluded that the accused persons had been positively identified and arrested at the crime scene committing the offence. She further stated that there were several witnesses who had been lined up to testify. To </w:t>
      </w:r>
      <w:r w:rsidR="00C56802">
        <w:rPr>
          <w:rFonts w:ascii="Times New Roman" w:hAnsi="Times New Roman" w:cs="Times New Roman"/>
          <w:sz w:val="24"/>
          <w:szCs w:val="24"/>
        </w:rPr>
        <w:t xml:space="preserve">baldly </w:t>
      </w:r>
      <w:r w:rsidR="00352570">
        <w:rPr>
          <w:rFonts w:ascii="Times New Roman" w:hAnsi="Times New Roman" w:cs="Times New Roman"/>
          <w:sz w:val="24"/>
          <w:szCs w:val="24"/>
        </w:rPr>
        <w:t xml:space="preserve">allege like the appellants did, that she did not consider the strength of the state’s case is therefore inaccurate. </w:t>
      </w:r>
      <w:r w:rsidR="00C56802">
        <w:rPr>
          <w:rFonts w:ascii="Times New Roman" w:hAnsi="Times New Roman" w:cs="Times New Roman"/>
          <w:sz w:val="24"/>
          <w:szCs w:val="24"/>
        </w:rPr>
        <w:t xml:space="preserve">The appellants appear to have </w:t>
      </w:r>
      <w:r w:rsidR="00C56802">
        <w:rPr>
          <w:rFonts w:ascii="Times New Roman" w:hAnsi="Times New Roman" w:cs="Times New Roman"/>
          <w:sz w:val="24"/>
          <w:szCs w:val="24"/>
        </w:rPr>
        <w:lastRenderedPageBreak/>
        <w:t>fallen into the error of assuming that the burden of showing the misdirection is discharged by a bare allegation.</w:t>
      </w:r>
      <w:r w:rsidR="00352570">
        <w:rPr>
          <w:rFonts w:ascii="Times New Roman" w:hAnsi="Times New Roman" w:cs="Times New Roman"/>
          <w:sz w:val="24"/>
          <w:szCs w:val="24"/>
        </w:rPr>
        <w:t xml:space="preserve"> </w:t>
      </w:r>
      <w:r w:rsidR="00C56802">
        <w:rPr>
          <w:rFonts w:ascii="Times New Roman" w:hAnsi="Times New Roman" w:cs="Times New Roman"/>
          <w:sz w:val="24"/>
          <w:szCs w:val="24"/>
        </w:rPr>
        <w:t xml:space="preserve">The magistrate’s </w:t>
      </w:r>
      <w:r w:rsidR="00352570">
        <w:rPr>
          <w:rFonts w:ascii="Times New Roman" w:hAnsi="Times New Roman" w:cs="Times New Roman"/>
          <w:sz w:val="24"/>
          <w:szCs w:val="24"/>
        </w:rPr>
        <w:t xml:space="preserve">conclusions were supported by the facts and allegations stated in the form 242 which the appellants chose to agree with at remand stage. </w:t>
      </w:r>
      <w:r w:rsidR="002D7FA6">
        <w:rPr>
          <w:rFonts w:ascii="Times New Roman" w:hAnsi="Times New Roman" w:cs="Times New Roman"/>
          <w:sz w:val="24"/>
          <w:szCs w:val="24"/>
        </w:rPr>
        <w:t xml:space="preserve">Once I again, sight must not be lost that where appellants are tied to the commission of the offence through the doctrine of common purpose, it is not necessary to particularise what each and every one of them did. Their association in </w:t>
      </w:r>
      <w:r w:rsidR="0011715B">
        <w:rPr>
          <w:rFonts w:ascii="Times New Roman" w:hAnsi="Times New Roman" w:cs="Times New Roman"/>
          <w:sz w:val="24"/>
          <w:szCs w:val="24"/>
        </w:rPr>
        <w:t>the</w:t>
      </w:r>
      <w:r w:rsidR="002D7FA6">
        <w:rPr>
          <w:rFonts w:ascii="Times New Roman" w:hAnsi="Times New Roman" w:cs="Times New Roman"/>
          <w:sz w:val="24"/>
          <w:szCs w:val="24"/>
        </w:rPr>
        <w:t xml:space="preserve"> common </w:t>
      </w:r>
      <w:r w:rsidR="0011715B">
        <w:rPr>
          <w:rFonts w:ascii="Times New Roman" w:hAnsi="Times New Roman" w:cs="Times New Roman"/>
          <w:sz w:val="24"/>
          <w:szCs w:val="24"/>
        </w:rPr>
        <w:t>enterprise</w:t>
      </w:r>
      <w:r w:rsidR="002D7FA6">
        <w:rPr>
          <w:rFonts w:ascii="Times New Roman" w:hAnsi="Times New Roman" w:cs="Times New Roman"/>
          <w:sz w:val="24"/>
          <w:szCs w:val="24"/>
        </w:rPr>
        <w:t xml:space="preserve"> suffices. </w:t>
      </w:r>
      <w:r w:rsidR="00352570">
        <w:rPr>
          <w:rFonts w:ascii="Times New Roman" w:hAnsi="Times New Roman" w:cs="Times New Roman"/>
          <w:sz w:val="24"/>
          <w:szCs w:val="24"/>
        </w:rPr>
        <w:t xml:space="preserve"> </w:t>
      </w:r>
    </w:p>
    <w:p w14:paraId="4560BCD1" w14:textId="79A096C8" w:rsidR="00372CBD" w:rsidRPr="007F68C9" w:rsidRDefault="00C56802" w:rsidP="007F68C9">
      <w:pPr>
        <w:pStyle w:val="ListParagraph"/>
        <w:numPr>
          <w:ilvl w:val="0"/>
          <w:numId w:val="1"/>
        </w:numPr>
        <w:spacing w:after="0" w:line="360" w:lineRule="auto"/>
        <w:jc w:val="both"/>
        <w:rPr>
          <w:rFonts w:ascii="Times New Roman" w:hAnsi="Times New Roman" w:cs="Times New Roman"/>
          <w:b/>
          <w:bCs/>
          <w:sz w:val="24"/>
          <w:szCs w:val="24"/>
          <w:u w:val="single"/>
        </w:rPr>
      </w:pPr>
      <w:r w:rsidRPr="007F68C9">
        <w:rPr>
          <w:rFonts w:ascii="Times New Roman" w:hAnsi="Times New Roman" w:cs="Times New Roman"/>
          <w:b/>
          <w:bCs/>
          <w:sz w:val="24"/>
          <w:szCs w:val="24"/>
          <w:u w:val="single"/>
        </w:rPr>
        <w:t xml:space="preserve">Ground v- that the court concluded that the appellants will interfere with witnesses/investigations without regard to factors stated in s 117 (3) (c) </w:t>
      </w:r>
      <w:r w:rsidR="00F47402" w:rsidRPr="007F68C9">
        <w:rPr>
          <w:rFonts w:ascii="Times New Roman" w:hAnsi="Times New Roman" w:cs="Times New Roman"/>
          <w:b/>
          <w:bCs/>
          <w:sz w:val="24"/>
          <w:szCs w:val="24"/>
          <w:u w:val="single"/>
        </w:rPr>
        <w:t xml:space="preserve"> </w:t>
      </w:r>
    </w:p>
    <w:p w14:paraId="4F8F39E7" w14:textId="077B1F10" w:rsidR="00B92646" w:rsidRPr="00BD3E3B" w:rsidRDefault="007F68C9" w:rsidP="007F68C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1715B">
        <w:rPr>
          <w:rFonts w:ascii="Times New Roman" w:hAnsi="Times New Roman" w:cs="Times New Roman"/>
          <w:sz w:val="24"/>
          <w:szCs w:val="24"/>
        </w:rPr>
        <w:t>I</w:t>
      </w:r>
      <w:r w:rsidR="00C56802" w:rsidRPr="00BD3E3B">
        <w:rPr>
          <w:rFonts w:ascii="Times New Roman" w:hAnsi="Times New Roman" w:cs="Times New Roman"/>
          <w:sz w:val="24"/>
          <w:szCs w:val="24"/>
        </w:rPr>
        <w:t xml:space="preserve">t is </w:t>
      </w:r>
      <w:r w:rsidR="0011715B">
        <w:rPr>
          <w:rFonts w:ascii="Times New Roman" w:hAnsi="Times New Roman" w:cs="Times New Roman"/>
          <w:sz w:val="24"/>
          <w:szCs w:val="24"/>
        </w:rPr>
        <w:t xml:space="preserve">equally </w:t>
      </w:r>
      <w:r w:rsidR="00C56802" w:rsidRPr="00BD3E3B">
        <w:rPr>
          <w:rFonts w:ascii="Times New Roman" w:hAnsi="Times New Roman" w:cs="Times New Roman"/>
          <w:sz w:val="24"/>
          <w:szCs w:val="24"/>
        </w:rPr>
        <w:t>difficult to comprehend the basis of the appellants’ contention</w:t>
      </w:r>
      <w:r w:rsidR="00B67646" w:rsidRPr="00BD3E3B">
        <w:rPr>
          <w:rFonts w:ascii="Times New Roman" w:hAnsi="Times New Roman" w:cs="Times New Roman"/>
          <w:sz w:val="24"/>
          <w:szCs w:val="24"/>
        </w:rPr>
        <w:t xml:space="preserve"> </w:t>
      </w:r>
      <w:r w:rsidR="00C56802" w:rsidRPr="00BD3E3B">
        <w:rPr>
          <w:rFonts w:ascii="Times New Roman" w:hAnsi="Times New Roman" w:cs="Times New Roman"/>
          <w:sz w:val="24"/>
          <w:szCs w:val="24"/>
        </w:rPr>
        <w:t>in</w:t>
      </w:r>
      <w:r w:rsidR="00B67646" w:rsidRPr="00BD3E3B">
        <w:rPr>
          <w:rFonts w:ascii="Times New Roman" w:hAnsi="Times New Roman" w:cs="Times New Roman"/>
          <w:sz w:val="24"/>
          <w:szCs w:val="24"/>
        </w:rPr>
        <w:t xml:space="preserve"> </w:t>
      </w:r>
      <w:r w:rsidR="00C56802" w:rsidRPr="00BD3E3B">
        <w:rPr>
          <w:rFonts w:ascii="Times New Roman" w:hAnsi="Times New Roman" w:cs="Times New Roman"/>
          <w:sz w:val="24"/>
          <w:szCs w:val="24"/>
        </w:rPr>
        <w:t xml:space="preserve">this regard. </w:t>
      </w:r>
      <w:r w:rsidR="0011715B">
        <w:rPr>
          <w:rFonts w:ascii="Times New Roman" w:hAnsi="Times New Roman" w:cs="Times New Roman"/>
          <w:sz w:val="24"/>
          <w:szCs w:val="24"/>
        </w:rPr>
        <w:t xml:space="preserve">At the hearing Mr </w:t>
      </w:r>
      <w:r w:rsidR="0011715B" w:rsidRPr="0011715B">
        <w:rPr>
          <w:rFonts w:ascii="Times New Roman" w:hAnsi="Times New Roman" w:cs="Times New Roman"/>
          <w:i/>
          <w:iCs/>
          <w:sz w:val="24"/>
          <w:szCs w:val="24"/>
        </w:rPr>
        <w:t xml:space="preserve">Jiti </w:t>
      </w:r>
      <w:r w:rsidR="0011715B">
        <w:rPr>
          <w:rFonts w:ascii="Times New Roman" w:hAnsi="Times New Roman" w:cs="Times New Roman"/>
          <w:sz w:val="24"/>
          <w:szCs w:val="24"/>
        </w:rPr>
        <w:t xml:space="preserve">for the appellants argued that none of them had capacity to interfere with witnesses or investigations. He also argued that in any case, the witnesses were not known to any of the applicants. Further he said that the court aquo should have known that where it is alleged that an accused committed an offence with an accomplice, that accomplice must be mentioned by name. </w:t>
      </w:r>
      <w:r w:rsidR="00C56802" w:rsidRPr="00BD3E3B">
        <w:rPr>
          <w:rFonts w:ascii="Times New Roman" w:hAnsi="Times New Roman" w:cs="Times New Roman"/>
          <w:sz w:val="24"/>
          <w:szCs w:val="24"/>
        </w:rPr>
        <w:t xml:space="preserve">I am tempted </w:t>
      </w:r>
      <w:r w:rsidR="0011715B">
        <w:rPr>
          <w:rFonts w:ascii="Times New Roman" w:hAnsi="Times New Roman" w:cs="Times New Roman"/>
          <w:sz w:val="24"/>
          <w:szCs w:val="24"/>
        </w:rPr>
        <w:t xml:space="preserve">once more </w:t>
      </w:r>
      <w:r w:rsidR="00B67646" w:rsidRPr="00BD3E3B">
        <w:rPr>
          <w:rFonts w:ascii="Times New Roman" w:hAnsi="Times New Roman" w:cs="Times New Roman"/>
          <w:sz w:val="24"/>
          <w:szCs w:val="24"/>
        </w:rPr>
        <w:t>to refer to the magistrate’s ruling. Regarding this ground she specifically stated as follows:</w:t>
      </w:r>
    </w:p>
    <w:p w14:paraId="26C84CB9" w14:textId="3BB184F6" w:rsidR="00B67646" w:rsidRPr="007F68C9" w:rsidRDefault="00B67646" w:rsidP="007F68C9">
      <w:pPr>
        <w:spacing w:line="240" w:lineRule="auto"/>
        <w:ind w:left="709"/>
        <w:jc w:val="both"/>
        <w:rPr>
          <w:rFonts w:ascii="Times New Roman" w:hAnsi="Times New Roman" w:cs="Times New Roman"/>
        </w:rPr>
      </w:pPr>
      <w:r w:rsidRPr="007F68C9">
        <w:rPr>
          <w:rFonts w:ascii="Times New Roman" w:hAnsi="Times New Roman" w:cs="Times New Roman"/>
        </w:rPr>
        <w:t>“In considering whether this ground has been established the court must take into account whether the accused are familiar with state witnesses and whether the investigation is completed. the court should also consider whether any state witnesses’ statements have been made. The argument that there is likelihood of interference with witnesses and evidence will obviously be strong if the state can show that there have already been attempts to do so.”</w:t>
      </w:r>
    </w:p>
    <w:p w14:paraId="21B3D9B8" w14:textId="5B77AF15" w:rsidR="009155CD" w:rsidRPr="00BD3E3B" w:rsidRDefault="007F68C9" w:rsidP="007F68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67646" w:rsidRPr="00BD3E3B">
        <w:rPr>
          <w:rFonts w:ascii="Times New Roman" w:hAnsi="Times New Roman" w:cs="Times New Roman"/>
          <w:sz w:val="24"/>
          <w:szCs w:val="24"/>
        </w:rPr>
        <w:t xml:space="preserve">The </w:t>
      </w:r>
      <w:r w:rsidR="0011715B" w:rsidRPr="00BD3E3B">
        <w:rPr>
          <w:rFonts w:ascii="Times New Roman" w:hAnsi="Times New Roman" w:cs="Times New Roman"/>
          <w:sz w:val="24"/>
          <w:szCs w:val="24"/>
        </w:rPr>
        <w:t>magistrate</w:t>
      </w:r>
      <w:r w:rsidR="0011715B">
        <w:rPr>
          <w:rFonts w:ascii="Times New Roman" w:hAnsi="Times New Roman" w:cs="Times New Roman"/>
          <w:sz w:val="24"/>
          <w:szCs w:val="24"/>
        </w:rPr>
        <w:t xml:space="preserve">’s reasoning as shown above is not difficult to follow. It is logical. </w:t>
      </w:r>
      <w:r w:rsidR="00B67646" w:rsidRPr="00BD3E3B">
        <w:rPr>
          <w:rFonts w:ascii="Times New Roman" w:hAnsi="Times New Roman" w:cs="Times New Roman"/>
          <w:sz w:val="24"/>
          <w:szCs w:val="24"/>
        </w:rPr>
        <w:t xml:space="preserve"> </w:t>
      </w:r>
      <w:r w:rsidR="0011715B">
        <w:rPr>
          <w:rFonts w:ascii="Times New Roman" w:hAnsi="Times New Roman" w:cs="Times New Roman"/>
          <w:sz w:val="24"/>
          <w:szCs w:val="24"/>
        </w:rPr>
        <w:t xml:space="preserve">She </w:t>
      </w:r>
      <w:r w:rsidR="00B67646" w:rsidRPr="00BD3E3B">
        <w:rPr>
          <w:rFonts w:ascii="Times New Roman" w:hAnsi="Times New Roman" w:cs="Times New Roman"/>
          <w:sz w:val="24"/>
          <w:szCs w:val="24"/>
        </w:rPr>
        <w:t xml:space="preserve">then linked the above considerations to the facts before her. She concluded that the </w:t>
      </w:r>
      <w:r w:rsidR="0040669F" w:rsidRPr="00BD3E3B">
        <w:rPr>
          <w:rFonts w:ascii="Times New Roman" w:hAnsi="Times New Roman" w:cs="Times New Roman"/>
          <w:sz w:val="24"/>
          <w:szCs w:val="24"/>
        </w:rPr>
        <w:t>investigating</w:t>
      </w:r>
      <w:r w:rsidR="00B67646" w:rsidRPr="00BD3E3B">
        <w:rPr>
          <w:rFonts w:ascii="Times New Roman" w:hAnsi="Times New Roman" w:cs="Times New Roman"/>
          <w:sz w:val="24"/>
          <w:szCs w:val="24"/>
        </w:rPr>
        <w:t xml:space="preserve"> officer had </w:t>
      </w:r>
      <w:r w:rsidR="0040669F" w:rsidRPr="00BD3E3B">
        <w:rPr>
          <w:rFonts w:ascii="Times New Roman" w:hAnsi="Times New Roman" w:cs="Times New Roman"/>
          <w:sz w:val="24"/>
          <w:szCs w:val="24"/>
        </w:rPr>
        <w:t>shown</w:t>
      </w:r>
      <w:r w:rsidR="00B67646" w:rsidRPr="00BD3E3B">
        <w:rPr>
          <w:rFonts w:ascii="Times New Roman" w:hAnsi="Times New Roman" w:cs="Times New Roman"/>
          <w:sz w:val="24"/>
          <w:szCs w:val="24"/>
        </w:rPr>
        <w:t xml:space="preserve"> in his evidence that the </w:t>
      </w:r>
      <w:r w:rsidR="0040669F" w:rsidRPr="00BD3E3B">
        <w:rPr>
          <w:rFonts w:ascii="Times New Roman" w:hAnsi="Times New Roman" w:cs="Times New Roman"/>
          <w:sz w:val="24"/>
          <w:szCs w:val="24"/>
        </w:rPr>
        <w:t>appellants</w:t>
      </w:r>
      <w:r w:rsidR="00B67646" w:rsidRPr="00BD3E3B">
        <w:rPr>
          <w:rFonts w:ascii="Times New Roman" w:hAnsi="Times New Roman" w:cs="Times New Roman"/>
          <w:sz w:val="24"/>
          <w:szCs w:val="24"/>
        </w:rPr>
        <w:t xml:space="preserve"> acting together had attacked the police officers who had attended the scene. The same police officers were the witnesses who would testify at the </w:t>
      </w:r>
      <w:r w:rsidR="0040669F" w:rsidRPr="00BD3E3B">
        <w:rPr>
          <w:rFonts w:ascii="Times New Roman" w:hAnsi="Times New Roman" w:cs="Times New Roman"/>
          <w:sz w:val="24"/>
          <w:szCs w:val="24"/>
        </w:rPr>
        <w:t>appellants’ trial</w:t>
      </w:r>
      <w:r w:rsidR="00B67646" w:rsidRPr="00BD3E3B">
        <w:rPr>
          <w:rFonts w:ascii="Times New Roman" w:hAnsi="Times New Roman" w:cs="Times New Roman"/>
          <w:sz w:val="24"/>
          <w:szCs w:val="24"/>
        </w:rPr>
        <w:t xml:space="preserve">. </w:t>
      </w:r>
      <w:r w:rsidR="0011715B">
        <w:rPr>
          <w:rFonts w:ascii="Times New Roman" w:hAnsi="Times New Roman" w:cs="Times New Roman"/>
          <w:sz w:val="24"/>
          <w:szCs w:val="24"/>
        </w:rPr>
        <w:t xml:space="preserve">To allege that the witnesses are not known to the appellants when they all physically met at the premises in question is </w:t>
      </w:r>
      <w:r w:rsidR="003963F3">
        <w:rPr>
          <w:rFonts w:ascii="Times New Roman" w:hAnsi="Times New Roman" w:cs="Times New Roman"/>
          <w:sz w:val="24"/>
          <w:szCs w:val="24"/>
        </w:rPr>
        <w:t>what defies</w:t>
      </w:r>
      <w:r w:rsidR="0011715B">
        <w:rPr>
          <w:rFonts w:ascii="Times New Roman" w:hAnsi="Times New Roman" w:cs="Times New Roman"/>
          <w:sz w:val="24"/>
          <w:szCs w:val="24"/>
        </w:rPr>
        <w:t xml:space="preserve"> logic. </w:t>
      </w:r>
      <w:r w:rsidR="00B67646" w:rsidRPr="00BD3E3B">
        <w:rPr>
          <w:rFonts w:ascii="Times New Roman" w:hAnsi="Times New Roman" w:cs="Times New Roman"/>
          <w:sz w:val="24"/>
          <w:szCs w:val="24"/>
        </w:rPr>
        <w:t xml:space="preserve">To compound the problem, the appellants further </w:t>
      </w:r>
      <w:r w:rsidR="0040669F" w:rsidRPr="00BD3E3B">
        <w:rPr>
          <w:rFonts w:ascii="Times New Roman" w:hAnsi="Times New Roman" w:cs="Times New Roman"/>
          <w:sz w:val="24"/>
          <w:szCs w:val="24"/>
        </w:rPr>
        <w:t xml:space="preserve">intimidated </w:t>
      </w:r>
      <w:r w:rsidR="00B67646" w:rsidRPr="00BD3E3B">
        <w:rPr>
          <w:rFonts w:ascii="Times New Roman" w:hAnsi="Times New Roman" w:cs="Times New Roman"/>
          <w:sz w:val="24"/>
          <w:szCs w:val="24"/>
        </w:rPr>
        <w:t>the witnesses</w:t>
      </w:r>
      <w:r w:rsidR="0040669F" w:rsidRPr="00BD3E3B">
        <w:rPr>
          <w:rFonts w:ascii="Times New Roman" w:hAnsi="Times New Roman" w:cs="Times New Roman"/>
          <w:sz w:val="24"/>
          <w:szCs w:val="24"/>
        </w:rPr>
        <w:t xml:space="preserve"> by</w:t>
      </w:r>
      <w:r w:rsidR="00B67646" w:rsidRPr="00BD3E3B">
        <w:rPr>
          <w:rFonts w:ascii="Times New Roman" w:hAnsi="Times New Roman" w:cs="Times New Roman"/>
          <w:sz w:val="24"/>
          <w:szCs w:val="24"/>
        </w:rPr>
        <w:t xml:space="preserve"> </w:t>
      </w:r>
      <w:r w:rsidR="0040669F" w:rsidRPr="00BD3E3B">
        <w:rPr>
          <w:rFonts w:ascii="Times New Roman" w:hAnsi="Times New Roman" w:cs="Times New Roman"/>
          <w:sz w:val="24"/>
          <w:szCs w:val="24"/>
        </w:rPr>
        <w:t xml:space="preserve">threatening to follow them up and deal with them by among other things, exposing them to ridicule on social media platforms. </w:t>
      </w:r>
      <w:r w:rsidR="0011715B">
        <w:rPr>
          <w:rFonts w:ascii="Times New Roman" w:hAnsi="Times New Roman" w:cs="Times New Roman"/>
          <w:sz w:val="24"/>
          <w:szCs w:val="24"/>
        </w:rPr>
        <w:t>Mr</w:t>
      </w:r>
      <w:r w:rsidR="0011715B" w:rsidRPr="007F68C9">
        <w:rPr>
          <w:rFonts w:ascii="Times New Roman" w:hAnsi="Times New Roman" w:cs="Times New Roman"/>
          <w:i/>
          <w:iCs/>
          <w:sz w:val="24"/>
          <w:szCs w:val="24"/>
        </w:rPr>
        <w:t xml:space="preserve"> Jiti </w:t>
      </w:r>
      <w:r w:rsidR="0011715B">
        <w:rPr>
          <w:rFonts w:ascii="Times New Roman" w:hAnsi="Times New Roman" w:cs="Times New Roman"/>
          <w:sz w:val="24"/>
          <w:szCs w:val="24"/>
        </w:rPr>
        <w:t xml:space="preserve">sought to downplay the social media aspect at the hearing. He suggested that the trial </w:t>
      </w:r>
      <w:r w:rsidR="003963F3">
        <w:rPr>
          <w:rFonts w:ascii="Times New Roman" w:hAnsi="Times New Roman" w:cs="Times New Roman"/>
          <w:sz w:val="24"/>
          <w:szCs w:val="24"/>
        </w:rPr>
        <w:t>magistrate</w:t>
      </w:r>
      <w:r w:rsidR="0011715B">
        <w:rPr>
          <w:rFonts w:ascii="Times New Roman" w:hAnsi="Times New Roman" w:cs="Times New Roman"/>
          <w:sz w:val="24"/>
          <w:szCs w:val="24"/>
        </w:rPr>
        <w:t xml:space="preserve"> need not have given it consideration. </w:t>
      </w:r>
      <w:r w:rsidR="003963F3">
        <w:rPr>
          <w:rFonts w:ascii="Times New Roman" w:hAnsi="Times New Roman" w:cs="Times New Roman"/>
          <w:sz w:val="24"/>
          <w:szCs w:val="24"/>
        </w:rPr>
        <w:t xml:space="preserve">But nothing could be further from reality. Social media is a tool which can be used for all kinds of intimidation. It is a weapon which can be abused to propagate hate and hate speech. Threats of exposure of a witness on social media cannot be taken for granted as a factor reading interference with witnesses/investigations. </w:t>
      </w:r>
      <w:r w:rsidR="0011715B">
        <w:rPr>
          <w:rFonts w:ascii="Times New Roman" w:hAnsi="Times New Roman" w:cs="Times New Roman"/>
          <w:sz w:val="24"/>
          <w:szCs w:val="24"/>
        </w:rPr>
        <w:t xml:space="preserve"> </w:t>
      </w:r>
      <w:r w:rsidR="0040669F" w:rsidRPr="00BD3E3B">
        <w:rPr>
          <w:rFonts w:ascii="Times New Roman" w:hAnsi="Times New Roman" w:cs="Times New Roman"/>
          <w:sz w:val="24"/>
          <w:szCs w:val="24"/>
        </w:rPr>
        <w:t xml:space="preserve">What </w:t>
      </w:r>
      <w:r w:rsidR="003963F3">
        <w:rPr>
          <w:rFonts w:ascii="Times New Roman" w:hAnsi="Times New Roman" w:cs="Times New Roman"/>
          <w:sz w:val="24"/>
          <w:szCs w:val="24"/>
        </w:rPr>
        <w:t>that threat</w:t>
      </w:r>
      <w:r w:rsidR="0040669F" w:rsidRPr="00BD3E3B">
        <w:rPr>
          <w:rFonts w:ascii="Times New Roman" w:hAnsi="Times New Roman" w:cs="Times New Roman"/>
          <w:sz w:val="24"/>
          <w:szCs w:val="24"/>
        </w:rPr>
        <w:t xml:space="preserve"> meant was that the</w:t>
      </w:r>
      <w:r w:rsidR="003963F3">
        <w:rPr>
          <w:rFonts w:ascii="Times New Roman" w:hAnsi="Times New Roman" w:cs="Times New Roman"/>
          <w:sz w:val="24"/>
          <w:szCs w:val="24"/>
        </w:rPr>
        <w:t xml:space="preserve"> appellants</w:t>
      </w:r>
      <w:r w:rsidR="0040669F" w:rsidRPr="00BD3E3B">
        <w:rPr>
          <w:rFonts w:ascii="Times New Roman" w:hAnsi="Times New Roman" w:cs="Times New Roman"/>
          <w:sz w:val="24"/>
          <w:szCs w:val="24"/>
        </w:rPr>
        <w:t xml:space="preserve"> intended to smear the police officers and paint them as </w:t>
      </w:r>
      <w:r w:rsidR="0040669F" w:rsidRPr="00BD3E3B">
        <w:rPr>
          <w:rFonts w:ascii="Times New Roman" w:hAnsi="Times New Roman" w:cs="Times New Roman"/>
          <w:sz w:val="24"/>
          <w:szCs w:val="24"/>
        </w:rPr>
        <w:lastRenderedPageBreak/>
        <w:t xml:space="preserve">rogue in the eyes of members of the public. In my considered view, it is idle to then accuse the court of having neglected to examine the allegation of interference with witnesses/investigations against the factors listed in s 117 (3)(c) when it clearly did. If the evidence of the investigating officer is taken as credible it supports once again the facts accepted by all the appellants as stated in the form 242. They were subdued and arrested after attacking police officers by pelting them with stones and generally being riotous. Ground of appeal </w:t>
      </w:r>
      <w:r w:rsidR="003963F3">
        <w:rPr>
          <w:rFonts w:ascii="Times New Roman" w:hAnsi="Times New Roman" w:cs="Times New Roman"/>
          <w:sz w:val="24"/>
          <w:szCs w:val="24"/>
        </w:rPr>
        <w:t>(</w:t>
      </w:r>
      <w:r w:rsidR="0040669F" w:rsidRPr="00BD3E3B">
        <w:rPr>
          <w:rFonts w:ascii="Times New Roman" w:hAnsi="Times New Roman" w:cs="Times New Roman"/>
          <w:sz w:val="24"/>
          <w:szCs w:val="24"/>
        </w:rPr>
        <w:t>v</w:t>
      </w:r>
      <w:r w:rsidR="003963F3">
        <w:rPr>
          <w:rFonts w:ascii="Times New Roman" w:hAnsi="Times New Roman" w:cs="Times New Roman"/>
          <w:sz w:val="24"/>
          <w:szCs w:val="24"/>
        </w:rPr>
        <w:t>)</w:t>
      </w:r>
      <w:r w:rsidR="0040669F" w:rsidRPr="00BD3E3B">
        <w:rPr>
          <w:rFonts w:ascii="Times New Roman" w:hAnsi="Times New Roman" w:cs="Times New Roman"/>
          <w:sz w:val="24"/>
          <w:szCs w:val="24"/>
        </w:rPr>
        <w:t xml:space="preserve"> therefore </w:t>
      </w:r>
      <w:r w:rsidR="003963F3">
        <w:rPr>
          <w:rFonts w:ascii="Times New Roman" w:hAnsi="Times New Roman" w:cs="Times New Roman"/>
          <w:sz w:val="24"/>
          <w:szCs w:val="24"/>
        </w:rPr>
        <w:t xml:space="preserve">also </w:t>
      </w:r>
      <w:r w:rsidR="0040669F" w:rsidRPr="00BD3E3B">
        <w:rPr>
          <w:rFonts w:ascii="Times New Roman" w:hAnsi="Times New Roman" w:cs="Times New Roman"/>
          <w:sz w:val="24"/>
          <w:szCs w:val="24"/>
        </w:rPr>
        <w:t>has no merit</w:t>
      </w:r>
      <w:r w:rsidR="003963F3">
        <w:rPr>
          <w:rFonts w:ascii="Times New Roman" w:hAnsi="Times New Roman" w:cs="Times New Roman"/>
          <w:sz w:val="24"/>
          <w:szCs w:val="24"/>
        </w:rPr>
        <w:t xml:space="preserve">. It cannot succeed. </w:t>
      </w:r>
    </w:p>
    <w:p w14:paraId="152C4FFC" w14:textId="61566373" w:rsidR="009155CD" w:rsidRPr="007F68C9" w:rsidRDefault="009155CD" w:rsidP="007F68C9">
      <w:pPr>
        <w:pStyle w:val="ListParagraph"/>
        <w:numPr>
          <w:ilvl w:val="0"/>
          <w:numId w:val="1"/>
        </w:numPr>
        <w:spacing w:after="0" w:line="360" w:lineRule="auto"/>
        <w:jc w:val="both"/>
        <w:rPr>
          <w:rFonts w:ascii="Times New Roman" w:hAnsi="Times New Roman" w:cs="Times New Roman"/>
          <w:b/>
          <w:bCs/>
          <w:sz w:val="24"/>
          <w:szCs w:val="24"/>
          <w:u w:val="single"/>
        </w:rPr>
      </w:pPr>
      <w:r w:rsidRPr="007F68C9">
        <w:rPr>
          <w:rFonts w:ascii="Times New Roman" w:hAnsi="Times New Roman" w:cs="Times New Roman"/>
          <w:b/>
          <w:bCs/>
          <w:sz w:val="24"/>
          <w:szCs w:val="24"/>
          <w:u w:val="single"/>
        </w:rPr>
        <w:t>Ground vi. (likelihood to commit further crimes); ground vii (jeopardization of the criminal justice system including the bail system)</w:t>
      </w:r>
      <w:r w:rsidR="00BD3E3B" w:rsidRPr="007F68C9">
        <w:rPr>
          <w:rFonts w:ascii="Times New Roman" w:hAnsi="Times New Roman" w:cs="Times New Roman"/>
          <w:b/>
          <w:bCs/>
          <w:sz w:val="24"/>
          <w:szCs w:val="24"/>
          <w:u w:val="single"/>
        </w:rPr>
        <w:t>; disturbance of public order/public peace and security</w:t>
      </w:r>
    </w:p>
    <w:p w14:paraId="0F5DDEB8" w14:textId="29382B9A" w:rsidR="003255C8" w:rsidRDefault="000F37DA" w:rsidP="000F37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0635">
        <w:rPr>
          <w:rFonts w:ascii="Times New Roman" w:hAnsi="Times New Roman" w:cs="Times New Roman"/>
          <w:sz w:val="24"/>
          <w:szCs w:val="24"/>
        </w:rPr>
        <w:t xml:space="preserve">The appellants’ contention that the trial court misdirected itself in relation to this point are tied to the one above.  They attacked </w:t>
      </w:r>
      <w:r w:rsidR="009155CD" w:rsidRPr="00BD3E3B">
        <w:rPr>
          <w:rFonts w:ascii="Times New Roman" w:hAnsi="Times New Roman" w:cs="Times New Roman"/>
          <w:sz w:val="24"/>
          <w:szCs w:val="24"/>
        </w:rPr>
        <w:t xml:space="preserve">the learned magistrate’s apprehension that the appellants were likely to commit further and similar offences </w:t>
      </w:r>
      <w:r w:rsidR="00CA0635">
        <w:rPr>
          <w:rFonts w:ascii="Times New Roman" w:hAnsi="Times New Roman" w:cs="Times New Roman"/>
          <w:sz w:val="24"/>
          <w:szCs w:val="24"/>
        </w:rPr>
        <w:t>because</w:t>
      </w:r>
      <w:r w:rsidR="009155CD" w:rsidRPr="00BD3E3B">
        <w:rPr>
          <w:rFonts w:ascii="Times New Roman" w:hAnsi="Times New Roman" w:cs="Times New Roman"/>
          <w:sz w:val="24"/>
          <w:szCs w:val="24"/>
        </w:rPr>
        <w:t xml:space="preserve"> about twenty of their accomplices had evaded arrest. The magistrate said it was likely that the appellants could team up with their colleagues to commit further offences. </w:t>
      </w:r>
      <w:r w:rsidR="00CA0635">
        <w:rPr>
          <w:rFonts w:ascii="Times New Roman" w:hAnsi="Times New Roman" w:cs="Times New Roman"/>
          <w:sz w:val="24"/>
          <w:szCs w:val="24"/>
        </w:rPr>
        <w:t>The appellants’ counsels argued that the accomplices were not mentioned</w:t>
      </w:r>
      <w:r w:rsidR="00CA0635" w:rsidRPr="003255C8">
        <w:rPr>
          <w:rFonts w:ascii="Times New Roman" w:hAnsi="Times New Roman" w:cs="Times New Roman"/>
          <w:sz w:val="24"/>
          <w:szCs w:val="24"/>
        </w:rPr>
        <w:t xml:space="preserve">. </w:t>
      </w:r>
      <w:r w:rsidR="003255C8" w:rsidRPr="003255C8">
        <w:rPr>
          <w:rFonts w:ascii="Times New Roman" w:hAnsi="Times New Roman" w:cs="Times New Roman"/>
          <w:sz w:val="24"/>
          <w:szCs w:val="24"/>
        </w:rPr>
        <w:t xml:space="preserve">I have already alluded to S 196 A of the Code which prescribes the liability of co-perpetrators. In subsection (2) </w:t>
      </w:r>
      <w:r w:rsidR="000A011A">
        <w:rPr>
          <w:rFonts w:ascii="Times New Roman" w:hAnsi="Times New Roman" w:cs="Times New Roman"/>
          <w:sz w:val="24"/>
          <w:szCs w:val="24"/>
        </w:rPr>
        <w:t xml:space="preserve">it </w:t>
      </w:r>
      <w:r w:rsidR="003255C8" w:rsidRPr="003255C8">
        <w:rPr>
          <w:rFonts w:ascii="Times New Roman" w:hAnsi="Times New Roman" w:cs="Times New Roman"/>
          <w:sz w:val="24"/>
          <w:szCs w:val="24"/>
        </w:rPr>
        <w:t>decrees that the fact that two or more people were associated in any conduct regarded as preparatory to the conduct which resulted in the crime with which they are charged or that they engaged in criminal behaviour as a group or a team prior to the conduct which resulted in the crime with which they are charged shall be regarded as indicative of those people having acted with a common design.</w:t>
      </w:r>
      <w:r w:rsidR="003255C8">
        <w:t xml:space="preserve"> </w:t>
      </w:r>
      <w:r w:rsidR="003255C8" w:rsidRPr="003255C8">
        <w:rPr>
          <w:rFonts w:ascii="Times New Roman" w:hAnsi="Times New Roman" w:cs="Times New Roman"/>
          <w:sz w:val="24"/>
          <w:szCs w:val="24"/>
        </w:rPr>
        <w:t xml:space="preserve">There is no law that requires the police to mention the presence of accomplices only in instances where they know the identity of such accomplices. The mention of the accomplices in this case was intended to show that the appellants are part of a larger group which the police allege were involved in the nefarious activities at Number 6 Downie Road. I do not therefore accept the contention that taking such </w:t>
      </w:r>
      <w:r w:rsidR="001939E5">
        <w:rPr>
          <w:rFonts w:ascii="Times New Roman" w:hAnsi="Times New Roman" w:cs="Times New Roman"/>
          <w:sz w:val="24"/>
          <w:szCs w:val="24"/>
        </w:rPr>
        <w:t xml:space="preserve">a </w:t>
      </w:r>
      <w:r w:rsidR="003255C8" w:rsidRPr="003255C8">
        <w:rPr>
          <w:rFonts w:ascii="Times New Roman" w:hAnsi="Times New Roman" w:cs="Times New Roman"/>
          <w:sz w:val="24"/>
          <w:szCs w:val="24"/>
        </w:rPr>
        <w:t>con</w:t>
      </w:r>
      <w:r w:rsidR="003255C8">
        <w:rPr>
          <w:rFonts w:ascii="Times New Roman" w:hAnsi="Times New Roman" w:cs="Times New Roman"/>
          <w:sz w:val="24"/>
          <w:szCs w:val="24"/>
        </w:rPr>
        <w:t>s</w:t>
      </w:r>
      <w:r w:rsidR="003255C8" w:rsidRPr="003255C8">
        <w:rPr>
          <w:rFonts w:ascii="Times New Roman" w:hAnsi="Times New Roman" w:cs="Times New Roman"/>
          <w:sz w:val="24"/>
          <w:szCs w:val="24"/>
        </w:rPr>
        <w:t>i</w:t>
      </w:r>
      <w:r w:rsidR="003255C8">
        <w:rPr>
          <w:rFonts w:ascii="Times New Roman" w:hAnsi="Times New Roman" w:cs="Times New Roman"/>
          <w:sz w:val="24"/>
          <w:szCs w:val="24"/>
        </w:rPr>
        <w:t>de</w:t>
      </w:r>
      <w:r w:rsidR="003255C8" w:rsidRPr="003255C8">
        <w:rPr>
          <w:rFonts w:ascii="Times New Roman" w:hAnsi="Times New Roman" w:cs="Times New Roman"/>
          <w:sz w:val="24"/>
          <w:szCs w:val="24"/>
        </w:rPr>
        <w:t>r</w:t>
      </w:r>
      <w:r w:rsidR="003255C8">
        <w:rPr>
          <w:rFonts w:ascii="Times New Roman" w:hAnsi="Times New Roman" w:cs="Times New Roman"/>
          <w:sz w:val="24"/>
          <w:szCs w:val="24"/>
        </w:rPr>
        <w:t>a</w:t>
      </w:r>
      <w:r w:rsidR="003255C8" w:rsidRPr="003255C8">
        <w:rPr>
          <w:rFonts w:ascii="Times New Roman" w:hAnsi="Times New Roman" w:cs="Times New Roman"/>
          <w:sz w:val="24"/>
          <w:szCs w:val="24"/>
        </w:rPr>
        <w:t>tion into account must necessarily vitiate</w:t>
      </w:r>
      <w:r w:rsidR="003255C8">
        <w:rPr>
          <w:rFonts w:ascii="Times New Roman" w:hAnsi="Times New Roman" w:cs="Times New Roman"/>
          <w:sz w:val="24"/>
          <w:szCs w:val="24"/>
        </w:rPr>
        <w:t xml:space="preserve"> the</w:t>
      </w:r>
      <w:r w:rsidR="003255C8" w:rsidRPr="003255C8">
        <w:rPr>
          <w:rFonts w:ascii="Times New Roman" w:hAnsi="Times New Roman" w:cs="Times New Roman"/>
          <w:sz w:val="24"/>
          <w:szCs w:val="24"/>
        </w:rPr>
        <w:t xml:space="preserve"> court aquo’s findings.</w:t>
      </w:r>
    </w:p>
    <w:p w14:paraId="7DACA976" w14:textId="77777777" w:rsidR="001939E5" w:rsidRDefault="003255C8" w:rsidP="001939E5">
      <w:pPr>
        <w:pStyle w:val="ListParagraph"/>
        <w:numPr>
          <w:ilvl w:val="0"/>
          <w:numId w:val="1"/>
        </w:numPr>
        <w:spacing w:line="360" w:lineRule="auto"/>
        <w:jc w:val="both"/>
        <w:rPr>
          <w:rFonts w:ascii="Times New Roman" w:hAnsi="Times New Roman" w:cs="Times New Roman"/>
          <w:sz w:val="24"/>
          <w:szCs w:val="24"/>
        </w:rPr>
      </w:pPr>
      <w:r w:rsidRPr="001939E5">
        <w:rPr>
          <w:rFonts w:ascii="Times New Roman" w:hAnsi="Times New Roman" w:cs="Times New Roman"/>
          <w:sz w:val="24"/>
          <w:szCs w:val="24"/>
        </w:rPr>
        <w:t xml:space="preserve">The trial court’s findings above </w:t>
      </w:r>
      <w:r w:rsidR="001939E5" w:rsidRPr="001939E5">
        <w:rPr>
          <w:rFonts w:ascii="Times New Roman" w:hAnsi="Times New Roman" w:cs="Times New Roman"/>
          <w:sz w:val="24"/>
          <w:szCs w:val="24"/>
        </w:rPr>
        <w:t>were</w:t>
      </w:r>
      <w:r w:rsidRPr="001939E5">
        <w:rPr>
          <w:rFonts w:ascii="Times New Roman" w:hAnsi="Times New Roman" w:cs="Times New Roman"/>
          <w:sz w:val="24"/>
          <w:szCs w:val="24"/>
        </w:rPr>
        <w:t xml:space="preserve"> not </w:t>
      </w:r>
      <w:r w:rsidR="001939E5" w:rsidRPr="001939E5">
        <w:rPr>
          <w:rFonts w:ascii="Times New Roman" w:hAnsi="Times New Roman" w:cs="Times New Roman"/>
          <w:sz w:val="24"/>
          <w:szCs w:val="24"/>
        </w:rPr>
        <w:t xml:space="preserve">even </w:t>
      </w:r>
      <w:r w:rsidRPr="001939E5">
        <w:rPr>
          <w:rFonts w:ascii="Times New Roman" w:hAnsi="Times New Roman" w:cs="Times New Roman"/>
          <w:sz w:val="24"/>
          <w:szCs w:val="24"/>
        </w:rPr>
        <w:t xml:space="preserve">made in abstract. The record of proceedings </w:t>
      </w:r>
      <w:r w:rsidR="001939E5" w:rsidRPr="001939E5">
        <w:rPr>
          <w:rFonts w:ascii="Times New Roman" w:hAnsi="Times New Roman" w:cs="Times New Roman"/>
          <w:sz w:val="24"/>
          <w:szCs w:val="24"/>
        </w:rPr>
        <w:t>bears testimony</w:t>
      </w:r>
      <w:r w:rsidRPr="001939E5">
        <w:rPr>
          <w:rFonts w:ascii="Times New Roman" w:hAnsi="Times New Roman" w:cs="Times New Roman"/>
          <w:sz w:val="24"/>
          <w:szCs w:val="24"/>
        </w:rPr>
        <w:t xml:space="preserve"> that </w:t>
      </w:r>
      <w:r w:rsidR="001939E5" w:rsidRPr="001939E5">
        <w:rPr>
          <w:rFonts w:ascii="Times New Roman" w:hAnsi="Times New Roman" w:cs="Times New Roman"/>
          <w:sz w:val="24"/>
          <w:szCs w:val="24"/>
        </w:rPr>
        <w:t xml:space="preserve">even </w:t>
      </w:r>
      <w:r w:rsidRPr="001939E5">
        <w:rPr>
          <w:rFonts w:ascii="Times New Roman" w:hAnsi="Times New Roman" w:cs="Times New Roman"/>
          <w:sz w:val="24"/>
          <w:szCs w:val="24"/>
        </w:rPr>
        <w:t xml:space="preserve">in the midst of the bail application there was a </w:t>
      </w:r>
      <w:r w:rsidR="001939E5" w:rsidRPr="001939E5">
        <w:rPr>
          <w:rFonts w:ascii="Times New Roman" w:hAnsi="Times New Roman" w:cs="Times New Roman"/>
          <w:sz w:val="24"/>
          <w:szCs w:val="24"/>
        </w:rPr>
        <w:t>‘</w:t>
      </w:r>
      <w:r w:rsidRPr="001939E5">
        <w:rPr>
          <w:rFonts w:ascii="Times New Roman" w:hAnsi="Times New Roman" w:cs="Times New Roman"/>
          <w:sz w:val="24"/>
          <w:szCs w:val="24"/>
        </w:rPr>
        <w:t>demon</w:t>
      </w:r>
      <w:r w:rsidR="000A011A" w:rsidRPr="001939E5">
        <w:rPr>
          <w:rFonts w:ascii="Times New Roman" w:hAnsi="Times New Roman" w:cs="Times New Roman"/>
          <w:sz w:val="24"/>
          <w:szCs w:val="24"/>
        </w:rPr>
        <w:t>stration</w:t>
      </w:r>
      <w:r w:rsidR="001939E5" w:rsidRPr="001939E5">
        <w:rPr>
          <w:rFonts w:ascii="Times New Roman" w:hAnsi="Times New Roman" w:cs="Times New Roman"/>
          <w:sz w:val="24"/>
          <w:szCs w:val="24"/>
        </w:rPr>
        <w:t>’</w:t>
      </w:r>
      <w:r w:rsidR="000A011A" w:rsidRPr="001939E5">
        <w:rPr>
          <w:rFonts w:ascii="Times New Roman" w:hAnsi="Times New Roman" w:cs="Times New Roman"/>
          <w:sz w:val="24"/>
          <w:szCs w:val="24"/>
        </w:rPr>
        <w:t xml:space="preserve"> </w:t>
      </w:r>
      <w:r w:rsidR="001939E5" w:rsidRPr="001939E5">
        <w:rPr>
          <w:rFonts w:ascii="Times New Roman" w:hAnsi="Times New Roman" w:cs="Times New Roman"/>
          <w:sz w:val="24"/>
          <w:szCs w:val="24"/>
        </w:rPr>
        <w:t xml:space="preserve">that took place at the same courthouse where the application was being heard. It was linked to the appellants. If the demonstrators thought they were acting in solidarity with the appellants, then they were mistaken because what their behaviour acted to buttress the prosecution’s fears that if the appellants are released on bail, they are likely to commit further offences. </w:t>
      </w:r>
      <w:r w:rsidRPr="001939E5">
        <w:rPr>
          <w:rFonts w:ascii="Times New Roman" w:hAnsi="Times New Roman" w:cs="Times New Roman"/>
          <w:sz w:val="24"/>
          <w:szCs w:val="24"/>
        </w:rPr>
        <w:t xml:space="preserve"> </w:t>
      </w:r>
    </w:p>
    <w:p w14:paraId="609B9232" w14:textId="77777777" w:rsidR="00E57142" w:rsidRDefault="009155CD" w:rsidP="001939E5">
      <w:pPr>
        <w:pStyle w:val="ListParagraph"/>
        <w:numPr>
          <w:ilvl w:val="0"/>
          <w:numId w:val="1"/>
        </w:numPr>
        <w:spacing w:line="360" w:lineRule="auto"/>
        <w:jc w:val="both"/>
        <w:rPr>
          <w:rFonts w:ascii="Times New Roman" w:hAnsi="Times New Roman" w:cs="Times New Roman"/>
          <w:sz w:val="24"/>
          <w:szCs w:val="24"/>
        </w:rPr>
      </w:pPr>
      <w:r w:rsidRPr="001939E5">
        <w:rPr>
          <w:rFonts w:ascii="Times New Roman" w:hAnsi="Times New Roman" w:cs="Times New Roman"/>
          <w:sz w:val="24"/>
          <w:szCs w:val="24"/>
        </w:rPr>
        <w:lastRenderedPageBreak/>
        <w:t xml:space="preserve">It is important </w:t>
      </w:r>
      <w:r w:rsidR="003255C8" w:rsidRPr="001939E5">
        <w:rPr>
          <w:rFonts w:ascii="Times New Roman" w:hAnsi="Times New Roman" w:cs="Times New Roman"/>
          <w:sz w:val="24"/>
          <w:szCs w:val="24"/>
        </w:rPr>
        <w:t xml:space="preserve">also </w:t>
      </w:r>
      <w:r w:rsidRPr="001939E5">
        <w:rPr>
          <w:rFonts w:ascii="Times New Roman" w:hAnsi="Times New Roman" w:cs="Times New Roman"/>
          <w:sz w:val="24"/>
          <w:szCs w:val="24"/>
        </w:rPr>
        <w:t>that th</w:t>
      </w:r>
      <w:r w:rsidR="003255C8" w:rsidRPr="001939E5">
        <w:rPr>
          <w:rFonts w:ascii="Times New Roman" w:hAnsi="Times New Roman" w:cs="Times New Roman"/>
          <w:sz w:val="24"/>
          <w:szCs w:val="24"/>
        </w:rPr>
        <w:t>e above</w:t>
      </w:r>
      <w:r w:rsidRPr="001939E5">
        <w:rPr>
          <w:rFonts w:ascii="Times New Roman" w:hAnsi="Times New Roman" w:cs="Times New Roman"/>
          <w:sz w:val="24"/>
          <w:szCs w:val="24"/>
        </w:rPr>
        <w:t xml:space="preserve"> factor is linked to the concern that the release of the appellants could disturb public order, public peace or public security. The law directs the court to </w:t>
      </w:r>
      <w:r w:rsidR="00CC1FDC" w:rsidRPr="001939E5">
        <w:rPr>
          <w:rFonts w:ascii="Times New Roman" w:hAnsi="Times New Roman" w:cs="Times New Roman"/>
          <w:sz w:val="24"/>
          <w:szCs w:val="24"/>
        </w:rPr>
        <w:t xml:space="preserve">take into account the degree of violence towards others implicit in the charge, any threats of violence which the accused may have made to any person and the amount of resentment that the accused is alleged to harbour against any person. The trial court concluded that the allegations against the appellants were replete with insinuations of violence. In </w:t>
      </w:r>
      <w:r w:rsidR="007B6D32" w:rsidRPr="001939E5">
        <w:rPr>
          <w:rFonts w:ascii="Times New Roman" w:hAnsi="Times New Roman" w:cs="Times New Roman"/>
          <w:sz w:val="24"/>
          <w:szCs w:val="24"/>
        </w:rPr>
        <w:t>fact,</w:t>
      </w:r>
      <w:r w:rsidR="00CC1FDC" w:rsidRPr="001939E5">
        <w:rPr>
          <w:rFonts w:ascii="Times New Roman" w:hAnsi="Times New Roman" w:cs="Times New Roman"/>
          <w:sz w:val="24"/>
          <w:szCs w:val="24"/>
        </w:rPr>
        <w:t xml:space="preserve"> </w:t>
      </w:r>
      <w:r w:rsidR="00BD3E3B" w:rsidRPr="001939E5">
        <w:rPr>
          <w:rFonts w:ascii="Times New Roman" w:hAnsi="Times New Roman" w:cs="Times New Roman"/>
          <w:sz w:val="24"/>
          <w:szCs w:val="24"/>
        </w:rPr>
        <w:t xml:space="preserve">on one hand, </w:t>
      </w:r>
      <w:r w:rsidR="00CC1FDC" w:rsidRPr="001939E5">
        <w:rPr>
          <w:rFonts w:ascii="Times New Roman" w:hAnsi="Times New Roman" w:cs="Times New Roman"/>
          <w:sz w:val="24"/>
          <w:szCs w:val="24"/>
        </w:rPr>
        <w:t xml:space="preserve">violence is at the core of the charge </w:t>
      </w:r>
      <w:r w:rsidR="00BD3E3B" w:rsidRPr="001939E5">
        <w:rPr>
          <w:rFonts w:ascii="Times New Roman" w:hAnsi="Times New Roman" w:cs="Times New Roman"/>
          <w:sz w:val="24"/>
          <w:szCs w:val="24"/>
        </w:rPr>
        <w:t xml:space="preserve">of public violence. </w:t>
      </w:r>
      <w:r w:rsidR="001939E5">
        <w:rPr>
          <w:rFonts w:ascii="Times New Roman" w:hAnsi="Times New Roman" w:cs="Times New Roman"/>
          <w:sz w:val="24"/>
          <w:szCs w:val="24"/>
        </w:rPr>
        <w:t>O</w:t>
      </w:r>
      <w:r w:rsidR="00BD3E3B" w:rsidRPr="001939E5">
        <w:rPr>
          <w:rFonts w:ascii="Times New Roman" w:hAnsi="Times New Roman" w:cs="Times New Roman"/>
          <w:sz w:val="24"/>
          <w:szCs w:val="24"/>
        </w:rPr>
        <w:t>n the other hand, bigotry, concerns itself with a s</w:t>
      </w:r>
      <w:r w:rsidR="001939E5">
        <w:rPr>
          <w:rFonts w:ascii="Times New Roman" w:hAnsi="Times New Roman" w:cs="Times New Roman"/>
          <w:sz w:val="24"/>
          <w:szCs w:val="24"/>
        </w:rPr>
        <w:t>t</w:t>
      </w:r>
      <w:r w:rsidR="00BD3E3B" w:rsidRPr="001939E5">
        <w:rPr>
          <w:rFonts w:ascii="Times New Roman" w:hAnsi="Times New Roman" w:cs="Times New Roman"/>
          <w:sz w:val="24"/>
          <w:szCs w:val="24"/>
        </w:rPr>
        <w:t>ub</w:t>
      </w:r>
      <w:r w:rsidR="001939E5">
        <w:rPr>
          <w:rFonts w:ascii="Times New Roman" w:hAnsi="Times New Roman" w:cs="Times New Roman"/>
          <w:sz w:val="24"/>
          <w:szCs w:val="24"/>
        </w:rPr>
        <w:t>b</w:t>
      </w:r>
      <w:r w:rsidR="00BD3E3B" w:rsidRPr="001939E5">
        <w:rPr>
          <w:rFonts w:ascii="Times New Roman" w:hAnsi="Times New Roman" w:cs="Times New Roman"/>
          <w:sz w:val="24"/>
          <w:szCs w:val="24"/>
        </w:rPr>
        <w:t xml:space="preserve">orn and complete intolerance of any creed, belief or opinion that differs from one’s </w:t>
      </w:r>
      <w:r w:rsidR="001939E5">
        <w:rPr>
          <w:rFonts w:ascii="Times New Roman" w:hAnsi="Times New Roman" w:cs="Times New Roman"/>
          <w:sz w:val="24"/>
          <w:szCs w:val="24"/>
        </w:rPr>
        <w:t>own</w:t>
      </w:r>
      <w:r w:rsidR="00BD3E3B" w:rsidRPr="001939E5">
        <w:rPr>
          <w:rFonts w:ascii="Times New Roman" w:hAnsi="Times New Roman" w:cs="Times New Roman"/>
          <w:sz w:val="24"/>
          <w:szCs w:val="24"/>
        </w:rPr>
        <w:t>.</w:t>
      </w:r>
      <w:r w:rsidR="00CC1FDC" w:rsidRPr="001939E5">
        <w:rPr>
          <w:rFonts w:ascii="Times New Roman" w:hAnsi="Times New Roman" w:cs="Times New Roman"/>
          <w:sz w:val="24"/>
          <w:szCs w:val="24"/>
        </w:rPr>
        <w:t xml:space="preserve"> </w:t>
      </w:r>
      <w:r w:rsidR="001939E5">
        <w:rPr>
          <w:rFonts w:ascii="Times New Roman" w:hAnsi="Times New Roman" w:cs="Times New Roman"/>
          <w:sz w:val="24"/>
          <w:szCs w:val="24"/>
        </w:rPr>
        <w:t>As indicated in the introductory paragraphs of this judgment, i</w:t>
      </w:r>
      <w:r w:rsidR="00CC1FDC" w:rsidRPr="001939E5">
        <w:rPr>
          <w:rFonts w:ascii="Times New Roman" w:hAnsi="Times New Roman" w:cs="Times New Roman"/>
          <w:sz w:val="24"/>
          <w:szCs w:val="24"/>
        </w:rPr>
        <w:t xml:space="preserve">n his evidence during the bail hearing, the investigating officer’s testimony was that the violence appeared to be choreographed. The appellants were not randomly assembled. Instead, </w:t>
      </w:r>
      <w:r w:rsidR="00BD3E3B" w:rsidRPr="001939E5">
        <w:rPr>
          <w:rFonts w:ascii="Times New Roman" w:hAnsi="Times New Roman" w:cs="Times New Roman"/>
          <w:sz w:val="24"/>
          <w:szCs w:val="24"/>
        </w:rPr>
        <w:t xml:space="preserve">they </w:t>
      </w:r>
      <w:r w:rsidR="001939E5">
        <w:rPr>
          <w:rFonts w:ascii="Times New Roman" w:hAnsi="Times New Roman" w:cs="Times New Roman"/>
          <w:sz w:val="24"/>
          <w:szCs w:val="24"/>
        </w:rPr>
        <w:t xml:space="preserve">were selected </w:t>
      </w:r>
      <w:r w:rsidR="00CC1FDC" w:rsidRPr="001939E5">
        <w:rPr>
          <w:rFonts w:ascii="Times New Roman" w:hAnsi="Times New Roman" w:cs="Times New Roman"/>
          <w:sz w:val="24"/>
          <w:szCs w:val="24"/>
        </w:rPr>
        <w:t xml:space="preserve">from different but clearly defined clusters </w:t>
      </w:r>
      <w:r w:rsidR="001939E5">
        <w:rPr>
          <w:rFonts w:ascii="Times New Roman" w:hAnsi="Times New Roman" w:cs="Times New Roman"/>
          <w:sz w:val="24"/>
          <w:szCs w:val="24"/>
        </w:rPr>
        <w:t xml:space="preserve">fronted by </w:t>
      </w:r>
      <w:r w:rsidR="00CC1FDC" w:rsidRPr="001939E5">
        <w:rPr>
          <w:rFonts w:ascii="Times New Roman" w:hAnsi="Times New Roman" w:cs="Times New Roman"/>
          <w:sz w:val="24"/>
          <w:szCs w:val="24"/>
        </w:rPr>
        <w:t xml:space="preserve">the suburbs of Chitungwiza, Epworth and Hatcliffe which accounted for more than three quarters of the appellants.  I </w:t>
      </w:r>
      <w:r w:rsidR="001939E5">
        <w:rPr>
          <w:rFonts w:ascii="Times New Roman" w:hAnsi="Times New Roman" w:cs="Times New Roman"/>
          <w:sz w:val="24"/>
          <w:szCs w:val="24"/>
        </w:rPr>
        <w:t>also highlighted</w:t>
      </w:r>
      <w:r w:rsidR="00CC1FDC" w:rsidRPr="001939E5">
        <w:rPr>
          <w:rFonts w:ascii="Times New Roman" w:hAnsi="Times New Roman" w:cs="Times New Roman"/>
          <w:sz w:val="24"/>
          <w:szCs w:val="24"/>
        </w:rPr>
        <w:t xml:space="preserve"> the interesting factor </w:t>
      </w:r>
      <w:r w:rsidR="001939E5">
        <w:rPr>
          <w:rFonts w:ascii="Times New Roman" w:hAnsi="Times New Roman" w:cs="Times New Roman"/>
          <w:sz w:val="24"/>
          <w:szCs w:val="24"/>
        </w:rPr>
        <w:t>of the large number of the appellants who are not formally employed. It isn’t to say that it is the unemployed who commit offences</w:t>
      </w:r>
      <w:r w:rsidR="00E57142">
        <w:rPr>
          <w:rFonts w:ascii="Times New Roman" w:hAnsi="Times New Roman" w:cs="Times New Roman"/>
          <w:sz w:val="24"/>
          <w:szCs w:val="24"/>
        </w:rPr>
        <w:t>. Instead, it is intended</w:t>
      </w:r>
      <w:r w:rsidR="00E57142" w:rsidRPr="00E57142">
        <w:rPr>
          <w:rFonts w:ascii="Times New Roman" w:hAnsi="Times New Roman" w:cs="Times New Roman"/>
          <w:sz w:val="24"/>
          <w:szCs w:val="24"/>
        </w:rPr>
        <w:t xml:space="preserve"> </w:t>
      </w:r>
      <w:r w:rsidR="00E57142">
        <w:rPr>
          <w:rFonts w:ascii="Times New Roman" w:hAnsi="Times New Roman" w:cs="Times New Roman"/>
          <w:sz w:val="24"/>
          <w:szCs w:val="24"/>
        </w:rPr>
        <w:t xml:space="preserve">to show that </w:t>
      </w:r>
      <w:r w:rsidR="00E57142" w:rsidRPr="001939E5">
        <w:rPr>
          <w:rFonts w:ascii="Times New Roman" w:hAnsi="Times New Roman" w:cs="Times New Roman"/>
          <w:sz w:val="24"/>
          <w:szCs w:val="24"/>
        </w:rPr>
        <w:t>it</w:t>
      </w:r>
      <w:r w:rsidR="00E57142">
        <w:rPr>
          <w:rFonts w:ascii="Times New Roman" w:hAnsi="Times New Roman" w:cs="Times New Roman"/>
          <w:sz w:val="24"/>
          <w:szCs w:val="24"/>
        </w:rPr>
        <w:t xml:space="preserve"> may not</w:t>
      </w:r>
      <w:r w:rsidR="00E57142" w:rsidRPr="001939E5">
        <w:rPr>
          <w:rFonts w:ascii="Times New Roman" w:hAnsi="Times New Roman" w:cs="Times New Roman"/>
          <w:sz w:val="24"/>
          <w:szCs w:val="24"/>
        </w:rPr>
        <w:t xml:space="preserve"> be unconscionable to infer that there is a real possibility of someone taking advantage of unemployed young men and women mainly from the suburbs of Chitungwiza, Epworth and Hatcliffe and initiating them into orgies of violence</w:t>
      </w:r>
      <w:r w:rsidR="00E57142">
        <w:rPr>
          <w:rFonts w:ascii="Times New Roman" w:hAnsi="Times New Roman" w:cs="Times New Roman"/>
          <w:sz w:val="24"/>
          <w:szCs w:val="24"/>
        </w:rPr>
        <w:t>. That possibility</w:t>
      </w:r>
      <w:r w:rsidR="00E57142" w:rsidRPr="001939E5">
        <w:rPr>
          <w:rFonts w:ascii="Times New Roman" w:hAnsi="Times New Roman" w:cs="Times New Roman"/>
          <w:sz w:val="24"/>
          <w:szCs w:val="24"/>
        </w:rPr>
        <w:t xml:space="preserve"> looms large in this case.</w:t>
      </w:r>
      <w:r w:rsidR="00E57142">
        <w:rPr>
          <w:rFonts w:ascii="Times New Roman" w:hAnsi="Times New Roman" w:cs="Times New Roman"/>
          <w:sz w:val="24"/>
          <w:szCs w:val="24"/>
        </w:rPr>
        <w:t xml:space="preserve"> </w:t>
      </w:r>
      <w:r w:rsidR="00BD3E3B" w:rsidRPr="001939E5">
        <w:rPr>
          <w:rFonts w:ascii="Times New Roman" w:hAnsi="Times New Roman" w:cs="Times New Roman"/>
          <w:sz w:val="24"/>
          <w:szCs w:val="24"/>
        </w:rPr>
        <w:t>Given those issues, I do not see any misdirection in the magistrate’s finding that the appellants are likely to commit further offences</w:t>
      </w:r>
      <w:r w:rsidR="00E57142">
        <w:rPr>
          <w:rFonts w:ascii="Times New Roman" w:hAnsi="Times New Roman" w:cs="Times New Roman"/>
          <w:sz w:val="24"/>
          <w:szCs w:val="24"/>
        </w:rPr>
        <w:t>;</w:t>
      </w:r>
      <w:r w:rsidR="00BD3E3B" w:rsidRPr="001939E5">
        <w:rPr>
          <w:rFonts w:ascii="Times New Roman" w:hAnsi="Times New Roman" w:cs="Times New Roman"/>
          <w:sz w:val="24"/>
          <w:szCs w:val="24"/>
        </w:rPr>
        <w:t xml:space="preserve"> that </w:t>
      </w:r>
      <w:r w:rsidR="00E57142">
        <w:rPr>
          <w:rFonts w:ascii="Times New Roman" w:hAnsi="Times New Roman" w:cs="Times New Roman"/>
          <w:sz w:val="24"/>
          <w:szCs w:val="24"/>
        </w:rPr>
        <w:t xml:space="preserve">they exhibited a complete disregard for the law and that </w:t>
      </w:r>
      <w:r w:rsidR="00BD3E3B" w:rsidRPr="001939E5">
        <w:rPr>
          <w:rFonts w:ascii="Times New Roman" w:hAnsi="Times New Roman" w:cs="Times New Roman"/>
          <w:sz w:val="24"/>
          <w:szCs w:val="24"/>
        </w:rPr>
        <w:t xml:space="preserve">their release on bail is likely to put in danger the criminal justice system and threaten public peace and security. </w:t>
      </w:r>
    </w:p>
    <w:p w14:paraId="439B4D9A" w14:textId="77777777" w:rsidR="007D2FC3" w:rsidRDefault="00892DB6" w:rsidP="000F37DA">
      <w:pPr>
        <w:pStyle w:val="ListParagraph"/>
        <w:numPr>
          <w:ilvl w:val="0"/>
          <w:numId w:val="1"/>
        </w:numPr>
        <w:spacing w:after="0" w:line="360" w:lineRule="auto"/>
        <w:jc w:val="both"/>
        <w:rPr>
          <w:rFonts w:ascii="Times New Roman" w:hAnsi="Times New Roman" w:cs="Times New Roman"/>
          <w:sz w:val="24"/>
          <w:szCs w:val="24"/>
        </w:rPr>
      </w:pPr>
      <w:r w:rsidRPr="001939E5">
        <w:rPr>
          <w:rFonts w:ascii="Times New Roman" w:hAnsi="Times New Roman" w:cs="Times New Roman"/>
          <w:sz w:val="24"/>
          <w:szCs w:val="24"/>
        </w:rPr>
        <w:t xml:space="preserve">From how I see </w:t>
      </w:r>
      <w:r w:rsidR="00E57142" w:rsidRPr="001939E5">
        <w:rPr>
          <w:rFonts w:ascii="Times New Roman" w:hAnsi="Times New Roman" w:cs="Times New Roman"/>
          <w:sz w:val="24"/>
          <w:szCs w:val="24"/>
        </w:rPr>
        <w:t>it, I</w:t>
      </w:r>
      <w:r w:rsidR="00BD3E3B" w:rsidRPr="001939E5">
        <w:rPr>
          <w:rFonts w:ascii="Times New Roman" w:hAnsi="Times New Roman" w:cs="Times New Roman"/>
          <w:sz w:val="24"/>
          <w:szCs w:val="24"/>
        </w:rPr>
        <w:t xml:space="preserve"> am </w:t>
      </w:r>
      <w:r w:rsidR="00E57142" w:rsidRPr="001939E5">
        <w:rPr>
          <w:rFonts w:ascii="Times New Roman" w:hAnsi="Times New Roman" w:cs="Times New Roman"/>
          <w:sz w:val="24"/>
          <w:szCs w:val="24"/>
        </w:rPr>
        <w:t>c</w:t>
      </w:r>
      <w:r w:rsidR="00E57142">
        <w:rPr>
          <w:rFonts w:ascii="Times New Roman" w:hAnsi="Times New Roman" w:cs="Times New Roman"/>
          <w:sz w:val="24"/>
          <w:szCs w:val="24"/>
        </w:rPr>
        <w:t xml:space="preserve">onstrained </w:t>
      </w:r>
      <w:r w:rsidR="00E57142" w:rsidRPr="001939E5">
        <w:rPr>
          <w:rFonts w:ascii="Times New Roman" w:hAnsi="Times New Roman" w:cs="Times New Roman"/>
          <w:sz w:val="24"/>
          <w:szCs w:val="24"/>
        </w:rPr>
        <w:t>to</w:t>
      </w:r>
      <w:r w:rsidR="00BD3E3B" w:rsidRPr="001939E5">
        <w:rPr>
          <w:rFonts w:ascii="Times New Roman" w:hAnsi="Times New Roman" w:cs="Times New Roman"/>
          <w:sz w:val="24"/>
          <w:szCs w:val="24"/>
        </w:rPr>
        <w:t xml:space="preserve"> find</w:t>
      </w:r>
      <w:r w:rsidR="00E57142">
        <w:rPr>
          <w:rFonts w:ascii="Times New Roman" w:hAnsi="Times New Roman" w:cs="Times New Roman"/>
          <w:sz w:val="24"/>
          <w:szCs w:val="24"/>
        </w:rPr>
        <w:t xml:space="preserve">, </w:t>
      </w:r>
      <w:r w:rsidR="00BD3E3B" w:rsidRPr="001939E5">
        <w:rPr>
          <w:rFonts w:ascii="Times New Roman" w:hAnsi="Times New Roman" w:cs="Times New Roman"/>
          <w:sz w:val="24"/>
          <w:szCs w:val="24"/>
        </w:rPr>
        <w:t xml:space="preserve">as I hereby </w:t>
      </w:r>
      <w:r w:rsidR="00E57142" w:rsidRPr="001939E5">
        <w:rPr>
          <w:rFonts w:ascii="Times New Roman" w:hAnsi="Times New Roman" w:cs="Times New Roman"/>
          <w:sz w:val="24"/>
          <w:szCs w:val="24"/>
        </w:rPr>
        <w:t>do</w:t>
      </w:r>
      <w:r w:rsidR="00E57142">
        <w:rPr>
          <w:rFonts w:ascii="Times New Roman" w:hAnsi="Times New Roman" w:cs="Times New Roman"/>
          <w:sz w:val="24"/>
          <w:szCs w:val="24"/>
        </w:rPr>
        <w:t xml:space="preserve">, </w:t>
      </w:r>
      <w:r w:rsidR="00E57142" w:rsidRPr="001939E5">
        <w:rPr>
          <w:rFonts w:ascii="Times New Roman" w:hAnsi="Times New Roman" w:cs="Times New Roman"/>
          <w:sz w:val="24"/>
          <w:szCs w:val="24"/>
        </w:rPr>
        <w:t>that</w:t>
      </w:r>
      <w:r w:rsidR="00BD3E3B" w:rsidRPr="001939E5">
        <w:rPr>
          <w:rFonts w:ascii="Times New Roman" w:hAnsi="Times New Roman" w:cs="Times New Roman"/>
          <w:sz w:val="24"/>
          <w:szCs w:val="24"/>
        </w:rPr>
        <w:t xml:space="preserve"> equally grounds of appeal (vi), (vii) and (viii) have no merit</w:t>
      </w:r>
      <w:r w:rsidR="00E57142">
        <w:rPr>
          <w:rFonts w:ascii="Times New Roman" w:hAnsi="Times New Roman" w:cs="Times New Roman"/>
          <w:sz w:val="24"/>
          <w:szCs w:val="24"/>
        </w:rPr>
        <w:t xml:space="preserve"> and must fail.</w:t>
      </w:r>
    </w:p>
    <w:p w14:paraId="63689DF4" w14:textId="72CB21C8" w:rsidR="00BA55EF" w:rsidRPr="000F37DA" w:rsidRDefault="007D2FC3" w:rsidP="000F37DA">
      <w:pPr>
        <w:spacing w:after="0" w:line="360" w:lineRule="auto"/>
        <w:ind w:left="360"/>
        <w:jc w:val="both"/>
        <w:rPr>
          <w:rFonts w:ascii="Times New Roman" w:hAnsi="Times New Roman" w:cs="Times New Roman"/>
          <w:b/>
          <w:bCs/>
          <w:sz w:val="24"/>
          <w:szCs w:val="24"/>
          <w:u w:val="single"/>
        </w:rPr>
      </w:pPr>
      <w:r w:rsidRPr="000F37DA">
        <w:rPr>
          <w:rFonts w:ascii="Times New Roman" w:hAnsi="Times New Roman" w:cs="Times New Roman"/>
          <w:b/>
          <w:bCs/>
          <w:sz w:val="24"/>
          <w:szCs w:val="24"/>
          <w:u w:val="single"/>
        </w:rPr>
        <w:t>Disposition</w:t>
      </w:r>
      <w:r w:rsidR="00E57142" w:rsidRPr="000F37DA">
        <w:rPr>
          <w:rFonts w:ascii="Times New Roman" w:hAnsi="Times New Roman" w:cs="Times New Roman"/>
          <w:b/>
          <w:bCs/>
          <w:sz w:val="24"/>
          <w:szCs w:val="24"/>
          <w:u w:val="single"/>
        </w:rPr>
        <w:t xml:space="preserve"> </w:t>
      </w:r>
    </w:p>
    <w:p w14:paraId="5E5F80A2" w14:textId="78F8C2E6" w:rsidR="000A7FC0" w:rsidRDefault="000A7FC0" w:rsidP="001939E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end, all having been said and done, my conclusion is that there was no misdirection in the court aquo’s overall assessment of the issues and its finding that the appellants were not proper candidates for admission to bail. As stated earlier the only appellant for whom the appeal can succeed is Maxwell Sunday because of his age. </w:t>
      </w:r>
      <w:r w:rsidR="007D2FC3">
        <w:rPr>
          <w:rFonts w:ascii="Times New Roman" w:hAnsi="Times New Roman" w:cs="Times New Roman"/>
          <w:sz w:val="24"/>
          <w:szCs w:val="24"/>
        </w:rPr>
        <w:t xml:space="preserve">That I may have determined the matter differently is a non-issue. What is material is that I didn’t find any misdirection in the decision of the magistrate’s’ court. The discretion of </w:t>
      </w:r>
      <w:r w:rsidR="007D2FC3">
        <w:rPr>
          <w:rFonts w:ascii="Times New Roman" w:hAnsi="Times New Roman" w:cs="Times New Roman"/>
          <w:sz w:val="24"/>
          <w:szCs w:val="24"/>
        </w:rPr>
        <w:lastRenderedPageBreak/>
        <w:t xml:space="preserve">the trial magistrate, which as demonstrated, she exercised quite judiciously must stand. It disbars me from interfering with her judgment. In the circumstances I order as follows: </w:t>
      </w:r>
    </w:p>
    <w:p w14:paraId="131361AC" w14:textId="2039EE5E" w:rsidR="008071D0" w:rsidRDefault="008071D0" w:rsidP="000F37DA">
      <w:pPr>
        <w:pStyle w:val="ListParagraph"/>
        <w:numPr>
          <w:ilvl w:val="0"/>
          <w:numId w:val="7"/>
        </w:numPr>
        <w:spacing w:after="0" w:line="360" w:lineRule="auto"/>
        <w:jc w:val="both"/>
        <w:rPr>
          <w:rFonts w:ascii="Times New Roman" w:hAnsi="Times New Roman" w:cs="Times New Roman"/>
          <w:sz w:val="24"/>
          <w:szCs w:val="24"/>
        </w:rPr>
      </w:pPr>
      <w:bookmarkStart w:id="1" w:name="_Hlk172103590"/>
      <w:r>
        <w:rPr>
          <w:rFonts w:ascii="Times New Roman" w:hAnsi="Times New Roman" w:cs="Times New Roman"/>
          <w:sz w:val="24"/>
          <w:szCs w:val="24"/>
        </w:rPr>
        <w:t xml:space="preserve">The appeal against the refusal to admit appellant </w:t>
      </w:r>
      <w:r w:rsidRPr="008071D0">
        <w:rPr>
          <w:rFonts w:ascii="Times New Roman" w:hAnsi="Times New Roman" w:cs="Times New Roman"/>
          <w:b/>
          <w:bCs/>
          <w:sz w:val="24"/>
          <w:szCs w:val="24"/>
        </w:rPr>
        <w:t>MAXWELL SANDE</w:t>
      </w:r>
      <w:r>
        <w:rPr>
          <w:rFonts w:ascii="Times New Roman" w:hAnsi="Times New Roman" w:cs="Times New Roman"/>
          <w:sz w:val="24"/>
          <w:szCs w:val="24"/>
        </w:rPr>
        <w:t xml:space="preserve"> to bail by the magistrates’ Court sitting at Harare on 27 June 2024 be and is hereby allowed. The decision of the Magistrates Court is accordingly</w:t>
      </w:r>
      <w:bookmarkEnd w:id="1"/>
      <w:r>
        <w:rPr>
          <w:rFonts w:ascii="Times New Roman" w:hAnsi="Times New Roman" w:cs="Times New Roman"/>
          <w:sz w:val="24"/>
          <w:szCs w:val="24"/>
        </w:rPr>
        <w:t xml:space="preserve"> set aside and substituted with the following:</w:t>
      </w:r>
    </w:p>
    <w:p w14:paraId="6C58A835" w14:textId="617CCE34" w:rsidR="008071D0" w:rsidRDefault="008071D0" w:rsidP="000F37DA">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Maxwell Sande is released into the custody of his father Cecil Sande</w:t>
      </w:r>
      <w:r w:rsidR="00DE36B9">
        <w:rPr>
          <w:rFonts w:ascii="Times New Roman" w:hAnsi="Times New Roman" w:cs="Times New Roman"/>
          <w:sz w:val="24"/>
          <w:szCs w:val="24"/>
        </w:rPr>
        <w:t xml:space="preserve"> National Identity No. 49-057521 R 49</w:t>
      </w:r>
      <w:r>
        <w:rPr>
          <w:rFonts w:ascii="Times New Roman" w:hAnsi="Times New Roman" w:cs="Times New Roman"/>
          <w:sz w:val="24"/>
          <w:szCs w:val="24"/>
        </w:rPr>
        <w:t xml:space="preserve"> who shall ensure that at all materials times the appellant shall abide by the conditions of his attendance at court or any other that may from time to time be set by the court. </w:t>
      </w:r>
    </w:p>
    <w:p w14:paraId="56C209A9" w14:textId="012D2DD1" w:rsidR="00BA55EF" w:rsidRPr="000F37DA" w:rsidRDefault="008071D0" w:rsidP="000F37DA">
      <w:pPr>
        <w:pStyle w:val="ListParagraph"/>
        <w:numPr>
          <w:ilvl w:val="0"/>
          <w:numId w:val="7"/>
        </w:numPr>
        <w:spacing w:after="0" w:line="360" w:lineRule="auto"/>
        <w:jc w:val="both"/>
        <w:rPr>
          <w:rFonts w:ascii="Times New Roman" w:hAnsi="Times New Roman" w:cs="Times New Roman"/>
          <w:sz w:val="28"/>
          <w:szCs w:val="28"/>
        </w:rPr>
      </w:pPr>
      <w:r w:rsidRPr="00DE36B9">
        <w:rPr>
          <w:rFonts w:ascii="Times New Roman" w:hAnsi="Times New Roman" w:cs="Times New Roman"/>
          <w:sz w:val="24"/>
          <w:szCs w:val="24"/>
        </w:rPr>
        <w:t xml:space="preserve">The appeal against the refusal to admit appellants </w:t>
      </w:r>
      <w:r w:rsidRPr="00DE36B9">
        <w:rPr>
          <w:rFonts w:ascii="Times New Roman" w:hAnsi="Times New Roman" w:cs="Times New Roman"/>
          <w:b/>
          <w:bCs/>
          <w:sz w:val="24"/>
          <w:szCs w:val="24"/>
        </w:rPr>
        <w:t>one (1)- forty-</w:t>
      </w:r>
      <w:r w:rsidR="00DE36B9" w:rsidRPr="00DE36B9">
        <w:rPr>
          <w:rFonts w:ascii="Times New Roman" w:hAnsi="Times New Roman" w:cs="Times New Roman"/>
          <w:b/>
          <w:bCs/>
          <w:sz w:val="24"/>
          <w:szCs w:val="24"/>
        </w:rPr>
        <w:t>two (</w:t>
      </w:r>
      <w:r w:rsidRPr="00DE36B9">
        <w:rPr>
          <w:rFonts w:ascii="Times New Roman" w:hAnsi="Times New Roman" w:cs="Times New Roman"/>
          <w:b/>
          <w:bCs/>
          <w:sz w:val="24"/>
          <w:szCs w:val="24"/>
        </w:rPr>
        <w:t>42)</w:t>
      </w:r>
      <w:r w:rsidRPr="00DE36B9">
        <w:rPr>
          <w:rFonts w:ascii="Times New Roman" w:hAnsi="Times New Roman" w:cs="Times New Roman"/>
          <w:sz w:val="24"/>
          <w:szCs w:val="24"/>
        </w:rPr>
        <w:t xml:space="preserve"> and </w:t>
      </w:r>
      <w:r w:rsidRPr="00DE36B9">
        <w:rPr>
          <w:rFonts w:ascii="Times New Roman" w:hAnsi="Times New Roman" w:cs="Times New Roman"/>
          <w:b/>
          <w:bCs/>
          <w:sz w:val="24"/>
          <w:szCs w:val="24"/>
        </w:rPr>
        <w:t>forty-four (44) to seventy-five (75)</w:t>
      </w:r>
      <w:r w:rsidRPr="00DE36B9">
        <w:rPr>
          <w:rFonts w:ascii="Times New Roman" w:hAnsi="Times New Roman" w:cs="Times New Roman"/>
          <w:sz w:val="24"/>
          <w:szCs w:val="24"/>
        </w:rPr>
        <w:t xml:space="preserve"> to bail by the </w:t>
      </w:r>
      <w:r w:rsidR="00DE36B9">
        <w:rPr>
          <w:rFonts w:ascii="Times New Roman" w:hAnsi="Times New Roman" w:cs="Times New Roman"/>
          <w:sz w:val="24"/>
          <w:szCs w:val="24"/>
        </w:rPr>
        <w:t>M</w:t>
      </w:r>
      <w:r w:rsidRPr="00DE36B9">
        <w:rPr>
          <w:rFonts w:ascii="Times New Roman" w:hAnsi="Times New Roman" w:cs="Times New Roman"/>
          <w:sz w:val="24"/>
          <w:szCs w:val="24"/>
        </w:rPr>
        <w:t xml:space="preserve">agistrates’ Court sitting at Harare on 27 June 2024 be and is hereby </w:t>
      </w:r>
      <w:r w:rsidR="00DE36B9" w:rsidRPr="00DE36B9">
        <w:rPr>
          <w:rFonts w:ascii="Times New Roman" w:hAnsi="Times New Roman" w:cs="Times New Roman"/>
          <w:sz w:val="24"/>
          <w:szCs w:val="24"/>
        </w:rPr>
        <w:t xml:space="preserve">dismissed in its entirety. </w:t>
      </w:r>
      <w:r w:rsidRPr="00DE36B9">
        <w:rPr>
          <w:rFonts w:ascii="Times New Roman" w:hAnsi="Times New Roman" w:cs="Times New Roman"/>
          <w:sz w:val="24"/>
          <w:szCs w:val="24"/>
        </w:rPr>
        <w:t xml:space="preserve"> </w:t>
      </w:r>
    </w:p>
    <w:p w14:paraId="193C3FBD" w14:textId="77777777" w:rsidR="000F37DA" w:rsidRDefault="000F37DA" w:rsidP="000F37DA">
      <w:pPr>
        <w:spacing w:after="0" w:line="360" w:lineRule="auto"/>
        <w:jc w:val="both"/>
        <w:rPr>
          <w:rFonts w:ascii="Times New Roman" w:hAnsi="Times New Roman" w:cs="Times New Roman"/>
          <w:sz w:val="28"/>
          <w:szCs w:val="28"/>
        </w:rPr>
      </w:pPr>
    </w:p>
    <w:p w14:paraId="2D0749AA" w14:textId="77777777" w:rsidR="000F37DA" w:rsidRPr="000F37DA" w:rsidRDefault="000F37DA" w:rsidP="000F37DA">
      <w:pPr>
        <w:spacing w:after="0" w:line="360" w:lineRule="auto"/>
        <w:jc w:val="both"/>
        <w:rPr>
          <w:rFonts w:ascii="Times New Roman" w:hAnsi="Times New Roman" w:cs="Times New Roman"/>
          <w:sz w:val="28"/>
          <w:szCs w:val="28"/>
        </w:rPr>
      </w:pPr>
    </w:p>
    <w:p w14:paraId="01A6357A" w14:textId="77777777" w:rsidR="001940DD" w:rsidRDefault="001940DD" w:rsidP="001940DD">
      <w:pPr>
        <w:pStyle w:val="NoSpacing"/>
        <w:rPr>
          <w:rFonts w:ascii="Times New Roman" w:hAnsi="Times New Roman" w:cs="Times New Roman"/>
          <w:sz w:val="24"/>
          <w:szCs w:val="24"/>
          <w:lang w:val="en-US"/>
        </w:rPr>
      </w:pPr>
      <w:r w:rsidRPr="003A72FD">
        <w:rPr>
          <w:rFonts w:ascii="Times New Roman" w:hAnsi="Times New Roman" w:cs="Times New Roman"/>
          <w:b/>
          <w:bCs/>
          <w:smallCaps/>
          <w:sz w:val="24"/>
          <w:szCs w:val="24"/>
          <w:lang w:val="en-US"/>
        </w:rPr>
        <w:t xml:space="preserve">Mutevedzi </w:t>
      </w:r>
      <w:r w:rsidRPr="003A72FD">
        <w:rPr>
          <w:rFonts w:ascii="Times New Roman" w:hAnsi="Times New Roman" w:cs="Times New Roman"/>
          <w:b/>
          <w:bCs/>
          <w:sz w:val="24"/>
          <w:szCs w:val="24"/>
          <w:lang w:val="en-US"/>
        </w:rPr>
        <w:t>J</w:t>
      </w:r>
      <w:r>
        <w:rPr>
          <w:rFonts w:ascii="Times New Roman" w:hAnsi="Times New Roman" w:cs="Times New Roman"/>
          <w:sz w:val="24"/>
          <w:szCs w:val="24"/>
          <w:lang w:val="en-US"/>
        </w:rPr>
        <w:t>: ...............................................</w:t>
      </w:r>
    </w:p>
    <w:p w14:paraId="605E4902" w14:textId="77777777" w:rsidR="001940DD" w:rsidRDefault="001940DD" w:rsidP="001940DD">
      <w:pPr>
        <w:pStyle w:val="NoSpacing"/>
        <w:rPr>
          <w:rFonts w:ascii="Times New Roman" w:hAnsi="Times New Roman" w:cs="Times New Roman"/>
          <w:sz w:val="24"/>
          <w:szCs w:val="24"/>
          <w:lang w:val="en-US"/>
        </w:rPr>
      </w:pPr>
    </w:p>
    <w:p w14:paraId="1C23C634" w14:textId="77777777" w:rsidR="001940DD" w:rsidRDefault="001940DD" w:rsidP="001940DD">
      <w:pPr>
        <w:pStyle w:val="NoSpacing"/>
        <w:rPr>
          <w:rFonts w:ascii="Times New Roman" w:hAnsi="Times New Roman" w:cs="Times New Roman"/>
          <w:sz w:val="24"/>
          <w:szCs w:val="24"/>
          <w:lang w:val="en-US"/>
        </w:rPr>
      </w:pPr>
    </w:p>
    <w:p w14:paraId="23777669" w14:textId="77777777" w:rsidR="001940DD" w:rsidRDefault="001940DD" w:rsidP="001940DD">
      <w:pPr>
        <w:pStyle w:val="NoSpacing"/>
        <w:rPr>
          <w:rFonts w:ascii="Times New Roman" w:hAnsi="Times New Roman" w:cs="Times New Roman"/>
          <w:sz w:val="24"/>
          <w:szCs w:val="24"/>
          <w:lang w:val="en-US"/>
        </w:rPr>
      </w:pPr>
      <w:r w:rsidRPr="003A72FD">
        <w:rPr>
          <w:rFonts w:ascii="Times New Roman" w:hAnsi="Times New Roman" w:cs="Times New Roman"/>
          <w:i/>
          <w:iCs/>
          <w:sz w:val="24"/>
          <w:szCs w:val="24"/>
          <w:lang w:val="en-US"/>
        </w:rPr>
        <w:t>Jiti Law Chambers</w:t>
      </w:r>
      <w:r w:rsidRPr="003A72F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A72FD">
        <w:rPr>
          <w:rFonts w:ascii="Times New Roman" w:hAnsi="Times New Roman" w:cs="Times New Roman"/>
          <w:i/>
          <w:iCs/>
          <w:sz w:val="24"/>
          <w:szCs w:val="24"/>
          <w:lang w:val="en-US"/>
        </w:rPr>
        <w:t>Tsunga Law International</w:t>
      </w:r>
      <w:r>
        <w:rPr>
          <w:rFonts w:ascii="Times New Roman" w:hAnsi="Times New Roman" w:cs="Times New Roman"/>
          <w:sz w:val="24"/>
          <w:szCs w:val="24"/>
          <w:lang w:val="en-US"/>
        </w:rPr>
        <w:t xml:space="preserve">, </w:t>
      </w:r>
      <w:r w:rsidRPr="003A72FD">
        <w:rPr>
          <w:rFonts w:ascii="Times New Roman" w:hAnsi="Times New Roman" w:cs="Times New Roman"/>
          <w:i/>
          <w:iCs/>
          <w:sz w:val="24"/>
          <w:szCs w:val="24"/>
          <w:lang w:val="en-US"/>
        </w:rPr>
        <w:t>Kadzere Hungwe &amp; Mandevere &amp; Takundwa-Mbereko Attorneys</w:t>
      </w:r>
      <w:r>
        <w:rPr>
          <w:rFonts w:ascii="Times New Roman" w:hAnsi="Times New Roman" w:cs="Times New Roman"/>
          <w:sz w:val="24"/>
          <w:szCs w:val="24"/>
          <w:lang w:val="en-US"/>
        </w:rPr>
        <w:t>, appellants’ legal practitioners</w:t>
      </w:r>
    </w:p>
    <w:p w14:paraId="3906527E" w14:textId="77777777" w:rsidR="001940DD" w:rsidRPr="00166C6B" w:rsidRDefault="001940DD" w:rsidP="001940DD">
      <w:pPr>
        <w:pStyle w:val="NoSpacing"/>
        <w:rPr>
          <w:rFonts w:ascii="Times New Roman" w:hAnsi="Times New Roman" w:cs="Times New Roman"/>
          <w:sz w:val="24"/>
          <w:szCs w:val="24"/>
          <w:lang w:val="en-US"/>
        </w:rPr>
      </w:pPr>
      <w:r w:rsidRPr="003A72FD">
        <w:rPr>
          <w:rFonts w:ascii="Times New Roman" w:hAnsi="Times New Roman" w:cs="Times New Roman"/>
          <w:i/>
          <w:iCs/>
          <w:sz w:val="24"/>
          <w:szCs w:val="24"/>
          <w:lang w:val="en-US"/>
        </w:rPr>
        <w:t>National Prosecuting Authority</w:t>
      </w:r>
      <w:r>
        <w:rPr>
          <w:rFonts w:ascii="Times New Roman" w:hAnsi="Times New Roman" w:cs="Times New Roman"/>
          <w:sz w:val="24"/>
          <w:szCs w:val="24"/>
          <w:lang w:val="en-US"/>
        </w:rPr>
        <w:t>, state’s legal practitioners</w:t>
      </w:r>
    </w:p>
    <w:p w14:paraId="398ECEBC" w14:textId="77777777" w:rsidR="00BA55EF" w:rsidRDefault="00BA55EF" w:rsidP="00BA55EF">
      <w:pPr>
        <w:pStyle w:val="ListParagraph"/>
        <w:spacing w:line="240" w:lineRule="auto"/>
        <w:jc w:val="both"/>
        <w:rPr>
          <w:rFonts w:ascii="Times New Roman" w:hAnsi="Times New Roman" w:cs="Times New Roman"/>
          <w:sz w:val="28"/>
          <w:szCs w:val="28"/>
        </w:rPr>
      </w:pPr>
    </w:p>
    <w:p w14:paraId="61803778" w14:textId="77777777" w:rsidR="00BA55EF" w:rsidRDefault="00BA55EF" w:rsidP="00BA55EF">
      <w:pPr>
        <w:pStyle w:val="ListParagraph"/>
        <w:spacing w:line="240" w:lineRule="auto"/>
        <w:jc w:val="both"/>
        <w:rPr>
          <w:rFonts w:ascii="Times New Roman" w:hAnsi="Times New Roman" w:cs="Times New Roman"/>
          <w:sz w:val="28"/>
          <w:szCs w:val="28"/>
        </w:rPr>
      </w:pPr>
    </w:p>
    <w:p w14:paraId="4D6AC7FD" w14:textId="08CB70F6" w:rsidR="00BA55EF" w:rsidRPr="00BA55EF" w:rsidRDefault="00BA55EF" w:rsidP="00BA55EF">
      <w:pPr>
        <w:pStyle w:val="ListParagraph"/>
        <w:spacing w:line="240" w:lineRule="auto"/>
        <w:jc w:val="both"/>
        <w:rPr>
          <w:rFonts w:ascii="Times New Roman" w:hAnsi="Times New Roman" w:cs="Times New Roman"/>
          <w:color w:val="FF0000"/>
          <w:sz w:val="28"/>
          <w:szCs w:val="28"/>
        </w:rPr>
      </w:pPr>
    </w:p>
    <w:sectPr w:rsidR="00BA55EF" w:rsidRPr="00BA55EF" w:rsidSect="000F37DA">
      <w:headerReference w:type="default" r:id="rId8"/>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4270E" w14:textId="77777777" w:rsidR="00F761C8" w:rsidRDefault="00F761C8" w:rsidP="00CC1FDC">
      <w:pPr>
        <w:spacing w:after="0" w:line="240" w:lineRule="auto"/>
      </w:pPr>
      <w:r>
        <w:separator/>
      </w:r>
    </w:p>
  </w:endnote>
  <w:endnote w:type="continuationSeparator" w:id="0">
    <w:p w14:paraId="3388DDAE" w14:textId="77777777" w:rsidR="00F761C8" w:rsidRDefault="00F761C8" w:rsidP="00CC1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8E9EB" w14:textId="77777777" w:rsidR="00F761C8" w:rsidRDefault="00F761C8" w:rsidP="00CC1FDC">
      <w:pPr>
        <w:spacing w:after="0" w:line="240" w:lineRule="auto"/>
      </w:pPr>
      <w:r>
        <w:separator/>
      </w:r>
    </w:p>
  </w:footnote>
  <w:footnote w:type="continuationSeparator" w:id="0">
    <w:p w14:paraId="0C43DCF3" w14:textId="77777777" w:rsidR="00F761C8" w:rsidRDefault="00F761C8" w:rsidP="00CC1FDC">
      <w:pPr>
        <w:spacing w:after="0" w:line="240" w:lineRule="auto"/>
      </w:pPr>
      <w:r>
        <w:continuationSeparator/>
      </w:r>
    </w:p>
  </w:footnote>
  <w:footnote w:id="1">
    <w:p w14:paraId="3607DDCB" w14:textId="77777777" w:rsidR="00FE58D3" w:rsidRDefault="00FE58D3" w:rsidP="00FE58D3">
      <w:pPr>
        <w:pStyle w:val="FootnoteText"/>
      </w:pPr>
      <w:r>
        <w:rPr>
          <w:rStyle w:val="FootnoteReference"/>
        </w:rPr>
        <w:footnoteRef/>
      </w:r>
      <w:r>
        <w:t xml:space="preserve"> See </w:t>
      </w:r>
      <w:r w:rsidRPr="00816B61">
        <w:t>https://www.collinsdictionary.com/dictionary/english/grossly-unfair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328121"/>
      <w:docPartObj>
        <w:docPartGallery w:val="Page Numbers (Top of Page)"/>
        <w:docPartUnique/>
      </w:docPartObj>
    </w:sdtPr>
    <w:sdtEndPr>
      <w:rPr>
        <w:noProof/>
      </w:rPr>
    </w:sdtEndPr>
    <w:sdtContent>
      <w:p w14:paraId="1EC80193" w14:textId="1C4231FD" w:rsidR="000F37DA" w:rsidRDefault="000F37DA">
        <w:pPr>
          <w:pStyle w:val="Header"/>
          <w:jc w:val="right"/>
          <w:rPr>
            <w:noProof/>
          </w:rPr>
        </w:pPr>
        <w:r>
          <w:fldChar w:fldCharType="begin"/>
        </w:r>
        <w:r>
          <w:instrText xml:space="preserve"> PAGE   \* MERGEFORMAT </w:instrText>
        </w:r>
        <w:r>
          <w:fldChar w:fldCharType="separate"/>
        </w:r>
        <w:r w:rsidR="004E2D0D">
          <w:rPr>
            <w:noProof/>
          </w:rPr>
          <w:t>1</w:t>
        </w:r>
        <w:r>
          <w:rPr>
            <w:noProof/>
          </w:rPr>
          <w:fldChar w:fldCharType="end"/>
        </w:r>
      </w:p>
      <w:p w14:paraId="4046C806" w14:textId="3869FA0C" w:rsidR="0065441F" w:rsidRDefault="0065441F">
        <w:pPr>
          <w:pStyle w:val="Header"/>
          <w:jc w:val="right"/>
          <w:rPr>
            <w:noProof/>
          </w:rPr>
        </w:pPr>
        <w:r>
          <w:rPr>
            <w:noProof/>
          </w:rPr>
          <w:t>HH 299 - 24</w:t>
        </w:r>
      </w:p>
      <w:p w14:paraId="22026B54" w14:textId="3F11DFDC" w:rsidR="000F37DA" w:rsidRDefault="000F37DA">
        <w:pPr>
          <w:pStyle w:val="Header"/>
          <w:jc w:val="right"/>
        </w:pPr>
        <w:r>
          <w:rPr>
            <w:noProof/>
          </w:rPr>
          <w:t>HCHCR 3093/24</w:t>
        </w:r>
      </w:p>
    </w:sdtContent>
  </w:sdt>
  <w:p w14:paraId="206FC11A" w14:textId="77777777" w:rsidR="000F37DA" w:rsidRDefault="000F37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BE4"/>
    <w:multiLevelType w:val="hybridMultilevel"/>
    <w:tmpl w:val="9A508004"/>
    <w:lvl w:ilvl="0" w:tplc="9182BD52">
      <w:start w:val="1"/>
      <w:numFmt w:val="lowerLetter"/>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1" w15:restartNumberingAfterBreak="0">
    <w:nsid w:val="05DB44E0"/>
    <w:multiLevelType w:val="multilevel"/>
    <w:tmpl w:val="EFDE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2D09"/>
    <w:multiLevelType w:val="hybridMultilevel"/>
    <w:tmpl w:val="53DE0484"/>
    <w:lvl w:ilvl="0" w:tplc="158E6B6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10D1581A"/>
    <w:multiLevelType w:val="hybridMultilevel"/>
    <w:tmpl w:val="3F448354"/>
    <w:lvl w:ilvl="0" w:tplc="C9E27D9A">
      <w:start w:val="1"/>
      <w:numFmt w:val="decimal"/>
      <w:lvlText w:val="[%1]"/>
      <w:lvlJc w:val="left"/>
      <w:pPr>
        <w:ind w:left="720"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64D198A"/>
    <w:multiLevelType w:val="hybridMultilevel"/>
    <w:tmpl w:val="24B6D4A0"/>
    <w:lvl w:ilvl="0" w:tplc="274E556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3A3F519B"/>
    <w:multiLevelType w:val="hybridMultilevel"/>
    <w:tmpl w:val="B1A0C5FC"/>
    <w:lvl w:ilvl="0" w:tplc="30090019">
      <w:start w:val="1"/>
      <w:numFmt w:val="lowerLetter"/>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6" w15:restartNumberingAfterBreak="0">
    <w:nsid w:val="44D30CF3"/>
    <w:multiLevelType w:val="hybridMultilevel"/>
    <w:tmpl w:val="4BEE5B7A"/>
    <w:lvl w:ilvl="0" w:tplc="035EADF0">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5F075F8"/>
    <w:multiLevelType w:val="hybridMultilevel"/>
    <w:tmpl w:val="85DAA6E0"/>
    <w:lvl w:ilvl="0" w:tplc="5BB6B74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75562F06"/>
    <w:multiLevelType w:val="hybridMultilevel"/>
    <w:tmpl w:val="54884E62"/>
    <w:lvl w:ilvl="0" w:tplc="5C8A9F26">
      <w:start w:val="2"/>
      <w:numFmt w:val="lowerLetter"/>
      <w:lvlText w:val="%1."/>
      <w:lvlJc w:val="left"/>
      <w:pPr>
        <w:ind w:left="2880" w:hanging="36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9" w15:restartNumberingAfterBreak="0">
    <w:nsid w:val="7CEF2392"/>
    <w:multiLevelType w:val="hybridMultilevel"/>
    <w:tmpl w:val="9E56FB54"/>
    <w:lvl w:ilvl="0" w:tplc="60C87574">
      <w:start w:val="1"/>
      <w:numFmt w:val="decimal"/>
      <w:lvlText w:val="[%1]"/>
      <w:lvlJc w:val="left"/>
      <w:pPr>
        <w:ind w:left="788" w:hanging="360"/>
      </w:pPr>
      <w:rPr>
        <w:rFonts w:hint="default"/>
      </w:rPr>
    </w:lvl>
    <w:lvl w:ilvl="1" w:tplc="30090019" w:tentative="1">
      <w:start w:val="1"/>
      <w:numFmt w:val="lowerLetter"/>
      <w:lvlText w:val="%2."/>
      <w:lvlJc w:val="left"/>
      <w:pPr>
        <w:ind w:left="1508" w:hanging="360"/>
      </w:pPr>
    </w:lvl>
    <w:lvl w:ilvl="2" w:tplc="3009001B" w:tentative="1">
      <w:start w:val="1"/>
      <w:numFmt w:val="lowerRoman"/>
      <w:lvlText w:val="%3."/>
      <w:lvlJc w:val="right"/>
      <w:pPr>
        <w:ind w:left="2228" w:hanging="180"/>
      </w:pPr>
    </w:lvl>
    <w:lvl w:ilvl="3" w:tplc="3009000F" w:tentative="1">
      <w:start w:val="1"/>
      <w:numFmt w:val="decimal"/>
      <w:lvlText w:val="%4."/>
      <w:lvlJc w:val="left"/>
      <w:pPr>
        <w:ind w:left="2948" w:hanging="360"/>
      </w:pPr>
    </w:lvl>
    <w:lvl w:ilvl="4" w:tplc="30090019" w:tentative="1">
      <w:start w:val="1"/>
      <w:numFmt w:val="lowerLetter"/>
      <w:lvlText w:val="%5."/>
      <w:lvlJc w:val="left"/>
      <w:pPr>
        <w:ind w:left="3668" w:hanging="360"/>
      </w:pPr>
    </w:lvl>
    <w:lvl w:ilvl="5" w:tplc="3009001B" w:tentative="1">
      <w:start w:val="1"/>
      <w:numFmt w:val="lowerRoman"/>
      <w:lvlText w:val="%6."/>
      <w:lvlJc w:val="right"/>
      <w:pPr>
        <w:ind w:left="4388" w:hanging="180"/>
      </w:pPr>
    </w:lvl>
    <w:lvl w:ilvl="6" w:tplc="3009000F" w:tentative="1">
      <w:start w:val="1"/>
      <w:numFmt w:val="decimal"/>
      <w:lvlText w:val="%7."/>
      <w:lvlJc w:val="left"/>
      <w:pPr>
        <w:ind w:left="5108" w:hanging="360"/>
      </w:pPr>
    </w:lvl>
    <w:lvl w:ilvl="7" w:tplc="30090019" w:tentative="1">
      <w:start w:val="1"/>
      <w:numFmt w:val="lowerLetter"/>
      <w:lvlText w:val="%8."/>
      <w:lvlJc w:val="left"/>
      <w:pPr>
        <w:ind w:left="5828" w:hanging="360"/>
      </w:pPr>
    </w:lvl>
    <w:lvl w:ilvl="8" w:tplc="3009001B" w:tentative="1">
      <w:start w:val="1"/>
      <w:numFmt w:val="lowerRoman"/>
      <w:lvlText w:val="%9."/>
      <w:lvlJc w:val="right"/>
      <w:pPr>
        <w:ind w:left="6548" w:hanging="180"/>
      </w:pPr>
    </w:lvl>
  </w:abstractNum>
  <w:num w:numId="1">
    <w:abstractNumId w:val="3"/>
  </w:num>
  <w:num w:numId="2">
    <w:abstractNumId w:val="7"/>
  </w:num>
  <w:num w:numId="3">
    <w:abstractNumId w:val="9"/>
  </w:num>
  <w:num w:numId="4">
    <w:abstractNumId w:val="4"/>
  </w:num>
  <w:num w:numId="5">
    <w:abstractNumId w:val="1"/>
  </w:num>
  <w:num w:numId="6">
    <w:abstractNumId w:val="6"/>
  </w:num>
  <w:num w:numId="7">
    <w:abstractNumId w:val="0"/>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13"/>
    <w:rsid w:val="00034A8D"/>
    <w:rsid w:val="000A011A"/>
    <w:rsid w:val="000A7FC0"/>
    <w:rsid w:val="000F37DA"/>
    <w:rsid w:val="0011715B"/>
    <w:rsid w:val="001320D3"/>
    <w:rsid w:val="001330B7"/>
    <w:rsid w:val="001939E5"/>
    <w:rsid w:val="001940DD"/>
    <w:rsid w:val="001A5219"/>
    <w:rsid w:val="002369E4"/>
    <w:rsid w:val="002D7FA6"/>
    <w:rsid w:val="002F1E70"/>
    <w:rsid w:val="00300EBC"/>
    <w:rsid w:val="00303E5F"/>
    <w:rsid w:val="00317AB0"/>
    <w:rsid w:val="003255C8"/>
    <w:rsid w:val="00352570"/>
    <w:rsid w:val="00372CBD"/>
    <w:rsid w:val="003963F3"/>
    <w:rsid w:val="003B39DB"/>
    <w:rsid w:val="003C4A79"/>
    <w:rsid w:val="003E7B10"/>
    <w:rsid w:val="0040669F"/>
    <w:rsid w:val="004444D7"/>
    <w:rsid w:val="00464EEB"/>
    <w:rsid w:val="004E2D0D"/>
    <w:rsid w:val="005E63E5"/>
    <w:rsid w:val="0065441F"/>
    <w:rsid w:val="00675D0A"/>
    <w:rsid w:val="00690315"/>
    <w:rsid w:val="006B3C1A"/>
    <w:rsid w:val="0070518D"/>
    <w:rsid w:val="00723013"/>
    <w:rsid w:val="00723820"/>
    <w:rsid w:val="007257DB"/>
    <w:rsid w:val="00794F6C"/>
    <w:rsid w:val="007B6D32"/>
    <w:rsid w:val="007D2FC3"/>
    <w:rsid w:val="007F68C9"/>
    <w:rsid w:val="008071D0"/>
    <w:rsid w:val="00873547"/>
    <w:rsid w:val="00883B14"/>
    <w:rsid w:val="00892DB6"/>
    <w:rsid w:val="008A3309"/>
    <w:rsid w:val="00906ADD"/>
    <w:rsid w:val="009155CD"/>
    <w:rsid w:val="00962B9B"/>
    <w:rsid w:val="00966AB0"/>
    <w:rsid w:val="00A735E3"/>
    <w:rsid w:val="00A920D9"/>
    <w:rsid w:val="00AA0740"/>
    <w:rsid w:val="00AA314E"/>
    <w:rsid w:val="00B26243"/>
    <w:rsid w:val="00B30D04"/>
    <w:rsid w:val="00B37E76"/>
    <w:rsid w:val="00B67646"/>
    <w:rsid w:val="00B92646"/>
    <w:rsid w:val="00BA55EF"/>
    <w:rsid w:val="00BD3E3B"/>
    <w:rsid w:val="00BE6EEF"/>
    <w:rsid w:val="00C50507"/>
    <w:rsid w:val="00C56802"/>
    <w:rsid w:val="00C80D58"/>
    <w:rsid w:val="00CA0635"/>
    <w:rsid w:val="00CA47E6"/>
    <w:rsid w:val="00CC1FDC"/>
    <w:rsid w:val="00D06F65"/>
    <w:rsid w:val="00D17F4A"/>
    <w:rsid w:val="00D53A19"/>
    <w:rsid w:val="00D57B86"/>
    <w:rsid w:val="00DE36B9"/>
    <w:rsid w:val="00E24F25"/>
    <w:rsid w:val="00E350E4"/>
    <w:rsid w:val="00E57142"/>
    <w:rsid w:val="00E71CCB"/>
    <w:rsid w:val="00E725D8"/>
    <w:rsid w:val="00EE2AB6"/>
    <w:rsid w:val="00F47402"/>
    <w:rsid w:val="00F761C8"/>
    <w:rsid w:val="00F96CEF"/>
    <w:rsid w:val="00FA0D53"/>
    <w:rsid w:val="00FB5EFD"/>
    <w:rsid w:val="00FE58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E9C63"/>
  <w15:chartTrackingRefBased/>
  <w15:docId w15:val="{F9F7D177-E023-40A6-A336-07BDF6A7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E70"/>
    <w:pPr>
      <w:ind w:left="720"/>
      <w:contextualSpacing/>
    </w:pPr>
  </w:style>
  <w:style w:type="paragraph" w:customStyle="1" w:styleId="Default">
    <w:name w:val="Default"/>
    <w:rsid w:val="00906AD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trt0xe">
    <w:name w:val="trt0xe"/>
    <w:basedOn w:val="Normal"/>
    <w:rsid w:val="00794F6C"/>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paragraph" w:styleId="EndnoteText">
    <w:name w:val="endnote text"/>
    <w:basedOn w:val="Normal"/>
    <w:link w:val="EndnoteTextChar"/>
    <w:uiPriority w:val="99"/>
    <w:semiHidden/>
    <w:unhideWhenUsed/>
    <w:rsid w:val="00CC1F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1FDC"/>
    <w:rPr>
      <w:sz w:val="20"/>
      <w:szCs w:val="20"/>
    </w:rPr>
  </w:style>
  <w:style w:type="character" w:styleId="EndnoteReference">
    <w:name w:val="endnote reference"/>
    <w:basedOn w:val="DefaultParagraphFont"/>
    <w:uiPriority w:val="99"/>
    <w:semiHidden/>
    <w:unhideWhenUsed/>
    <w:rsid w:val="00CC1FDC"/>
    <w:rPr>
      <w:vertAlign w:val="superscript"/>
    </w:rPr>
  </w:style>
  <w:style w:type="paragraph" w:styleId="Header">
    <w:name w:val="header"/>
    <w:basedOn w:val="Normal"/>
    <w:link w:val="HeaderChar"/>
    <w:uiPriority w:val="99"/>
    <w:unhideWhenUsed/>
    <w:rsid w:val="00E24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F25"/>
  </w:style>
  <w:style w:type="paragraph" w:styleId="Footer">
    <w:name w:val="footer"/>
    <w:basedOn w:val="Normal"/>
    <w:link w:val="FooterChar"/>
    <w:uiPriority w:val="99"/>
    <w:unhideWhenUsed/>
    <w:rsid w:val="00E24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F25"/>
  </w:style>
  <w:style w:type="paragraph" w:styleId="FootnoteText">
    <w:name w:val="footnote text"/>
    <w:basedOn w:val="Normal"/>
    <w:link w:val="FootnoteTextChar"/>
    <w:uiPriority w:val="99"/>
    <w:semiHidden/>
    <w:unhideWhenUsed/>
    <w:rsid w:val="00D57B86"/>
    <w:pPr>
      <w:spacing w:after="0" w:line="240" w:lineRule="auto"/>
    </w:pPr>
    <w:rPr>
      <w:rFonts w:eastAsiaTheme="minorEastAsia"/>
      <w:kern w:val="0"/>
      <w:sz w:val="20"/>
      <w:szCs w:val="20"/>
      <w:lang w:val="en-US"/>
      <w14:ligatures w14:val="none"/>
    </w:rPr>
  </w:style>
  <w:style w:type="character" w:customStyle="1" w:styleId="FootnoteTextChar">
    <w:name w:val="Footnote Text Char"/>
    <w:basedOn w:val="DefaultParagraphFont"/>
    <w:link w:val="FootnoteText"/>
    <w:uiPriority w:val="99"/>
    <w:semiHidden/>
    <w:rsid w:val="00D57B86"/>
    <w:rPr>
      <w:rFonts w:eastAsiaTheme="minorEastAsia"/>
      <w:kern w:val="0"/>
      <w:sz w:val="20"/>
      <w:szCs w:val="20"/>
      <w:lang w:val="en-US"/>
      <w14:ligatures w14:val="none"/>
    </w:rPr>
  </w:style>
  <w:style w:type="character" w:styleId="FootnoteReference">
    <w:name w:val="footnote reference"/>
    <w:basedOn w:val="DefaultParagraphFont"/>
    <w:uiPriority w:val="99"/>
    <w:semiHidden/>
    <w:unhideWhenUsed/>
    <w:rsid w:val="00D57B86"/>
    <w:rPr>
      <w:vertAlign w:val="superscript"/>
    </w:rPr>
  </w:style>
  <w:style w:type="paragraph" w:styleId="NoSpacing">
    <w:name w:val="No Spacing"/>
    <w:uiPriority w:val="1"/>
    <w:qFormat/>
    <w:rsid w:val="001940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3DD4F-CD57-42AA-BAA8-B29E4D47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5388</Words>
  <Characters>30713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2024-07-19T09:35:00Z</dcterms:created>
  <dcterms:modified xsi:type="dcterms:W3CDTF">2024-07-19T09:35:00Z</dcterms:modified>
</cp:coreProperties>
</file>