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F0" w:rsidRDefault="002353F0" w:rsidP="0088271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JAME</w:t>
      </w:r>
      <w:r w:rsidR="009F5D24">
        <w:rPr>
          <w:rFonts w:ascii="Times New Roman" w:hAnsi="Times New Roman" w:cs="Times New Roman"/>
          <w:sz w:val="24"/>
          <w:szCs w:val="24"/>
        </w:rPr>
        <w:t>S</w:t>
      </w:r>
      <w:r>
        <w:rPr>
          <w:rFonts w:ascii="Times New Roman" w:hAnsi="Times New Roman" w:cs="Times New Roman"/>
          <w:sz w:val="24"/>
          <w:szCs w:val="24"/>
        </w:rPr>
        <w:t xml:space="preserve"> GINIO</w:t>
      </w:r>
    </w:p>
    <w:p w:rsidR="002353F0" w:rsidRDefault="002353F0"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353F0" w:rsidRDefault="002353F0"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MEMASH HOLDINGS (PVT) LTD</w:t>
      </w:r>
    </w:p>
    <w:p w:rsidR="002353F0" w:rsidRDefault="002353F0"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353F0" w:rsidRDefault="002353F0"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ASHEL KUDZANAI MAENZANISE</w:t>
      </w:r>
    </w:p>
    <w:p w:rsidR="002353F0" w:rsidRDefault="00556A58"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353F0">
        <w:rPr>
          <w:rFonts w:ascii="Times New Roman" w:hAnsi="Times New Roman" w:cs="Times New Roman"/>
          <w:sz w:val="24"/>
          <w:szCs w:val="24"/>
        </w:rPr>
        <w:t>nd</w:t>
      </w:r>
    </w:p>
    <w:p w:rsidR="002353F0" w:rsidRDefault="002353F0"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MEMORY KATSINGANO</w:t>
      </w:r>
    </w:p>
    <w:p w:rsidR="002353F0" w:rsidRDefault="00213336"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353F0">
        <w:rPr>
          <w:rFonts w:ascii="Times New Roman" w:hAnsi="Times New Roman" w:cs="Times New Roman"/>
          <w:sz w:val="24"/>
          <w:szCs w:val="24"/>
        </w:rPr>
        <w:t>nd</w:t>
      </w:r>
    </w:p>
    <w:p w:rsidR="002353F0" w:rsidRDefault="002353F0"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213336">
        <w:rPr>
          <w:rFonts w:ascii="Times New Roman" w:hAnsi="Times New Roman" w:cs="Times New Roman"/>
          <w:sz w:val="24"/>
          <w:szCs w:val="24"/>
        </w:rPr>
        <w:t>INO- ZIMBABWE CEMENT COMPANY (PVT) LTD</w:t>
      </w:r>
    </w:p>
    <w:p w:rsidR="00213336" w:rsidRDefault="00213336"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213336" w:rsidRDefault="00213336"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CHITUNGWIZA MUNICIPARITY</w:t>
      </w:r>
    </w:p>
    <w:p w:rsidR="00213336" w:rsidRDefault="00213336"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D3C70" w:rsidRDefault="00213336"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90853">
        <w:rPr>
          <w:rFonts w:ascii="Times New Roman" w:hAnsi="Times New Roman" w:cs="Times New Roman"/>
          <w:sz w:val="24"/>
          <w:szCs w:val="24"/>
        </w:rPr>
        <w:t>HE REGISTRAR OF DEEDS</w:t>
      </w:r>
    </w:p>
    <w:p w:rsidR="00190853" w:rsidRDefault="00190853" w:rsidP="00882713">
      <w:pPr>
        <w:spacing w:after="0" w:line="240" w:lineRule="auto"/>
        <w:jc w:val="both"/>
        <w:rPr>
          <w:rFonts w:ascii="Times New Roman" w:hAnsi="Times New Roman" w:cs="Times New Roman"/>
          <w:sz w:val="24"/>
          <w:szCs w:val="24"/>
        </w:rPr>
      </w:pPr>
    </w:p>
    <w:p w:rsidR="00190853" w:rsidRDefault="00190853" w:rsidP="00882713">
      <w:pPr>
        <w:spacing w:after="0" w:line="240" w:lineRule="auto"/>
        <w:jc w:val="both"/>
        <w:rPr>
          <w:rFonts w:ascii="Times New Roman" w:hAnsi="Times New Roman" w:cs="Times New Roman"/>
          <w:sz w:val="24"/>
          <w:szCs w:val="24"/>
        </w:rPr>
      </w:pPr>
    </w:p>
    <w:p w:rsidR="00190853" w:rsidRDefault="00190853"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90853" w:rsidRDefault="00190853"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w:t>
      </w:r>
      <w:r w:rsidR="00F50A5D">
        <w:rPr>
          <w:rFonts w:ascii="Times New Roman" w:hAnsi="Times New Roman" w:cs="Times New Roman"/>
          <w:sz w:val="24"/>
          <w:szCs w:val="24"/>
        </w:rPr>
        <w:t xml:space="preserve"> J</w:t>
      </w:r>
    </w:p>
    <w:p w:rsidR="009E7C41" w:rsidRDefault="00190853"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01996">
        <w:rPr>
          <w:rFonts w:ascii="Times New Roman" w:hAnsi="Times New Roman" w:cs="Times New Roman"/>
          <w:sz w:val="24"/>
          <w:szCs w:val="24"/>
        </w:rPr>
        <w:t>, 30 June</w:t>
      </w:r>
      <w:r w:rsidR="00662BBA">
        <w:rPr>
          <w:rFonts w:ascii="Times New Roman" w:hAnsi="Times New Roman" w:cs="Times New Roman"/>
          <w:sz w:val="24"/>
          <w:szCs w:val="24"/>
        </w:rPr>
        <w:t>, 7</w:t>
      </w:r>
      <w:r w:rsidR="00001996">
        <w:rPr>
          <w:rFonts w:ascii="Times New Roman" w:hAnsi="Times New Roman" w:cs="Times New Roman"/>
          <w:sz w:val="24"/>
          <w:szCs w:val="24"/>
        </w:rPr>
        <w:t xml:space="preserve"> J</w:t>
      </w:r>
      <w:r w:rsidR="004810EE">
        <w:rPr>
          <w:rFonts w:ascii="Times New Roman" w:hAnsi="Times New Roman" w:cs="Times New Roman"/>
          <w:sz w:val="24"/>
          <w:szCs w:val="24"/>
        </w:rPr>
        <w:t>uly 2021</w:t>
      </w:r>
      <w:r w:rsidR="001D47D5">
        <w:rPr>
          <w:rFonts w:ascii="Times New Roman" w:hAnsi="Times New Roman" w:cs="Times New Roman"/>
          <w:sz w:val="24"/>
          <w:szCs w:val="24"/>
        </w:rPr>
        <w:t xml:space="preserve"> and 15</w:t>
      </w:r>
      <w:r w:rsidR="00B26A9A">
        <w:rPr>
          <w:rFonts w:ascii="Times New Roman" w:hAnsi="Times New Roman" w:cs="Times New Roman"/>
          <w:sz w:val="24"/>
          <w:szCs w:val="24"/>
        </w:rPr>
        <w:t xml:space="preserve"> September, 2021</w:t>
      </w:r>
    </w:p>
    <w:p w:rsidR="00190853" w:rsidRDefault="00190853" w:rsidP="00882713">
      <w:pPr>
        <w:spacing w:after="0" w:line="240" w:lineRule="auto"/>
        <w:jc w:val="both"/>
        <w:rPr>
          <w:rFonts w:ascii="Times New Roman" w:hAnsi="Times New Roman" w:cs="Times New Roman"/>
          <w:sz w:val="24"/>
          <w:szCs w:val="24"/>
        </w:rPr>
      </w:pPr>
    </w:p>
    <w:p w:rsidR="004810EE" w:rsidRDefault="004810EE" w:rsidP="004810EE">
      <w:pPr>
        <w:spacing w:after="0" w:line="360" w:lineRule="auto"/>
        <w:jc w:val="both"/>
        <w:rPr>
          <w:rFonts w:ascii="Times New Roman" w:hAnsi="Times New Roman" w:cs="Times New Roman"/>
          <w:sz w:val="24"/>
          <w:szCs w:val="24"/>
        </w:rPr>
      </w:pPr>
    </w:p>
    <w:p w:rsidR="004810EE" w:rsidRPr="002E1A99" w:rsidRDefault="004810EE" w:rsidP="004810EE">
      <w:pPr>
        <w:spacing w:after="0" w:line="360" w:lineRule="auto"/>
        <w:jc w:val="both"/>
        <w:rPr>
          <w:rFonts w:ascii="Times New Roman" w:hAnsi="Times New Roman" w:cs="Times New Roman"/>
          <w:b/>
          <w:sz w:val="24"/>
          <w:szCs w:val="24"/>
        </w:rPr>
      </w:pPr>
      <w:r w:rsidRPr="002E1A99">
        <w:rPr>
          <w:rFonts w:ascii="Times New Roman" w:hAnsi="Times New Roman" w:cs="Times New Roman"/>
          <w:b/>
          <w:sz w:val="24"/>
          <w:szCs w:val="24"/>
        </w:rPr>
        <w:t xml:space="preserve">Unopposed court application for a declaratur </w:t>
      </w:r>
    </w:p>
    <w:p w:rsidR="00190853" w:rsidRDefault="00190853" w:rsidP="00882713">
      <w:pPr>
        <w:spacing w:after="0" w:line="240" w:lineRule="auto"/>
        <w:jc w:val="both"/>
        <w:rPr>
          <w:rFonts w:ascii="Times New Roman" w:hAnsi="Times New Roman" w:cs="Times New Roman"/>
          <w:sz w:val="24"/>
          <w:szCs w:val="24"/>
        </w:rPr>
      </w:pPr>
    </w:p>
    <w:p w:rsidR="00190853" w:rsidRPr="009E7C41" w:rsidRDefault="00190853" w:rsidP="00882713">
      <w:pPr>
        <w:spacing w:after="0" w:line="240" w:lineRule="auto"/>
        <w:jc w:val="both"/>
        <w:rPr>
          <w:rFonts w:ascii="Times New Roman" w:hAnsi="Times New Roman" w:cs="Times New Roman"/>
          <w:sz w:val="24"/>
          <w:szCs w:val="24"/>
        </w:rPr>
      </w:pPr>
    </w:p>
    <w:p w:rsidR="00627E7C" w:rsidRDefault="00313D07"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D3DE6">
        <w:rPr>
          <w:rFonts w:ascii="Times New Roman" w:hAnsi="Times New Roman" w:cs="Times New Roman"/>
          <w:i/>
          <w:sz w:val="24"/>
          <w:szCs w:val="24"/>
        </w:rPr>
        <w:t>T. Kachara</w:t>
      </w:r>
      <w:r w:rsidR="00BD3DE6">
        <w:rPr>
          <w:rFonts w:ascii="Times New Roman" w:hAnsi="Times New Roman" w:cs="Times New Roman"/>
          <w:sz w:val="24"/>
          <w:szCs w:val="24"/>
        </w:rPr>
        <w:t>,</w:t>
      </w:r>
      <w:r>
        <w:rPr>
          <w:rFonts w:ascii="Times New Roman" w:hAnsi="Times New Roman" w:cs="Times New Roman"/>
          <w:sz w:val="24"/>
          <w:szCs w:val="24"/>
        </w:rPr>
        <w:t xml:space="preserve"> </w:t>
      </w:r>
      <w:r w:rsidR="00627E7C">
        <w:rPr>
          <w:rFonts w:ascii="Times New Roman" w:hAnsi="Times New Roman" w:cs="Times New Roman"/>
          <w:sz w:val="24"/>
          <w:szCs w:val="24"/>
        </w:rPr>
        <w:t xml:space="preserve">for the applicant </w:t>
      </w:r>
    </w:p>
    <w:p w:rsidR="00190853" w:rsidRDefault="00313D07" w:rsidP="00882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Respondent in default </w:t>
      </w:r>
    </w:p>
    <w:p w:rsidR="00190853" w:rsidRDefault="00190853" w:rsidP="00882713">
      <w:pPr>
        <w:spacing w:after="0" w:line="240" w:lineRule="auto"/>
        <w:jc w:val="both"/>
        <w:rPr>
          <w:rFonts w:ascii="Times New Roman" w:hAnsi="Times New Roman" w:cs="Times New Roman"/>
          <w:sz w:val="24"/>
          <w:szCs w:val="24"/>
        </w:rPr>
      </w:pPr>
    </w:p>
    <w:p w:rsidR="00627E7C" w:rsidRDefault="00627E7C" w:rsidP="0009328E">
      <w:pPr>
        <w:spacing w:after="0" w:line="240" w:lineRule="auto"/>
        <w:jc w:val="both"/>
        <w:rPr>
          <w:rFonts w:ascii="Times New Roman" w:hAnsi="Times New Roman" w:cs="Times New Roman"/>
          <w:sz w:val="24"/>
          <w:szCs w:val="24"/>
        </w:rPr>
      </w:pPr>
    </w:p>
    <w:p w:rsidR="00F57BAD" w:rsidRPr="00DD7734" w:rsidRDefault="00662BBA" w:rsidP="00BE2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CHITAPI J</w:t>
      </w:r>
      <w:r w:rsidR="00627E7C" w:rsidRPr="00DD7734">
        <w:rPr>
          <w:rFonts w:ascii="Times New Roman" w:hAnsi="Times New Roman" w:cs="Times New Roman"/>
          <w:sz w:val="24"/>
          <w:szCs w:val="24"/>
        </w:rPr>
        <w:t>:</w:t>
      </w:r>
      <w:r w:rsidR="00627E7C" w:rsidRPr="00DD7734">
        <w:rPr>
          <w:rFonts w:ascii="Times New Roman" w:hAnsi="Times New Roman" w:cs="Times New Roman"/>
          <w:sz w:val="24"/>
          <w:szCs w:val="24"/>
        </w:rPr>
        <w:tab/>
        <w:t xml:space="preserve">Ordinarily, a judgment would not have been necessary in an unopposed application.  This judgment was considered necessary to clear an issue of </w:t>
      </w:r>
      <w:r w:rsidR="00627E7C" w:rsidRPr="00DD7734">
        <w:rPr>
          <w:rFonts w:ascii="Times New Roman" w:hAnsi="Times New Roman" w:cs="Times New Roman"/>
          <w:i/>
          <w:sz w:val="24"/>
          <w:szCs w:val="24"/>
        </w:rPr>
        <w:t>lis pendens</w:t>
      </w:r>
      <w:r w:rsidR="00627E7C" w:rsidRPr="00DD7734">
        <w:rPr>
          <w:rFonts w:ascii="Times New Roman" w:hAnsi="Times New Roman" w:cs="Times New Roman"/>
          <w:sz w:val="24"/>
          <w:szCs w:val="24"/>
        </w:rPr>
        <w:t xml:space="preserve"> which arose when this application was dealt with by </w:t>
      </w:r>
      <w:r w:rsidR="00627E7C" w:rsidRPr="00AE2CA9">
        <w:rPr>
          <w:rFonts w:ascii="Times New Roman" w:hAnsi="Times New Roman" w:cs="Times New Roman"/>
          <w:smallCaps/>
          <w:sz w:val="24"/>
          <w:szCs w:val="24"/>
        </w:rPr>
        <w:t xml:space="preserve">Chinamora </w:t>
      </w:r>
      <w:r w:rsidR="00627E7C" w:rsidRPr="00DD7734">
        <w:rPr>
          <w:rFonts w:ascii="Times New Roman" w:hAnsi="Times New Roman" w:cs="Times New Roman"/>
          <w:sz w:val="24"/>
          <w:szCs w:val="24"/>
        </w:rPr>
        <w:t xml:space="preserve">J on 12 May, 2021.  The learned judge removed the application from the roll and made note that an appeal pending before this court which was concerned with the same thereafter was set down for hearing on 24 May, 2021.  It was considered then that to grant an order as prayed for by the applicant would pre-empt the decision of the appeal court.  Upon resetting the application on the unopposed roll, the applicant filed supplementary heads of argument to address the issue of </w:t>
      </w:r>
      <w:r w:rsidR="00627E7C" w:rsidRPr="00DD7734">
        <w:rPr>
          <w:rFonts w:ascii="Times New Roman" w:hAnsi="Times New Roman" w:cs="Times New Roman"/>
          <w:i/>
          <w:sz w:val="24"/>
          <w:szCs w:val="24"/>
        </w:rPr>
        <w:t>lis pendens</w:t>
      </w:r>
      <w:r w:rsidR="00627E7C" w:rsidRPr="00DD7734">
        <w:rPr>
          <w:rFonts w:ascii="Times New Roman" w:hAnsi="Times New Roman" w:cs="Times New Roman"/>
          <w:sz w:val="24"/>
          <w:szCs w:val="24"/>
        </w:rPr>
        <w:t xml:space="preserve"> raised by </w:t>
      </w:r>
      <w:r w:rsidR="00627E7C" w:rsidRPr="00AE2CA9">
        <w:rPr>
          <w:rFonts w:ascii="Times New Roman" w:hAnsi="Times New Roman" w:cs="Times New Roman"/>
          <w:smallCaps/>
          <w:sz w:val="24"/>
          <w:szCs w:val="24"/>
        </w:rPr>
        <w:t xml:space="preserve">Chinamora </w:t>
      </w:r>
      <w:r w:rsidR="00627E7C" w:rsidRPr="00DD7734">
        <w:rPr>
          <w:rFonts w:ascii="Times New Roman" w:hAnsi="Times New Roman" w:cs="Times New Roman"/>
          <w:sz w:val="24"/>
          <w:szCs w:val="24"/>
        </w:rPr>
        <w:t xml:space="preserve">J as aforesaid. </w:t>
      </w:r>
    </w:p>
    <w:p w:rsidR="00B43840" w:rsidRPr="00DD7734" w:rsidRDefault="00627E7C" w:rsidP="00063696">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It is necessary to outline the background facts and paper final which culminated in the appeal in issue being filed under </w:t>
      </w:r>
      <w:r w:rsidR="00CB48DD" w:rsidRPr="00DD7734">
        <w:rPr>
          <w:rFonts w:ascii="Times New Roman" w:hAnsi="Times New Roman" w:cs="Times New Roman"/>
          <w:sz w:val="24"/>
          <w:szCs w:val="24"/>
        </w:rPr>
        <w:t>case no</w:t>
      </w:r>
      <w:r w:rsidRPr="00DD7734">
        <w:rPr>
          <w:rFonts w:ascii="Times New Roman" w:hAnsi="Times New Roman" w:cs="Times New Roman"/>
          <w:sz w:val="24"/>
          <w:szCs w:val="24"/>
        </w:rPr>
        <w:t xml:space="preserve">. CIV ‘A’ 184/20.  The applicant averred that what generated the making of this application was that the applicant was issued with a warrant of execution against property issued out of the Magistrates Court, Gweru in Case No. 775/2017.  The writ was issued in consequence of a judgment by consent granted on 26 July, 2018.  The </w:t>
      </w:r>
      <w:r w:rsidRPr="00DD7734">
        <w:rPr>
          <w:rFonts w:ascii="Times New Roman" w:hAnsi="Times New Roman" w:cs="Times New Roman"/>
          <w:sz w:val="24"/>
          <w:szCs w:val="24"/>
        </w:rPr>
        <w:lastRenderedPageBreak/>
        <w:t>parties in that case were the 4</w:t>
      </w:r>
      <w:r w:rsidRPr="00DD7734">
        <w:rPr>
          <w:rFonts w:ascii="Times New Roman" w:hAnsi="Times New Roman" w:cs="Times New Roman"/>
          <w:sz w:val="24"/>
          <w:szCs w:val="24"/>
          <w:vertAlign w:val="superscript"/>
        </w:rPr>
        <w:t>th</w:t>
      </w:r>
      <w:r w:rsidRPr="00DD7734">
        <w:rPr>
          <w:rFonts w:ascii="Times New Roman" w:hAnsi="Times New Roman" w:cs="Times New Roman"/>
          <w:sz w:val="24"/>
          <w:szCs w:val="24"/>
        </w:rPr>
        <w:t xml:space="preserve"> respondent herein as plaintiff with the 1</w:t>
      </w:r>
      <w:r w:rsidRPr="00DD7734">
        <w:rPr>
          <w:rFonts w:ascii="Times New Roman" w:hAnsi="Times New Roman" w:cs="Times New Roman"/>
          <w:sz w:val="24"/>
          <w:szCs w:val="24"/>
          <w:vertAlign w:val="superscript"/>
        </w:rPr>
        <w:t>st</w:t>
      </w:r>
      <w:r w:rsidRPr="00DD7734">
        <w:rPr>
          <w:rFonts w:ascii="Times New Roman" w:hAnsi="Times New Roman" w:cs="Times New Roman"/>
          <w:sz w:val="24"/>
          <w:szCs w:val="24"/>
        </w:rPr>
        <w:t>, 2</w:t>
      </w:r>
      <w:r w:rsidRPr="00DD7734">
        <w:rPr>
          <w:rFonts w:ascii="Times New Roman" w:hAnsi="Times New Roman" w:cs="Times New Roman"/>
          <w:sz w:val="24"/>
          <w:szCs w:val="24"/>
          <w:vertAlign w:val="superscript"/>
        </w:rPr>
        <w:t>nd</w:t>
      </w:r>
      <w:r w:rsidRPr="00DD7734">
        <w:rPr>
          <w:rFonts w:ascii="Times New Roman" w:hAnsi="Times New Roman" w:cs="Times New Roman"/>
          <w:sz w:val="24"/>
          <w:szCs w:val="24"/>
        </w:rPr>
        <w:t xml:space="preserve"> and 3</w:t>
      </w:r>
      <w:r w:rsidRPr="00DD7734">
        <w:rPr>
          <w:rFonts w:ascii="Times New Roman" w:hAnsi="Times New Roman" w:cs="Times New Roman"/>
          <w:sz w:val="24"/>
          <w:szCs w:val="24"/>
          <w:vertAlign w:val="superscript"/>
        </w:rPr>
        <w:t>rd</w:t>
      </w:r>
      <w:r w:rsidRPr="00DD7734">
        <w:rPr>
          <w:rFonts w:ascii="Times New Roman" w:hAnsi="Times New Roman" w:cs="Times New Roman"/>
          <w:sz w:val="24"/>
          <w:szCs w:val="24"/>
        </w:rPr>
        <w:t xml:space="preserve"> respondents herein being the defendants.  The 4</w:t>
      </w:r>
      <w:r w:rsidRPr="00DD7734">
        <w:rPr>
          <w:rFonts w:ascii="Times New Roman" w:hAnsi="Times New Roman" w:cs="Times New Roman"/>
          <w:sz w:val="24"/>
          <w:szCs w:val="24"/>
          <w:vertAlign w:val="superscript"/>
        </w:rPr>
        <w:t>th</w:t>
      </w:r>
      <w:r w:rsidRPr="00DD7734">
        <w:rPr>
          <w:rFonts w:ascii="Times New Roman" w:hAnsi="Times New Roman" w:cs="Times New Roman"/>
          <w:sz w:val="24"/>
          <w:szCs w:val="24"/>
        </w:rPr>
        <w:t xml:space="preserve"> respondent sued the 1</w:t>
      </w:r>
      <w:r w:rsidRPr="00DD7734">
        <w:rPr>
          <w:rFonts w:ascii="Times New Roman" w:hAnsi="Times New Roman" w:cs="Times New Roman"/>
          <w:sz w:val="24"/>
          <w:szCs w:val="24"/>
          <w:vertAlign w:val="superscript"/>
        </w:rPr>
        <w:t>st</w:t>
      </w:r>
      <w:r w:rsidRPr="00DD7734">
        <w:rPr>
          <w:rFonts w:ascii="Times New Roman" w:hAnsi="Times New Roman" w:cs="Times New Roman"/>
          <w:sz w:val="24"/>
          <w:szCs w:val="24"/>
        </w:rPr>
        <w:t>, 2</w:t>
      </w:r>
      <w:r w:rsidRPr="00DD7734">
        <w:rPr>
          <w:rFonts w:ascii="Times New Roman" w:hAnsi="Times New Roman" w:cs="Times New Roman"/>
          <w:sz w:val="24"/>
          <w:szCs w:val="24"/>
          <w:vertAlign w:val="superscript"/>
        </w:rPr>
        <w:t>nd</w:t>
      </w:r>
      <w:r w:rsidRPr="00DD7734">
        <w:rPr>
          <w:rFonts w:ascii="Times New Roman" w:hAnsi="Times New Roman" w:cs="Times New Roman"/>
          <w:sz w:val="24"/>
          <w:szCs w:val="24"/>
        </w:rPr>
        <w:t>, and 3</w:t>
      </w:r>
      <w:r w:rsidRPr="00DD7734">
        <w:rPr>
          <w:rFonts w:ascii="Times New Roman" w:hAnsi="Times New Roman" w:cs="Times New Roman"/>
          <w:sz w:val="24"/>
          <w:szCs w:val="24"/>
          <w:vertAlign w:val="superscript"/>
        </w:rPr>
        <w:t>rd</w:t>
      </w:r>
      <w:r w:rsidRPr="00DD7734">
        <w:rPr>
          <w:rFonts w:ascii="Times New Roman" w:hAnsi="Times New Roman" w:cs="Times New Roman"/>
          <w:sz w:val="24"/>
          <w:szCs w:val="24"/>
        </w:rPr>
        <w:t xml:space="preserve"> respondents for payment of money loaned and advanced against security of a Deed of Grant No. 3345/2016 dated 3 June, 2016.  The 1</w:t>
      </w:r>
      <w:r w:rsidRPr="00DD7734">
        <w:rPr>
          <w:rFonts w:ascii="Times New Roman" w:hAnsi="Times New Roman" w:cs="Times New Roman"/>
          <w:sz w:val="24"/>
          <w:szCs w:val="24"/>
          <w:vertAlign w:val="superscript"/>
        </w:rPr>
        <w:t>st</w:t>
      </w:r>
      <w:r w:rsidRPr="00DD7734">
        <w:rPr>
          <w:rFonts w:ascii="Times New Roman" w:hAnsi="Times New Roman" w:cs="Times New Roman"/>
          <w:sz w:val="24"/>
          <w:szCs w:val="24"/>
        </w:rPr>
        <w:t>, 2</w:t>
      </w:r>
      <w:r w:rsidRPr="00DD7734">
        <w:rPr>
          <w:rFonts w:ascii="Times New Roman" w:hAnsi="Times New Roman" w:cs="Times New Roman"/>
          <w:sz w:val="24"/>
          <w:szCs w:val="24"/>
          <w:vertAlign w:val="superscript"/>
        </w:rPr>
        <w:t>nd</w:t>
      </w:r>
      <w:r w:rsidRPr="00DD7734">
        <w:rPr>
          <w:rFonts w:ascii="Times New Roman" w:hAnsi="Times New Roman" w:cs="Times New Roman"/>
          <w:sz w:val="24"/>
          <w:szCs w:val="24"/>
        </w:rPr>
        <w:t xml:space="preserve"> and 3</w:t>
      </w:r>
      <w:r w:rsidRPr="00DD7734">
        <w:rPr>
          <w:rFonts w:ascii="Times New Roman" w:hAnsi="Times New Roman" w:cs="Times New Roman"/>
          <w:sz w:val="24"/>
          <w:szCs w:val="24"/>
          <w:vertAlign w:val="superscript"/>
        </w:rPr>
        <w:t>rd</w:t>
      </w:r>
      <w:r w:rsidRPr="00DD7734">
        <w:rPr>
          <w:rFonts w:ascii="Times New Roman" w:hAnsi="Times New Roman" w:cs="Times New Roman"/>
          <w:sz w:val="24"/>
          <w:szCs w:val="24"/>
        </w:rPr>
        <w:t xml:space="preserve"> respondents re</w:t>
      </w:r>
      <w:r w:rsidR="00B43840" w:rsidRPr="00DD7734">
        <w:rPr>
          <w:rFonts w:ascii="Times New Roman" w:hAnsi="Times New Roman" w:cs="Times New Roman"/>
          <w:sz w:val="24"/>
          <w:szCs w:val="24"/>
        </w:rPr>
        <w:t>gistered a mortgage bond over the property described as Stand 20011 Seke Township measuring 220 square metres.  In consequence of the consent judgment which ordered the 1</w:t>
      </w:r>
      <w:r w:rsidR="00B43840" w:rsidRPr="00DD7734">
        <w:rPr>
          <w:rFonts w:ascii="Times New Roman" w:hAnsi="Times New Roman" w:cs="Times New Roman"/>
          <w:sz w:val="24"/>
          <w:szCs w:val="24"/>
          <w:vertAlign w:val="superscript"/>
        </w:rPr>
        <w:t>st</w:t>
      </w:r>
      <w:r w:rsidR="00B43840" w:rsidRPr="00DD7734">
        <w:rPr>
          <w:rFonts w:ascii="Times New Roman" w:hAnsi="Times New Roman" w:cs="Times New Roman"/>
          <w:sz w:val="24"/>
          <w:szCs w:val="24"/>
        </w:rPr>
        <w:t>, 2d and 3</w:t>
      </w:r>
      <w:r w:rsidR="00B43840" w:rsidRPr="00DD7734">
        <w:rPr>
          <w:rFonts w:ascii="Times New Roman" w:hAnsi="Times New Roman" w:cs="Times New Roman"/>
          <w:sz w:val="24"/>
          <w:szCs w:val="24"/>
          <w:vertAlign w:val="superscript"/>
        </w:rPr>
        <w:t>rd</w:t>
      </w:r>
      <w:r w:rsidR="00B43840" w:rsidRPr="00DD7734">
        <w:rPr>
          <w:rFonts w:ascii="Times New Roman" w:hAnsi="Times New Roman" w:cs="Times New Roman"/>
          <w:sz w:val="24"/>
          <w:szCs w:val="24"/>
        </w:rPr>
        <w:t xml:space="preserve"> respondents to pay the 4</w:t>
      </w:r>
      <w:r w:rsidR="00B43840" w:rsidRPr="00DD7734">
        <w:rPr>
          <w:rFonts w:ascii="Times New Roman" w:hAnsi="Times New Roman" w:cs="Times New Roman"/>
          <w:sz w:val="24"/>
          <w:szCs w:val="24"/>
          <w:vertAlign w:val="superscript"/>
        </w:rPr>
        <w:t>th</w:t>
      </w:r>
      <w:r w:rsidR="00B43840" w:rsidRPr="00DD7734">
        <w:rPr>
          <w:rFonts w:ascii="Times New Roman" w:hAnsi="Times New Roman" w:cs="Times New Roman"/>
          <w:sz w:val="24"/>
          <w:szCs w:val="24"/>
        </w:rPr>
        <w:t xml:space="preserve"> respondent $USD 60 060.06 with interest and costs and further declared executable the mortgaged property, the 4</w:t>
      </w:r>
      <w:r w:rsidR="00B43840" w:rsidRPr="00DD7734">
        <w:rPr>
          <w:rFonts w:ascii="Times New Roman" w:hAnsi="Times New Roman" w:cs="Times New Roman"/>
          <w:sz w:val="24"/>
          <w:szCs w:val="24"/>
          <w:vertAlign w:val="superscript"/>
        </w:rPr>
        <w:t>th</w:t>
      </w:r>
      <w:r w:rsidR="00B43840" w:rsidRPr="00DD7734">
        <w:rPr>
          <w:rFonts w:ascii="Times New Roman" w:hAnsi="Times New Roman" w:cs="Times New Roman"/>
          <w:sz w:val="24"/>
          <w:szCs w:val="24"/>
        </w:rPr>
        <w:t xml:space="preserve"> respondent caused the attachment in execution of the property.</w:t>
      </w:r>
    </w:p>
    <w:p w:rsidR="00B43840" w:rsidRPr="00DD7734" w:rsidRDefault="00B43840" w:rsidP="00063696">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Subsequent to the attachment of the property aforesaid, the applicant laid claim to the property.  In the light of the adverse claim filed by the applicant with the Messenger of Court, the latter caused the issue of interpleader summons.  The interpleader was determined against the applicant with the magistrate determining that since the title deed was not in the name of the applicants, the applicants had not proved ownership and entitlement to the property.  There are other findings of the magistrate which I do not consider necessary to deal with for the reason that I may make findings which would touch on the determination of the appeal which was noted by the applicants against the judgment of the magistrate.  It is noted that the appeal has not been determined.  It is the pending appeal which raises the issue of </w:t>
      </w:r>
      <w:r w:rsidRPr="00DD7734">
        <w:rPr>
          <w:rFonts w:ascii="Times New Roman" w:hAnsi="Times New Roman" w:cs="Times New Roman"/>
          <w:i/>
          <w:sz w:val="24"/>
          <w:szCs w:val="24"/>
        </w:rPr>
        <w:t>lis pendens.</w:t>
      </w:r>
      <w:r w:rsidRPr="00DD7734">
        <w:rPr>
          <w:rFonts w:ascii="Times New Roman" w:hAnsi="Times New Roman" w:cs="Times New Roman"/>
          <w:sz w:val="24"/>
          <w:szCs w:val="24"/>
        </w:rPr>
        <w:t xml:space="preserve">  I will return to the issue of the appeal being </w:t>
      </w:r>
      <w:r w:rsidRPr="00DD7734">
        <w:rPr>
          <w:rFonts w:ascii="Times New Roman" w:hAnsi="Times New Roman" w:cs="Times New Roman"/>
          <w:i/>
          <w:sz w:val="24"/>
          <w:szCs w:val="24"/>
        </w:rPr>
        <w:t>lis pendens.</w:t>
      </w:r>
      <w:r w:rsidRPr="00DD7734">
        <w:rPr>
          <w:rFonts w:ascii="Times New Roman" w:hAnsi="Times New Roman" w:cs="Times New Roman"/>
          <w:sz w:val="24"/>
          <w:szCs w:val="24"/>
        </w:rPr>
        <w:t xml:space="preserve"> </w:t>
      </w:r>
    </w:p>
    <w:p w:rsidR="006768B5" w:rsidRPr="00DD7734" w:rsidRDefault="00B43840" w:rsidP="00D42426">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Going forward, I must note that when </w:t>
      </w:r>
      <w:r w:rsidRPr="00063696">
        <w:rPr>
          <w:rFonts w:ascii="Times New Roman" w:hAnsi="Times New Roman" w:cs="Times New Roman"/>
          <w:smallCaps/>
          <w:sz w:val="24"/>
          <w:szCs w:val="24"/>
        </w:rPr>
        <w:t>Chinamora</w:t>
      </w:r>
      <w:r w:rsidRPr="00DD7734">
        <w:rPr>
          <w:rFonts w:ascii="Times New Roman" w:hAnsi="Times New Roman" w:cs="Times New Roman"/>
          <w:sz w:val="24"/>
          <w:szCs w:val="24"/>
        </w:rPr>
        <w:t xml:space="preserve"> J removed the matter from the roll, he did not make any order that the appeal was </w:t>
      </w:r>
      <w:r w:rsidRPr="00DD7734">
        <w:rPr>
          <w:rFonts w:ascii="Times New Roman" w:hAnsi="Times New Roman" w:cs="Times New Roman"/>
          <w:i/>
          <w:sz w:val="24"/>
          <w:szCs w:val="24"/>
        </w:rPr>
        <w:t>lis pendens</w:t>
      </w:r>
      <w:r w:rsidRPr="00DD7734">
        <w:rPr>
          <w:rFonts w:ascii="Times New Roman" w:hAnsi="Times New Roman" w:cs="Times New Roman"/>
          <w:sz w:val="24"/>
          <w:szCs w:val="24"/>
        </w:rPr>
        <w:t xml:space="preserve"> </w:t>
      </w:r>
      <w:r w:rsidRPr="00D42426">
        <w:rPr>
          <w:rFonts w:ascii="Times New Roman" w:hAnsi="Times New Roman" w:cs="Times New Roman"/>
          <w:i/>
          <w:sz w:val="24"/>
          <w:szCs w:val="24"/>
        </w:rPr>
        <w:t>vis-à-vis</w:t>
      </w:r>
      <w:r w:rsidRPr="00DD7734">
        <w:rPr>
          <w:rFonts w:ascii="Times New Roman" w:hAnsi="Times New Roman" w:cs="Times New Roman"/>
          <w:sz w:val="24"/>
          <w:szCs w:val="24"/>
        </w:rPr>
        <w:t xml:space="preserve"> this application.  The learned judge simply indicated that there was an appeal pending and albeit raising the issue of </w:t>
      </w:r>
      <w:r w:rsidRPr="00DD7734">
        <w:rPr>
          <w:rFonts w:ascii="Times New Roman" w:hAnsi="Times New Roman" w:cs="Times New Roman"/>
          <w:i/>
          <w:sz w:val="24"/>
          <w:szCs w:val="24"/>
        </w:rPr>
        <w:t>lis pendens</w:t>
      </w:r>
      <w:r w:rsidRPr="00DD7734">
        <w:rPr>
          <w:rFonts w:ascii="Times New Roman" w:hAnsi="Times New Roman" w:cs="Times New Roman"/>
          <w:sz w:val="24"/>
          <w:szCs w:val="24"/>
        </w:rPr>
        <w:t>, he did not decide on it.</w:t>
      </w:r>
      <w:r w:rsidR="006768B5" w:rsidRPr="00DD7734">
        <w:rPr>
          <w:rFonts w:ascii="Times New Roman" w:hAnsi="Times New Roman" w:cs="Times New Roman"/>
          <w:sz w:val="24"/>
          <w:szCs w:val="24"/>
        </w:rPr>
        <w:t xml:space="preserve">  This explains why the applicant filed additional heads of argument to address the issue of </w:t>
      </w:r>
      <w:r w:rsidR="006768B5" w:rsidRPr="00DD7734">
        <w:rPr>
          <w:rFonts w:ascii="Times New Roman" w:hAnsi="Times New Roman" w:cs="Times New Roman"/>
          <w:i/>
          <w:sz w:val="24"/>
          <w:szCs w:val="24"/>
        </w:rPr>
        <w:t>lis pendens</w:t>
      </w:r>
      <w:r w:rsidR="006768B5" w:rsidRPr="00DD7734">
        <w:rPr>
          <w:rFonts w:ascii="Times New Roman" w:hAnsi="Times New Roman" w:cs="Times New Roman"/>
          <w:sz w:val="24"/>
          <w:szCs w:val="24"/>
        </w:rPr>
        <w:t xml:space="preserve"> and its effect on this application.</w:t>
      </w:r>
    </w:p>
    <w:p w:rsidR="006768B5" w:rsidRPr="00DD7734" w:rsidRDefault="006768B5" w:rsidP="000C3B4F">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I consider it appropriate to address briefly the issue of </w:t>
      </w:r>
      <w:r w:rsidRPr="00DD7734">
        <w:rPr>
          <w:rFonts w:ascii="Times New Roman" w:hAnsi="Times New Roman" w:cs="Times New Roman"/>
          <w:i/>
          <w:sz w:val="24"/>
          <w:szCs w:val="24"/>
        </w:rPr>
        <w:t>lis pendens</w:t>
      </w:r>
      <w:r w:rsidRPr="00DD7734">
        <w:rPr>
          <w:rFonts w:ascii="Times New Roman" w:hAnsi="Times New Roman" w:cs="Times New Roman"/>
          <w:sz w:val="24"/>
          <w:szCs w:val="24"/>
        </w:rPr>
        <w:t xml:space="preserve"> taking into account the factual position obtaining in this matter.  Again, I will be careful to try as much as possible to avoid making conclusions which appear to determine the appeal.  If however, I am found to have made findings which impact on issues which the appeal court is called upon to decid</w:t>
      </w:r>
      <w:r w:rsidR="007169FB">
        <w:rPr>
          <w:rFonts w:ascii="Times New Roman" w:hAnsi="Times New Roman" w:cs="Times New Roman"/>
          <w:sz w:val="24"/>
          <w:szCs w:val="24"/>
        </w:rPr>
        <w:t>e, I find so</w:t>
      </w:r>
      <w:r w:rsidRPr="00DD7734">
        <w:rPr>
          <w:rFonts w:ascii="Times New Roman" w:hAnsi="Times New Roman" w:cs="Times New Roman"/>
          <w:sz w:val="24"/>
          <w:szCs w:val="24"/>
        </w:rPr>
        <w:t>lace in the principle that my findings do not bind the appeal court as a matter of law and procedure.</w:t>
      </w:r>
    </w:p>
    <w:p w:rsidR="006E5D4F" w:rsidRPr="00DD7734" w:rsidRDefault="006768B5" w:rsidP="000C3B4F">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In regard to articulating the plea of </w:t>
      </w:r>
      <w:r w:rsidRPr="00DD7734">
        <w:rPr>
          <w:rFonts w:ascii="Times New Roman" w:hAnsi="Times New Roman" w:cs="Times New Roman"/>
          <w:i/>
          <w:sz w:val="24"/>
          <w:szCs w:val="24"/>
        </w:rPr>
        <w:t>lis pendens,</w:t>
      </w:r>
      <w:r w:rsidRPr="00DD7734">
        <w:rPr>
          <w:rFonts w:ascii="Times New Roman" w:hAnsi="Times New Roman" w:cs="Times New Roman"/>
          <w:sz w:val="24"/>
          <w:szCs w:val="24"/>
        </w:rPr>
        <w:t xml:space="preserve"> I acknowledge that counsel</w:t>
      </w:r>
      <w:r w:rsidR="007169FB">
        <w:rPr>
          <w:rFonts w:ascii="Times New Roman" w:hAnsi="Times New Roman" w:cs="Times New Roman"/>
          <w:sz w:val="24"/>
          <w:szCs w:val="24"/>
        </w:rPr>
        <w:t xml:space="preserve"> for the applicant is on</w:t>
      </w:r>
      <w:r w:rsidR="006E5D4F" w:rsidRPr="00DD7734">
        <w:rPr>
          <w:rFonts w:ascii="Times New Roman" w:hAnsi="Times New Roman" w:cs="Times New Roman"/>
          <w:sz w:val="24"/>
          <w:szCs w:val="24"/>
        </w:rPr>
        <w:t xml:space="preserve"> point in</w:t>
      </w:r>
      <w:r w:rsidR="000C3B4F">
        <w:rPr>
          <w:rFonts w:ascii="Times New Roman" w:hAnsi="Times New Roman" w:cs="Times New Roman"/>
          <w:sz w:val="24"/>
          <w:szCs w:val="24"/>
        </w:rPr>
        <w:t xml:space="preserve"> the averment made in para </w:t>
      </w:r>
      <w:r w:rsidR="006E5D4F" w:rsidRPr="00DD7734">
        <w:rPr>
          <w:rFonts w:ascii="Times New Roman" w:hAnsi="Times New Roman" w:cs="Times New Roman"/>
          <w:sz w:val="24"/>
          <w:szCs w:val="24"/>
        </w:rPr>
        <w:t xml:space="preserve">7 of the supplementary heads of argument which I cannot do any better </w:t>
      </w:r>
      <w:r w:rsidR="007169FB">
        <w:rPr>
          <w:rFonts w:ascii="Times New Roman" w:hAnsi="Times New Roman" w:cs="Times New Roman"/>
          <w:sz w:val="24"/>
          <w:szCs w:val="24"/>
        </w:rPr>
        <w:t xml:space="preserve">to </w:t>
      </w:r>
      <w:r w:rsidR="006E5D4F" w:rsidRPr="00DD7734">
        <w:rPr>
          <w:rFonts w:ascii="Times New Roman" w:hAnsi="Times New Roman" w:cs="Times New Roman"/>
          <w:sz w:val="24"/>
          <w:szCs w:val="24"/>
        </w:rPr>
        <w:t>than to quote the paragraph verbatim as follows:-</w:t>
      </w:r>
    </w:p>
    <w:p w:rsidR="006E5D4F" w:rsidRPr="00DD7734" w:rsidRDefault="006E5D4F" w:rsidP="00374580">
      <w:pPr>
        <w:spacing w:after="0" w:line="360" w:lineRule="auto"/>
        <w:jc w:val="both"/>
        <w:rPr>
          <w:rFonts w:ascii="Times New Roman" w:hAnsi="Times New Roman" w:cs="Times New Roman"/>
          <w:sz w:val="24"/>
          <w:szCs w:val="24"/>
        </w:rPr>
      </w:pPr>
    </w:p>
    <w:p w:rsidR="006768B5" w:rsidRPr="00DD7734" w:rsidRDefault="006E5D4F" w:rsidP="00F1546E">
      <w:pPr>
        <w:spacing w:after="0" w:line="240" w:lineRule="auto"/>
        <w:ind w:left="1440" w:hanging="720"/>
        <w:jc w:val="both"/>
        <w:rPr>
          <w:rFonts w:ascii="Times New Roman" w:hAnsi="Times New Roman" w:cs="Times New Roman"/>
          <w:sz w:val="24"/>
          <w:szCs w:val="24"/>
        </w:rPr>
      </w:pPr>
      <w:r w:rsidRPr="00DD7734">
        <w:rPr>
          <w:rFonts w:ascii="Times New Roman" w:hAnsi="Times New Roman" w:cs="Times New Roman"/>
          <w:sz w:val="24"/>
          <w:szCs w:val="24"/>
        </w:rPr>
        <w:lastRenderedPageBreak/>
        <w:t>“7.</w:t>
      </w:r>
      <w:r w:rsidRPr="00DD7734">
        <w:rPr>
          <w:rFonts w:ascii="Times New Roman" w:hAnsi="Times New Roman" w:cs="Times New Roman"/>
          <w:sz w:val="24"/>
          <w:szCs w:val="24"/>
        </w:rPr>
        <w:tab/>
        <w:t xml:space="preserve">The special plea of </w:t>
      </w:r>
      <w:r w:rsidRPr="00DD7734">
        <w:rPr>
          <w:rFonts w:ascii="Times New Roman" w:hAnsi="Times New Roman" w:cs="Times New Roman"/>
          <w:i/>
          <w:sz w:val="24"/>
          <w:szCs w:val="24"/>
        </w:rPr>
        <w:t>lis alibi pendens</w:t>
      </w:r>
      <w:r w:rsidRPr="00DD7734">
        <w:rPr>
          <w:rFonts w:ascii="Times New Roman" w:hAnsi="Times New Roman" w:cs="Times New Roman"/>
          <w:sz w:val="24"/>
          <w:szCs w:val="24"/>
        </w:rPr>
        <w:t xml:space="preserve"> is well articulated by Herbstein and Van Winsen in the </w:t>
      </w:r>
      <w:r w:rsidRPr="00F767DC">
        <w:rPr>
          <w:rFonts w:ascii="Times New Roman" w:hAnsi="Times New Roman" w:cs="Times New Roman"/>
          <w:i/>
          <w:sz w:val="24"/>
          <w:szCs w:val="24"/>
        </w:rPr>
        <w:t>Civil Practice of the Superior Courts in South Africa</w:t>
      </w:r>
      <w:r w:rsidRPr="00DD7734">
        <w:rPr>
          <w:rFonts w:ascii="Times New Roman" w:hAnsi="Times New Roman" w:cs="Times New Roman"/>
          <w:sz w:val="24"/>
          <w:szCs w:val="24"/>
        </w:rPr>
        <w:t>, 3</w:t>
      </w:r>
      <w:r w:rsidRPr="00DD7734">
        <w:rPr>
          <w:rFonts w:ascii="Times New Roman" w:hAnsi="Times New Roman" w:cs="Times New Roman"/>
          <w:sz w:val="24"/>
          <w:szCs w:val="24"/>
          <w:vertAlign w:val="superscript"/>
        </w:rPr>
        <w:t>rd</w:t>
      </w:r>
      <w:r w:rsidRPr="00DD7734">
        <w:rPr>
          <w:rFonts w:ascii="Times New Roman" w:hAnsi="Times New Roman" w:cs="Times New Roman"/>
          <w:sz w:val="24"/>
          <w:szCs w:val="24"/>
        </w:rPr>
        <w:t xml:space="preserve"> Ed at page 269-270 where they state as follows:</w:t>
      </w:r>
      <w:r w:rsidR="006768B5" w:rsidRPr="00DD7734">
        <w:rPr>
          <w:rFonts w:ascii="Times New Roman" w:hAnsi="Times New Roman" w:cs="Times New Roman"/>
          <w:sz w:val="24"/>
          <w:szCs w:val="24"/>
        </w:rPr>
        <w:t xml:space="preserve">  </w:t>
      </w:r>
    </w:p>
    <w:p w:rsidR="006E5D4F" w:rsidRPr="00DD7734" w:rsidRDefault="006E5D4F" w:rsidP="00F1546E">
      <w:pPr>
        <w:spacing w:after="0" w:line="240" w:lineRule="auto"/>
        <w:ind w:left="1440" w:hanging="720"/>
        <w:jc w:val="both"/>
        <w:rPr>
          <w:rFonts w:ascii="Times New Roman" w:hAnsi="Times New Roman" w:cs="Times New Roman"/>
          <w:sz w:val="24"/>
          <w:szCs w:val="24"/>
        </w:rPr>
      </w:pPr>
    </w:p>
    <w:p w:rsidR="006E5D4F" w:rsidRPr="00DD7734" w:rsidRDefault="006E5D4F" w:rsidP="00F1546E">
      <w:pPr>
        <w:spacing w:after="0" w:line="240" w:lineRule="auto"/>
        <w:ind w:left="2160"/>
        <w:jc w:val="both"/>
        <w:rPr>
          <w:rFonts w:ascii="Times New Roman" w:hAnsi="Times New Roman" w:cs="Times New Roman"/>
          <w:sz w:val="24"/>
          <w:szCs w:val="24"/>
        </w:rPr>
      </w:pPr>
      <w:r w:rsidRPr="00DD7734">
        <w:rPr>
          <w:rFonts w:ascii="Times New Roman" w:hAnsi="Times New Roman" w:cs="Times New Roman"/>
          <w:sz w:val="24"/>
          <w:szCs w:val="24"/>
        </w:rPr>
        <w:t xml:space="preserve">‘if an action is already pending between the parties and the plaintiff therein brings another action against the same defendant on the same cause of action and in respect of the same subject matter, whether in the same or a different court, it is open to such defendant to take the objection of </w:t>
      </w:r>
      <w:r w:rsidRPr="001A5118">
        <w:rPr>
          <w:rFonts w:ascii="Times New Roman" w:hAnsi="Times New Roman" w:cs="Times New Roman"/>
          <w:i/>
          <w:sz w:val="24"/>
          <w:szCs w:val="24"/>
        </w:rPr>
        <w:t>lis pendens</w:t>
      </w:r>
      <w:r w:rsidRPr="00DD7734">
        <w:rPr>
          <w:rFonts w:ascii="Times New Roman" w:hAnsi="Times New Roman" w:cs="Times New Roman"/>
          <w:sz w:val="24"/>
          <w:szCs w:val="24"/>
        </w:rPr>
        <w:t xml:space="preserve"> that</w:t>
      </w:r>
      <w:r w:rsidR="003C463D" w:rsidRPr="00DD7734">
        <w:rPr>
          <w:rFonts w:ascii="Times New Roman" w:hAnsi="Times New Roman" w:cs="Times New Roman"/>
          <w:sz w:val="24"/>
          <w:szCs w:val="24"/>
        </w:rPr>
        <w:t xml:space="preserve"> another action respecting the identical matter has already been instituted whereupon the court in its discretion, may stay the second action pending the decision in the first action.’</w:t>
      </w:r>
    </w:p>
    <w:p w:rsidR="003C463D" w:rsidRPr="00DD7734" w:rsidRDefault="003C463D" w:rsidP="00F1546E">
      <w:pPr>
        <w:spacing w:after="0" w:line="240" w:lineRule="auto"/>
        <w:jc w:val="both"/>
        <w:rPr>
          <w:rFonts w:ascii="Times New Roman" w:hAnsi="Times New Roman" w:cs="Times New Roman"/>
          <w:sz w:val="24"/>
          <w:szCs w:val="24"/>
        </w:rPr>
      </w:pPr>
    </w:p>
    <w:p w:rsidR="003C463D" w:rsidRPr="00DD7734" w:rsidRDefault="003C463D" w:rsidP="004A2AC7">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In the case of </w:t>
      </w:r>
      <w:r w:rsidRPr="004A2AC7">
        <w:rPr>
          <w:rFonts w:ascii="Times New Roman" w:hAnsi="Times New Roman" w:cs="Times New Roman"/>
          <w:i/>
          <w:sz w:val="24"/>
          <w:szCs w:val="24"/>
        </w:rPr>
        <w:t>Chigamu 2 Syndicate &amp; 2 Ors</w:t>
      </w:r>
      <w:r w:rsidRPr="00DD7734">
        <w:rPr>
          <w:rFonts w:ascii="Times New Roman" w:hAnsi="Times New Roman" w:cs="Times New Roman"/>
          <w:sz w:val="24"/>
          <w:szCs w:val="24"/>
        </w:rPr>
        <w:t xml:space="preserve"> v </w:t>
      </w:r>
      <w:r w:rsidRPr="004A2AC7">
        <w:rPr>
          <w:rFonts w:ascii="Times New Roman" w:hAnsi="Times New Roman" w:cs="Times New Roman"/>
          <w:i/>
          <w:sz w:val="24"/>
          <w:szCs w:val="24"/>
        </w:rPr>
        <w:t>Cleo Brand Investments (Pvt) Ltd</w:t>
      </w:r>
      <w:r w:rsidRPr="00DD7734">
        <w:rPr>
          <w:rFonts w:ascii="Times New Roman" w:hAnsi="Times New Roman" w:cs="Times New Roman"/>
          <w:sz w:val="24"/>
          <w:szCs w:val="24"/>
        </w:rPr>
        <w:t xml:space="preserve"> HMA 14/20, </w:t>
      </w:r>
      <w:r w:rsidRPr="004A2AC7">
        <w:rPr>
          <w:rFonts w:ascii="Times New Roman" w:hAnsi="Times New Roman" w:cs="Times New Roman"/>
          <w:smallCaps/>
          <w:sz w:val="24"/>
          <w:szCs w:val="24"/>
        </w:rPr>
        <w:t>Zisengwe</w:t>
      </w:r>
      <w:r w:rsidR="00777390">
        <w:rPr>
          <w:rFonts w:ascii="Times New Roman" w:hAnsi="Times New Roman" w:cs="Times New Roman"/>
          <w:sz w:val="24"/>
          <w:szCs w:val="24"/>
        </w:rPr>
        <w:t xml:space="preserve"> J stated as follows on p</w:t>
      </w:r>
      <w:r w:rsidRPr="00DD7734">
        <w:rPr>
          <w:rFonts w:ascii="Times New Roman" w:hAnsi="Times New Roman" w:cs="Times New Roman"/>
          <w:sz w:val="24"/>
          <w:szCs w:val="24"/>
        </w:rPr>
        <w:t xml:space="preserve"> 5 of the cyclostyled judgment:</w:t>
      </w:r>
    </w:p>
    <w:p w:rsidR="003C463D" w:rsidRPr="00DD7734" w:rsidRDefault="003C463D" w:rsidP="00374580">
      <w:pPr>
        <w:spacing w:after="0" w:line="360" w:lineRule="auto"/>
        <w:jc w:val="both"/>
        <w:rPr>
          <w:rFonts w:ascii="Times New Roman" w:hAnsi="Times New Roman" w:cs="Times New Roman"/>
          <w:sz w:val="24"/>
          <w:szCs w:val="24"/>
        </w:rPr>
      </w:pPr>
    </w:p>
    <w:p w:rsidR="003C463D" w:rsidRPr="0033309E" w:rsidRDefault="003C463D" w:rsidP="00B23BFE">
      <w:pPr>
        <w:spacing w:after="0" w:line="240" w:lineRule="auto"/>
        <w:ind w:left="720"/>
        <w:jc w:val="both"/>
        <w:rPr>
          <w:rFonts w:ascii="Times New Roman" w:hAnsi="Times New Roman" w:cs="Times New Roman"/>
        </w:rPr>
      </w:pPr>
      <w:r w:rsidRPr="00DD7734">
        <w:rPr>
          <w:rFonts w:ascii="Times New Roman" w:hAnsi="Times New Roman" w:cs="Times New Roman"/>
          <w:sz w:val="24"/>
          <w:szCs w:val="24"/>
        </w:rPr>
        <w:t>“</w:t>
      </w:r>
      <w:r w:rsidRPr="0033309E">
        <w:rPr>
          <w:rFonts w:ascii="Times New Roman" w:hAnsi="Times New Roman" w:cs="Times New Roman"/>
          <w:i/>
        </w:rPr>
        <w:t>Lis pendens</w:t>
      </w:r>
      <w:r w:rsidRPr="0033309E">
        <w:rPr>
          <w:rFonts w:ascii="Times New Roman" w:hAnsi="Times New Roman" w:cs="Times New Roman"/>
        </w:rPr>
        <w:t xml:space="preserve"> refers to a special plea raised by the defendant that the matter is being determined by another court of competent jurisdiction on the same action and between the same parties.  For a plea of </w:t>
      </w:r>
      <w:r w:rsidRPr="0033309E">
        <w:rPr>
          <w:rFonts w:ascii="Times New Roman" w:hAnsi="Times New Roman" w:cs="Times New Roman"/>
          <w:i/>
        </w:rPr>
        <w:t>lis pendens</w:t>
      </w:r>
      <w:r w:rsidRPr="0033309E">
        <w:rPr>
          <w:rFonts w:ascii="Times New Roman" w:hAnsi="Times New Roman" w:cs="Times New Roman"/>
        </w:rPr>
        <w:t xml:space="preserve"> to succeed, it must be demonstrated that the two matters are between the same parties or their successors in title concerning the same subject matter and founded on the same cause of complaint (see </w:t>
      </w:r>
      <w:r w:rsidRPr="0033309E">
        <w:rPr>
          <w:rFonts w:ascii="Times New Roman" w:hAnsi="Times New Roman" w:cs="Times New Roman"/>
          <w:i/>
        </w:rPr>
        <w:t>Diocesan Trustees for Diocese of Harare</w:t>
      </w:r>
      <w:r w:rsidRPr="0033309E">
        <w:rPr>
          <w:rFonts w:ascii="Times New Roman" w:hAnsi="Times New Roman" w:cs="Times New Roman"/>
        </w:rPr>
        <w:t xml:space="preserve"> v </w:t>
      </w:r>
      <w:r w:rsidRPr="0033309E">
        <w:rPr>
          <w:rFonts w:ascii="Times New Roman" w:hAnsi="Times New Roman" w:cs="Times New Roman"/>
          <w:i/>
        </w:rPr>
        <w:t>Church of the Province</w:t>
      </w:r>
      <w:r w:rsidRPr="0033309E">
        <w:rPr>
          <w:rFonts w:ascii="Times New Roman" w:hAnsi="Times New Roman" w:cs="Times New Roman"/>
        </w:rPr>
        <w:t xml:space="preserve"> </w:t>
      </w:r>
      <w:r w:rsidRPr="0033309E">
        <w:rPr>
          <w:rFonts w:ascii="Times New Roman" w:hAnsi="Times New Roman" w:cs="Times New Roman"/>
          <w:i/>
        </w:rPr>
        <w:t>of Central Africa</w:t>
      </w:r>
      <w:r w:rsidRPr="0033309E">
        <w:rPr>
          <w:rFonts w:ascii="Times New Roman" w:hAnsi="Times New Roman" w:cs="Times New Roman"/>
        </w:rPr>
        <w:t xml:space="preserve"> 2009 (2) ZLR 57 (4) </w:t>
      </w:r>
      <w:r w:rsidRPr="0033309E">
        <w:rPr>
          <w:rFonts w:ascii="Times New Roman" w:hAnsi="Times New Roman" w:cs="Times New Roman"/>
          <w:i/>
        </w:rPr>
        <w:t>Nestle (SA) Pty Ltd</w:t>
      </w:r>
      <w:r w:rsidRPr="0033309E">
        <w:rPr>
          <w:rFonts w:ascii="Times New Roman" w:hAnsi="Times New Roman" w:cs="Times New Roman"/>
        </w:rPr>
        <w:t xml:space="preserve"> v </w:t>
      </w:r>
      <w:r w:rsidRPr="0033309E">
        <w:rPr>
          <w:rFonts w:ascii="Times New Roman" w:hAnsi="Times New Roman" w:cs="Times New Roman"/>
          <w:i/>
        </w:rPr>
        <w:t>Mars incorporated</w:t>
      </w:r>
      <w:r w:rsidRPr="0033309E">
        <w:rPr>
          <w:rFonts w:ascii="Times New Roman" w:hAnsi="Times New Roman" w:cs="Times New Roman"/>
        </w:rPr>
        <w:t xml:space="preserve"> (2001) 4 SA 315 (SCA).  </w:t>
      </w:r>
      <w:r w:rsidRPr="0033309E">
        <w:rPr>
          <w:rFonts w:ascii="Times New Roman" w:hAnsi="Times New Roman" w:cs="Times New Roman"/>
          <w:i/>
        </w:rPr>
        <w:t xml:space="preserve">Goldenkeys </w:t>
      </w:r>
      <w:r w:rsidRPr="0033309E">
        <w:rPr>
          <w:rFonts w:ascii="Times New Roman" w:hAnsi="Times New Roman" w:cs="Times New Roman"/>
        </w:rPr>
        <w:t>v</w:t>
      </w:r>
      <w:r w:rsidRPr="0033309E">
        <w:rPr>
          <w:rFonts w:ascii="Times New Roman" w:hAnsi="Times New Roman" w:cs="Times New Roman"/>
          <w:i/>
        </w:rPr>
        <w:t xml:space="preserve"> Kotz</w:t>
      </w:r>
      <w:r w:rsidRPr="0033309E">
        <w:rPr>
          <w:rFonts w:ascii="Times New Roman" w:hAnsi="Times New Roman" w:cs="Times New Roman"/>
        </w:rPr>
        <w:t xml:space="preserve"> 1964 (2) SA 167.” </w:t>
      </w:r>
    </w:p>
    <w:p w:rsidR="003C463D" w:rsidRPr="0033309E" w:rsidRDefault="003C463D" w:rsidP="00B23BFE">
      <w:pPr>
        <w:spacing w:after="0" w:line="240" w:lineRule="auto"/>
        <w:jc w:val="both"/>
        <w:rPr>
          <w:rFonts w:ascii="Times New Roman" w:hAnsi="Times New Roman" w:cs="Times New Roman"/>
        </w:rPr>
      </w:pPr>
    </w:p>
    <w:p w:rsidR="003C463D" w:rsidRPr="00DD7734" w:rsidRDefault="003C463D" w:rsidP="004D0F89">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The learned </w:t>
      </w:r>
      <w:r w:rsidRPr="004D0F89">
        <w:rPr>
          <w:rFonts w:ascii="Times New Roman" w:hAnsi="Times New Roman" w:cs="Times New Roman"/>
          <w:smallCaps/>
          <w:sz w:val="24"/>
          <w:szCs w:val="24"/>
        </w:rPr>
        <w:t>Zisengwe</w:t>
      </w:r>
      <w:r w:rsidRPr="00DD7734">
        <w:rPr>
          <w:rFonts w:ascii="Times New Roman" w:hAnsi="Times New Roman" w:cs="Times New Roman"/>
          <w:sz w:val="24"/>
          <w:szCs w:val="24"/>
        </w:rPr>
        <w:t xml:space="preserve"> J went further to state on the same page as follows:-</w:t>
      </w:r>
    </w:p>
    <w:p w:rsidR="003C463D" w:rsidRPr="006175EF" w:rsidRDefault="003C463D" w:rsidP="006175EF">
      <w:pPr>
        <w:spacing w:after="0" w:line="240" w:lineRule="auto"/>
        <w:jc w:val="both"/>
        <w:rPr>
          <w:rFonts w:ascii="Times New Roman" w:hAnsi="Times New Roman" w:cs="Times New Roman"/>
        </w:rPr>
      </w:pPr>
      <w:r w:rsidRPr="00DD7734">
        <w:rPr>
          <w:rFonts w:ascii="Times New Roman" w:hAnsi="Times New Roman" w:cs="Times New Roman"/>
          <w:sz w:val="24"/>
          <w:szCs w:val="24"/>
        </w:rPr>
        <w:tab/>
      </w:r>
      <w:r w:rsidRPr="006175EF">
        <w:rPr>
          <w:rFonts w:ascii="Times New Roman" w:hAnsi="Times New Roman" w:cs="Times New Roman"/>
        </w:rPr>
        <w:t xml:space="preserve">“In Erasmus, </w:t>
      </w:r>
      <w:r w:rsidRPr="006175EF">
        <w:rPr>
          <w:rFonts w:ascii="Times New Roman" w:hAnsi="Times New Roman" w:cs="Times New Roman"/>
          <w:i/>
        </w:rPr>
        <w:t>Superior Court Practice</w:t>
      </w:r>
      <w:r w:rsidRPr="006175EF">
        <w:rPr>
          <w:rFonts w:ascii="Times New Roman" w:hAnsi="Times New Roman" w:cs="Times New Roman"/>
        </w:rPr>
        <w:t>, (2</w:t>
      </w:r>
      <w:r w:rsidRPr="006175EF">
        <w:rPr>
          <w:rFonts w:ascii="Times New Roman" w:hAnsi="Times New Roman" w:cs="Times New Roman"/>
          <w:vertAlign w:val="superscript"/>
        </w:rPr>
        <w:t>nd</w:t>
      </w:r>
      <w:r w:rsidRPr="006175EF">
        <w:rPr>
          <w:rFonts w:ascii="Times New Roman" w:hAnsi="Times New Roman" w:cs="Times New Roman"/>
        </w:rPr>
        <w:t xml:space="preserve"> edition) at D1-280 the following was stated:</w:t>
      </w:r>
    </w:p>
    <w:p w:rsidR="003C463D" w:rsidRPr="006175EF" w:rsidRDefault="003C463D" w:rsidP="006175EF">
      <w:pPr>
        <w:spacing w:after="0" w:line="240" w:lineRule="auto"/>
        <w:jc w:val="both"/>
        <w:rPr>
          <w:rFonts w:ascii="Times New Roman" w:hAnsi="Times New Roman" w:cs="Times New Roman"/>
        </w:rPr>
      </w:pPr>
    </w:p>
    <w:p w:rsidR="008C42F6" w:rsidRPr="006175EF" w:rsidRDefault="003C463D" w:rsidP="006175EF">
      <w:pPr>
        <w:spacing w:after="0" w:line="240" w:lineRule="auto"/>
        <w:ind w:left="1440"/>
        <w:jc w:val="both"/>
        <w:rPr>
          <w:rFonts w:ascii="Times New Roman" w:hAnsi="Times New Roman" w:cs="Times New Roman"/>
        </w:rPr>
      </w:pPr>
      <w:r w:rsidRPr="006175EF">
        <w:rPr>
          <w:rFonts w:ascii="Times New Roman" w:hAnsi="Times New Roman" w:cs="Times New Roman"/>
        </w:rPr>
        <w:t>“The requirement that the parties be the same does not entail that the same plaintiff should have sued the same defendant in</w:t>
      </w:r>
      <w:r w:rsidR="008C42F6" w:rsidRPr="006175EF">
        <w:rPr>
          <w:rFonts w:ascii="Times New Roman" w:hAnsi="Times New Roman" w:cs="Times New Roman"/>
        </w:rPr>
        <w:t xml:space="preserve"> both proceedings.  The plaintiff in the first proceeding could, as a defendant in the second, raise the plea of his </w:t>
      </w:r>
      <w:r w:rsidR="008C42F6" w:rsidRPr="006175EF">
        <w:rPr>
          <w:rFonts w:ascii="Times New Roman" w:hAnsi="Times New Roman" w:cs="Times New Roman"/>
          <w:i/>
        </w:rPr>
        <w:t>lis pendens</w:t>
      </w:r>
      <w:r w:rsidR="008C42F6" w:rsidRPr="006175EF">
        <w:rPr>
          <w:rFonts w:ascii="Times New Roman" w:hAnsi="Times New Roman" w:cs="Times New Roman"/>
        </w:rPr>
        <w:t xml:space="preserve"> (see Ceasar Stone Solot – Yam Ltd World Marble and Granite 2000 CC2013 (b) SA 499 (SCA) at 505E-G, 506 B-C and 509 D-F.”</w:t>
      </w:r>
    </w:p>
    <w:p w:rsidR="008C42F6" w:rsidRPr="00DD7734" w:rsidRDefault="008C42F6" w:rsidP="00374580">
      <w:pPr>
        <w:spacing w:after="0" w:line="360" w:lineRule="auto"/>
        <w:jc w:val="both"/>
        <w:rPr>
          <w:rFonts w:ascii="Times New Roman" w:hAnsi="Times New Roman" w:cs="Times New Roman"/>
          <w:sz w:val="24"/>
          <w:szCs w:val="24"/>
        </w:rPr>
      </w:pPr>
    </w:p>
    <w:p w:rsidR="008C42F6" w:rsidRPr="00DD7734" w:rsidRDefault="008C42F6" w:rsidP="00851EA5">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In the case, </w:t>
      </w:r>
      <w:r w:rsidRPr="00851EA5">
        <w:rPr>
          <w:rFonts w:ascii="Times New Roman" w:hAnsi="Times New Roman" w:cs="Times New Roman"/>
          <w:i/>
          <w:sz w:val="24"/>
          <w:szCs w:val="24"/>
        </w:rPr>
        <w:t>Tendai Tarinda</w:t>
      </w:r>
      <w:r w:rsidRPr="00DD7734">
        <w:rPr>
          <w:rFonts w:ascii="Times New Roman" w:hAnsi="Times New Roman" w:cs="Times New Roman"/>
          <w:sz w:val="24"/>
          <w:szCs w:val="24"/>
        </w:rPr>
        <w:t xml:space="preserve"> v </w:t>
      </w:r>
      <w:r w:rsidRPr="00851EA5">
        <w:rPr>
          <w:rFonts w:ascii="Times New Roman" w:hAnsi="Times New Roman" w:cs="Times New Roman"/>
          <w:i/>
          <w:sz w:val="24"/>
          <w:szCs w:val="24"/>
        </w:rPr>
        <w:t>Cake Fairy (Private) Limited and Kathy Mwanza</w:t>
      </w:r>
      <w:r w:rsidRPr="00DD7734">
        <w:rPr>
          <w:rFonts w:ascii="Times New Roman" w:hAnsi="Times New Roman" w:cs="Times New Roman"/>
          <w:sz w:val="24"/>
          <w:szCs w:val="24"/>
        </w:rPr>
        <w:t>, HB 38/20</w:t>
      </w:r>
      <w:r w:rsidRPr="00851EA5">
        <w:rPr>
          <w:rFonts w:ascii="Times New Roman" w:hAnsi="Times New Roman" w:cs="Times New Roman"/>
          <w:smallCaps/>
          <w:sz w:val="24"/>
          <w:szCs w:val="24"/>
        </w:rPr>
        <w:t>, Kabasa</w:t>
      </w:r>
      <w:r w:rsidRPr="00DD7734">
        <w:rPr>
          <w:rFonts w:ascii="Times New Roman" w:hAnsi="Times New Roman" w:cs="Times New Roman"/>
          <w:sz w:val="24"/>
          <w:szCs w:val="24"/>
        </w:rPr>
        <w:t xml:space="preserve"> J discussed the plea of </w:t>
      </w:r>
      <w:r w:rsidRPr="00DD7734">
        <w:rPr>
          <w:rFonts w:ascii="Times New Roman" w:hAnsi="Times New Roman" w:cs="Times New Roman"/>
          <w:i/>
          <w:sz w:val="24"/>
          <w:szCs w:val="24"/>
        </w:rPr>
        <w:t>lis aliba pendens</w:t>
      </w:r>
      <w:r w:rsidRPr="00DD7734">
        <w:rPr>
          <w:rFonts w:ascii="Times New Roman" w:hAnsi="Times New Roman" w:cs="Times New Roman"/>
          <w:sz w:val="24"/>
          <w:szCs w:val="24"/>
        </w:rPr>
        <w:t xml:space="preserve">.  The learned judge made reference to the judgements </w:t>
      </w:r>
      <w:r w:rsidRPr="00DD2FC6">
        <w:rPr>
          <w:rFonts w:ascii="Times New Roman" w:hAnsi="Times New Roman" w:cs="Times New Roman"/>
          <w:i/>
          <w:sz w:val="24"/>
          <w:szCs w:val="24"/>
        </w:rPr>
        <w:t>Nestle (SA) (Pty) Ltd</w:t>
      </w:r>
      <w:r w:rsidRPr="00DD7734">
        <w:rPr>
          <w:rFonts w:ascii="Times New Roman" w:hAnsi="Times New Roman" w:cs="Times New Roman"/>
          <w:sz w:val="24"/>
          <w:szCs w:val="24"/>
        </w:rPr>
        <w:t xml:space="preserve"> v </w:t>
      </w:r>
      <w:r w:rsidRPr="00DD2FC6">
        <w:rPr>
          <w:rFonts w:ascii="Times New Roman" w:hAnsi="Times New Roman" w:cs="Times New Roman"/>
          <w:i/>
          <w:sz w:val="24"/>
          <w:szCs w:val="24"/>
        </w:rPr>
        <w:t>Mars Incorporated</w:t>
      </w:r>
      <w:r w:rsidRPr="00DD7734">
        <w:rPr>
          <w:rFonts w:ascii="Times New Roman" w:hAnsi="Times New Roman" w:cs="Times New Roman"/>
          <w:sz w:val="24"/>
          <w:szCs w:val="24"/>
        </w:rPr>
        <w:t xml:space="preserve"> (2001)(4) All SA 315 (SCA) quoted by the authors Herbstein and Van Winsen in their text </w:t>
      </w:r>
      <w:r w:rsidRPr="00DD2FC6">
        <w:rPr>
          <w:rFonts w:ascii="Times New Roman" w:hAnsi="Times New Roman" w:cs="Times New Roman"/>
          <w:i/>
          <w:sz w:val="24"/>
          <w:szCs w:val="24"/>
        </w:rPr>
        <w:t>The Civil Practice of the High Courts and Supreme Court of Appeal of South Africa</w:t>
      </w:r>
      <w:r w:rsidR="00F1511A">
        <w:rPr>
          <w:rFonts w:ascii="Times New Roman" w:hAnsi="Times New Roman" w:cs="Times New Roman"/>
          <w:sz w:val="24"/>
          <w:szCs w:val="24"/>
        </w:rPr>
        <w:t>, fifth Edition at p</w:t>
      </w:r>
      <w:r w:rsidRPr="00DD7734">
        <w:rPr>
          <w:rFonts w:ascii="Times New Roman" w:hAnsi="Times New Roman" w:cs="Times New Roman"/>
          <w:sz w:val="24"/>
          <w:szCs w:val="24"/>
        </w:rPr>
        <w:t xml:space="preserve"> 605 as follows:</w:t>
      </w:r>
    </w:p>
    <w:p w:rsidR="00C22EDF" w:rsidRPr="009464D1" w:rsidRDefault="008C42F6" w:rsidP="009464D1">
      <w:pPr>
        <w:spacing w:after="0" w:line="240" w:lineRule="auto"/>
        <w:ind w:left="720"/>
        <w:jc w:val="both"/>
        <w:rPr>
          <w:rFonts w:ascii="Times New Roman" w:hAnsi="Times New Roman" w:cs="Times New Roman"/>
        </w:rPr>
      </w:pPr>
      <w:r w:rsidRPr="009464D1">
        <w:rPr>
          <w:rFonts w:ascii="Times New Roman" w:hAnsi="Times New Roman" w:cs="Times New Roman"/>
        </w:rPr>
        <w:t xml:space="preserve">‘The defence of </w:t>
      </w:r>
      <w:r w:rsidR="00C64E25">
        <w:rPr>
          <w:rFonts w:ascii="Times New Roman" w:hAnsi="Times New Roman" w:cs="Times New Roman"/>
          <w:i/>
        </w:rPr>
        <w:t>lis alibi</w:t>
      </w:r>
      <w:r w:rsidRPr="009464D1">
        <w:rPr>
          <w:rFonts w:ascii="Times New Roman" w:hAnsi="Times New Roman" w:cs="Times New Roman"/>
          <w:i/>
        </w:rPr>
        <w:t xml:space="preserve"> pendens</w:t>
      </w:r>
      <w:r w:rsidRPr="009464D1">
        <w:rPr>
          <w:rFonts w:ascii="Times New Roman" w:hAnsi="Times New Roman" w:cs="Times New Roman"/>
        </w:rPr>
        <w:t xml:space="preserve"> shares features in common with the defence of </w:t>
      </w:r>
      <w:r w:rsidRPr="009464D1">
        <w:rPr>
          <w:rFonts w:ascii="Times New Roman" w:hAnsi="Times New Roman" w:cs="Times New Roman"/>
          <w:i/>
        </w:rPr>
        <w:t>res judicata</w:t>
      </w:r>
      <w:r w:rsidRPr="009464D1">
        <w:rPr>
          <w:rFonts w:ascii="Times New Roman" w:hAnsi="Times New Roman" w:cs="Times New Roman"/>
        </w:rPr>
        <w:t xml:space="preserve"> because they have a common underlying principle which is that there should be finality to litigation.  Once a suit has been commenced, before a tribunal that is competent to adjudicate upon it, the suit must generally be brought </w:t>
      </w:r>
      <w:r w:rsidR="00C22EDF" w:rsidRPr="009464D1">
        <w:rPr>
          <w:rFonts w:ascii="Times New Roman" w:hAnsi="Times New Roman" w:cs="Times New Roman"/>
        </w:rPr>
        <w:t>to its conclusion before that tribunal and should not be replicated (</w:t>
      </w:r>
      <w:r w:rsidR="00C22EDF" w:rsidRPr="009464D1">
        <w:rPr>
          <w:rFonts w:ascii="Times New Roman" w:hAnsi="Times New Roman" w:cs="Times New Roman"/>
          <w:i/>
        </w:rPr>
        <w:t>lis alibe pendens).</w:t>
      </w:r>
      <w:r w:rsidR="00C22EDF" w:rsidRPr="009464D1">
        <w:rPr>
          <w:rFonts w:ascii="Times New Roman" w:hAnsi="Times New Roman" w:cs="Times New Roman"/>
        </w:rPr>
        <w:t xml:space="preserve">  By the same token, the suit will not be permitted to be revived once it has been brought to </w:t>
      </w:r>
      <w:r w:rsidR="009F5D24" w:rsidRPr="009464D1">
        <w:rPr>
          <w:rFonts w:ascii="Times New Roman" w:hAnsi="Times New Roman" w:cs="Times New Roman"/>
        </w:rPr>
        <w:t>its</w:t>
      </w:r>
      <w:r w:rsidR="00C22EDF" w:rsidRPr="009464D1">
        <w:rPr>
          <w:rFonts w:ascii="Times New Roman" w:hAnsi="Times New Roman" w:cs="Times New Roman"/>
        </w:rPr>
        <w:t xml:space="preserve"> prosper conclusion (</w:t>
      </w:r>
      <w:r w:rsidR="00C22EDF" w:rsidRPr="009464D1">
        <w:rPr>
          <w:rFonts w:ascii="Times New Roman" w:hAnsi="Times New Roman" w:cs="Times New Roman"/>
          <w:i/>
        </w:rPr>
        <w:t>res judicata).</w:t>
      </w:r>
      <w:r w:rsidR="00C22EDF" w:rsidRPr="009464D1">
        <w:rPr>
          <w:rFonts w:ascii="Times New Roman" w:hAnsi="Times New Roman" w:cs="Times New Roman"/>
        </w:rPr>
        <w:t xml:space="preserve">  The same suit between the same parties should be</w:t>
      </w:r>
      <w:r w:rsidR="00C64E25">
        <w:rPr>
          <w:rFonts w:ascii="Times New Roman" w:hAnsi="Times New Roman" w:cs="Times New Roman"/>
        </w:rPr>
        <w:t xml:space="preserve"> brought only once and finally.</w:t>
      </w:r>
      <w:r w:rsidR="00C22EDF" w:rsidRPr="009464D1">
        <w:rPr>
          <w:rFonts w:ascii="Times New Roman" w:hAnsi="Times New Roman" w:cs="Times New Roman"/>
        </w:rPr>
        <w:t xml:space="preserve"> There is room for the application of that principle only where the same dispute, between the same parties, is sought to be placed before the same tribunal (or two tribunals with equal competence to e</w:t>
      </w:r>
      <w:r w:rsidR="009464D1">
        <w:rPr>
          <w:rFonts w:ascii="Times New Roman" w:hAnsi="Times New Roman" w:cs="Times New Roman"/>
        </w:rPr>
        <w:t>nd the dispute authoritatively.</w:t>
      </w:r>
    </w:p>
    <w:p w:rsidR="009464D1" w:rsidRDefault="00C22EDF" w:rsidP="009464D1">
      <w:pPr>
        <w:spacing w:after="0" w:line="240" w:lineRule="auto"/>
        <w:ind w:left="720"/>
        <w:jc w:val="both"/>
        <w:rPr>
          <w:rFonts w:ascii="Times New Roman" w:hAnsi="Times New Roman" w:cs="Times New Roman"/>
        </w:rPr>
      </w:pPr>
      <w:r w:rsidRPr="009464D1">
        <w:rPr>
          <w:rFonts w:ascii="Times New Roman" w:hAnsi="Times New Roman" w:cs="Times New Roman"/>
        </w:rPr>
        <w:lastRenderedPageBreak/>
        <w:t>In the absence of any of these elements, there is no potential for a duplication of actions.”</w:t>
      </w:r>
    </w:p>
    <w:p w:rsidR="003C463D" w:rsidRPr="009464D1" w:rsidRDefault="008C42F6" w:rsidP="009464D1">
      <w:pPr>
        <w:spacing w:after="0" w:line="240" w:lineRule="auto"/>
        <w:ind w:left="720"/>
        <w:jc w:val="both"/>
        <w:rPr>
          <w:rFonts w:ascii="Times New Roman" w:hAnsi="Times New Roman" w:cs="Times New Roman"/>
        </w:rPr>
      </w:pPr>
      <w:r w:rsidRPr="009464D1">
        <w:rPr>
          <w:rFonts w:ascii="Times New Roman" w:hAnsi="Times New Roman" w:cs="Times New Roman"/>
        </w:rPr>
        <w:t xml:space="preserve">  </w:t>
      </w:r>
      <w:r w:rsidR="003C463D" w:rsidRPr="009464D1">
        <w:rPr>
          <w:rFonts w:ascii="Times New Roman" w:hAnsi="Times New Roman" w:cs="Times New Roman"/>
        </w:rPr>
        <w:t xml:space="preserve"> </w:t>
      </w:r>
    </w:p>
    <w:p w:rsidR="00C22EDF" w:rsidRPr="00DD7734" w:rsidRDefault="00C22EDF" w:rsidP="009464D1">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The learned judge went further to note that the plea of </w:t>
      </w:r>
      <w:r w:rsidRPr="00DD7734">
        <w:rPr>
          <w:rFonts w:ascii="Times New Roman" w:hAnsi="Times New Roman" w:cs="Times New Roman"/>
          <w:i/>
          <w:sz w:val="24"/>
          <w:szCs w:val="24"/>
        </w:rPr>
        <w:t>lis alibe pendens</w:t>
      </w:r>
      <w:r w:rsidRPr="00DD7734">
        <w:rPr>
          <w:rFonts w:ascii="Times New Roman" w:hAnsi="Times New Roman" w:cs="Times New Roman"/>
          <w:sz w:val="24"/>
          <w:szCs w:val="24"/>
        </w:rPr>
        <w:t xml:space="preserve"> was not an absolute bar to the court’s discretion to deal with the latter case despite the lis being pending in an earlier pending suit.  The learned judge quoted from p 606 of Herbstein and Van Winsen text as follows:</w:t>
      </w:r>
    </w:p>
    <w:p w:rsidR="00C22EDF" w:rsidRPr="00DD7734" w:rsidRDefault="00C22EDF" w:rsidP="00374580">
      <w:pPr>
        <w:spacing w:after="0" w:line="360" w:lineRule="auto"/>
        <w:jc w:val="both"/>
        <w:rPr>
          <w:rFonts w:ascii="Times New Roman" w:hAnsi="Times New Roman" w:cs="Times New Roman"/>
          <w:sz w:val="24"/>
          <w:szCs w:val="24"/>
        </w:rPr>
      </w:pPr>
    </w:p>
    <w:p w:rsidR="00C22EDF" w:rsidRDefault="00C22EDF" w:rsidP="009464D1">
      <w:pPr>
        <w:spacing w:after="0" w:line="240" w:lineRule="auto"/>
        <w:ind w:left="720"/>
        <w:jc w:val="both"/>
        <w:rPr>
          <w:rFonts w:ascii="Times New Roman" w:hAnsi="Times New Roman" w:cs="Times New Roman"/>
        </w:rPr>
      </w:pPr>
      <w:r w:rsidRPr="009464D1">
        <w:rPr>
          <w:rFonts w:ascii="Times New Roman" w:hAnsi="Times New Roman" w:cs="Times New Roman"/>
        </w:rPr>
        <w:t xml:space="preserve">“A plea of </w:t>
      </w:r>
      <w:r w:rsidRPr="009464D1">
        <w:rPr>
          <w:rFonts w:ascii="Times New Roman" w:hAnsi="Times New Roman" w:cs="Times New Roman"/>
          <w:i/>
        </w:rPr>
        <w:t>lis pendens</w:t>
      </w:r>
      <w:r w:rsidRPr="009464D1">
        <w:rPr>
          <w:rFonts w:ascii="Times New Roman" w:hAnsi="Times New Roman" w:cs="Times New Roman"/>
        </w:rPr>
        <w:t xml:space="preserve"> does not have the effect of an absolute bar to the proceedings in which the defence is raised.  The court intervenes to stay one or other of the proceedings, because </w:t>
      </w:r>
      <w:r w:rsidR="001D2483" w:rsidRPr="009464D1">
        <w:rPr>
          <w:rFonts w:ascii="Times New Roman" w:hAnsi="Times New Roman" w:cs="Times New Roman"/>
        </w:rPr>
        <w:t xml:space="preserve">it is </w:t>
      </w:r>
      <w:r w:rsidR="001D2483" w:rsidRPr="009464D1">
        <w:rPr>
          <w:rFonts w:ascii="Times New Roman" w:hAnsi="Times New Roman" w:cs="Times New Roman"/>
          <w:i/>
        </w:rPr>
        <w:t>prima facie</w:t>
      </w:r>
      <w:r w:rsidR="00F42E8D">
        <w:rPr>
          <w:rFonts w:ascii="Times New Roman" w:hAnsi="Times New Roman" w:cs="Times New Roman"/>
        </w:rPr>
        <w:t xml:space="preserve"> vexatious </w:t>
      </w:r>
      <w:r w:rsidR="001D2483" w:rsidRPr="009464D1">
        <w:rPr>
          <w:rFonts w:ascii="Times New Roman" w:hAnsi="Times New Roman" w:cs="Times New Roman"/>
        </w:rPr>
        <w:t xml:space="preserve">to bring two actions in respect of the same subject matter.  The court reserves a discretion in the matter even if all the essentials of the plea are present, and may in spite of that fact consider whether it is more just and equitable or convenient that it (the action against which the special plea is advanced) should be allowed to proceed.  It often happens that the court will decide that the </w:t>
      </w:r>
      <w:r w:rsidR="001D2483" w:rsidRPr="009464D1">
        <w:rPr>
          <w:rFonts w:ascii="Times New Roman" w:hAnsi="Times New Roman" w:cs="Times New Roman"/>
          <w:i/>
        </w:rPr>
        <w:t>lis</w:t>
      </w:r>
      <w:r w:rsidR="001D2483" w:rsidRPr="009464D1">
        <w:rPr>
          <w:rFonts w:ascii="Times New Roman" w:hAnsi="Times New Roman" w:cs="Times New Roman"/>
        </w:rPr>
        <w:t xml:space="preserve"> which was first commenced should be the one to proceed but this is not an immutable rule.” </w:t>
      </w:r>
      <w:r w:rsidRPr="009464D1">
        <w:rPr>
          <w:rFonts w:ascii="Times New Roman" w:hAnsi="Times New Roman" w:cs="Times New Roman"/>
        </w:rPr>
        <w:t xml:space="preserve">  </w:t>
      </w:r>
    </w:p>
    <w:p w:rsidR="009464D1" w:rsidRPr="009464D1" w:rsidRDefault="009464D1" w:rsidP="009464D1">
      <w:pPr>
        <w:spacing w:after="0" w:line="240" w:lineRule="auto"/>
        <w:ind w:left="720"/>
        <w:jc w:val="both"/>
        <w:rPr>
          <w:rFonts w:ascii="Times New Roman" w:hAnsi="Times New Roman" w:cs="Times New Roman"/>
        </w:rPr>
      </w:pPr>
    </w:p>
    <w:p w:rsidR="009D4139" w:rsidRPr="00DD7734" w:rsidRDefault="009D4139" w:rsidP="009464D1">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The learned</w:t>
      </w:r>
      <w:r w:rsidR="009464D1">
        <w:rPr>
          <w:rFonts w:ascii="Times New Roman" w:hAnsi="Times New Roman" w:cs="Times New Roman"/>
          <w:sz w:val="24"/>
          <w:szCs w:val="24"/>
        </w:rPr>
        <w:t xml:space="preserve"> judge on p</w:t>
      </w:r>
      <w:r w:rsidR="00F42E8D">
        <w:rPr>
          <w:rFonts w:ascii="Times New Roman" w:hAnsi="Times New Roman" w:cs="Times New Roman"/>
          <w:sz w:val="24"/>
          <w:szCs w:val="24"/>
        </w:rPr>
        <w:t xml:space="preserve"> 16 of the judgement further</w:t>
      </w:r>
      <w:r w:rsidRPr="00DD7734">
        <w:rPr>
          <w:rFonts w:ascii="Times New Roman" w:hAnsi="Times New Roman" w:cs="Times New Roman"/>
          <w:sz w:val="24"/>
          <w:szCs w:val="24"/>
        </w:rPr>
        <w:t xml:space="preserve"> stated in regard to whether the nature of the proceedings would impact on the plea of </w:t>
      </w:r>
      <w:r w:rsidRPr="00DD7734">
        <w:rPr>
          <w:rFonts w:ascii="Times New Roman" w:hAnsi="Times New Roman" w:cs="Times New Roman"/>
          <w:i/>
          <w:sz w:val="24"/>
          <w:szCs w:val="24"/>
        </w:rPr>
        <w:t>lis alibi pendens</w:t>
      </w:r>
      <w:r w:rsidRPr="00DD7734">
        <w:rPr>
          <w:rFonts w:ascii="Times New Roman" w:hAnsi="Times New Roman" w:cs="Times New Roman"/>
          <w:sz w:val="24"/>
          <w:szCs w:val="24"/>
        </w:rPr>
        <w:t xml:space="preserve"> as follows:</w:t>
      </w:r>
    </w:p>
    <w:p w:rsidR="009D4139" w:rsidRPr="00DD7734" w:rsidRDefault="009D4139" w:rsidP="00374580">
      <w:pPr>
        <w:spacing w:after="0" w:line="360" w:lineRule="auto"/>
        <w:jc w:val="both"/>
        <w:rPr>
          <w:rFonts w:ascii="Times New Roman" w:hAnsi="Times New Roman" w:cs="Times New Roman"/>
          <w:sz w:val="24"/>
          <w:szCs w:val="24"/>
        </w:rPr>
      </w:pPr>
    </w:p>
    <w:p w:rsidR="009D4139" w:rsidRPr="00D324FC" w:rsidRDefault="009D4139" w:rsidP="00D324FC">
      <w:pPr>
        <w:spacing w:after="0" w:line="240" w:lineRule="auto"/>
        <w:ind w:left="720"/>
        <w:jc w:val="both"/>
        <w:rPr>
          <w:rFonts w:ascii="Times New Roman" w:hAnsi="Times New Roman" w:cs="Times New Roman"/>
        </w:rPr>
      </w:pPr>
      <w:r w:rsidRPr="00D324FC">
        <w:rPr>
          <w:rFonts w:ascii="Times New Roman" w:hAnsi="Times New Roman" w:cs="Times New Roman"/>
        </w:rPr>
        <w:t>“It matters not in my view that the matters have been brought by way of application and the other by way of action.  It is not so much the vehicle by which the matters have been brought to court but the nature of the issues and th</w:t>
      </w:r>
      <w:r w:rsidR="00210DB9">
        <w:rPr>
          <w:rFonts w:ascii="Times New Roman" w:hAnsi="Times New Roman" w:cs="Times New Roman"/>
        </w:rPr>
        <w:t xml:space="preserve">e relief sought, that is, the substance </w:t>
      </w:r>
      <w:r w:rsidRPr="00D324FC">
        <w:rPr>
          <w:rFonts w:ascii="Times New Roman" w:hAnsi="Times New Roman" w:cs="Times New Roman"/>
        </w:rPr>
        <w:t xml:space="preserve"> and not form.” </w:t>
      </w:r>
    </w:p>
    <w:p w:rsidR="009D4139" w:rsidRPr="00DD7734" w:rsidRDefault="009D4139" w:rsidP="00374580">
      <w:pPr>
        <w:spacing w:after="0" w:line="360" w:lineRule="auto"/>
        <w:jc w:val="both"/>
        <w:rPr>
          <w:rFonts w:ascii="Times New Roman" w:hAnsi="Times New Roman" w:cs="Times New Roman"/>
          <w:sz w:val="24"/>
          <w:szCs w:val="24"/>
        </w:rPr>
      </w:pPr>
    </w:p>
    <w:p w:rsidR="009D4139" w:rsidRPr="00DD7734" w:rsidRDefault="009D4139" w:rsidP="00D324FC">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 xml:space="preserve">Upon a consideration of the decided cases and writings of </w:t>
      </w:r>
      <w:r w:rsidR="00210DB9">
        <w:rPr>
          <w:rFonts w:ascii="Times New Roman" w:hAnsi="Times New Roman" w:cs="Times New Roman"/>
          <w:sz w:val="24"/>
          <w:szCs w:val="24"/>
        </w:rPr>
        <w:t>emin</w:t>
      </w:r>
      <w:r w:rsidR="00042D10" w:rsidRPr="00DD7734">
        <w:rPr>
          <w:rFonts w:ascii="Times New Roman" w:hAnsi="Times New Roman" w:cs="Times New Roman"/>
          <w:sz w:val="24"/>
          <w:szCs w:val="24"/>
        </w:rPr>
        <w:t xml:space="preserve">ent authors on practice and procedure in superior courts, it appears to me that the definition of the </w:t>
      </w:r>
      <w:r w:rsidR="00042D10" w:rsidRPr="00DD7734">
        <w:rPr>
          <w:rFonts w:ascii="Times New Roman" w:hAnsi="Times New Roman" w:cs="Times New Roman"/>
          <w:i/>
          <w:sz w:val="24"/>
          <w:szCs w:val="24"/>
        </w:rPr>
        <w:t>lis alibi pendens</w:t>
      </w:r>
      <w:r w:rsidR="00042D10" w:rsidRPr="00DD7734">
        <w:rPr>
          <w:rFonts w:ascii="Times New Roman" w:hAnsi="Times New Roman" w:cs="Times New Roman"/>
          <w:sz w:val="24"/>
          <w:szCs w:val="24"/>
        </w:rPr>
        <w:t xml:space="preserve"> defence and factors which the court considers in determining its establishment is clear.  It must however be stressed as </w:t>
      </w:r>
      <w:r w:rsidR="00D324FC" w:rsidRPr="00D324FC">
        <w:rPr>
          <w:rFonts w:ascii="Times New Roman" w:hAnsi="Times New Roman" w:cs="Times New Roman"/>
          <w:smallCaps/>
          <w:sz w:val="24"/>
          <w:szCs w:val="24"/>
        </w:rPr>
        <w:t>kabasa</w:t>
      </w:r>
      <w:r w:rsidR="00042D10" w:rsidRPr="00DD7734">
        <w:rPr>
          <w:rFonts w:ascii="Times New Roman" w:hAnsi="Times New Roman" w:cs="Times New Roman"/>
          <w:sz w:val="24"/>
          <w:szCs w:val="24"/>
        </w:rPr>
        <w:t xml:space="preserve"> J indicated (supra) that the court in considering the similarities of the </w:t>
      </w:r>
      <w:r w:rsidR="00042D10" w:rsidRPr="00DD7734">
        <w:rPr>
          <w:rFonts w:ascii="Times New Roman" w:hAnsi="Times New Roman" w:cs="Times New Roman"/>
          <w:i/>
          <w:sz w:val="24"/>
          <w:szCs w:val="24"/>
        </w:rPr>
        <w:t>lis</w:t>
      </w:r>
      <w:r w:rsidR="00042D10" w:rsidRPr="00DD7734">
        <w:rPr>
          <w:rFonts w:ascii="Times New Roman" w:hAnsi="Times New Roman" w:cs="Times New Roman"/>
          <w:sz w:val="24"/>
          <w:szCs w:val="24"/>
        </w:rPr>
        <w:t xml:space="preserve"> on the two cases upon which the </w:t>
      </w:r>
      <w:r w:rsidR="00042D10" w:rsidRPr="00DD7734">
        <w:rPr>
          <w:rFonts w:ascii="Times New Roman" w:hAnsi="Times New Roman" w:cs="Times New Roman"/>
          <w:i/>
          <w:sz w:val="24"/>
          <w:szCs w:val="24"/>
        </w:rPr>
        <w:t>lis pendens</w:t>
      </w:r>
      <w:r w:rsidR="00042D10" w:rsidRPr="00DD7734">
        <w:rPr>
          <w:rFonts w:ascii="Times New Roman" w:hAnsi="Times New Roman" w:cs="Times New Roman"/>
          <w:sz w:val="24"/>
          <w:szCs w:val="24"/>
        </w:rPr>
        <w:t xml:space="preserve"> defence rests must consider the substance of the cases and not their form nor the method by which they have been instituted whether by way of action or application.  An all important feature of the defence is that the defence must be specially pleaded by the party seeking to invoke it and arrest the </w:t>
      </w:r>
      <w:r w:rsidR="00042D10" w:rsidRPr="00DD7734">
        <w:rPr>
          <w:rFonts w:ascii="Times New Roman" w:hAnsi="Times New Roman" w:cs="Times New Roman"/>
          <w:i/>
          <w:sz w:val="24"/>
          <w:szCs w:val="24"/>
        </w:rPr>
        <w:t xml:space="preserve">lis </w:t>
      </w:r>
      <w:r w:rsidR="00042D10" w:rsidRPr="00DD7734">
        <w:rPr>
          <w:rFonts w:ascii="Times New Roman" w:hAnsi="Times New Roman" w:cs="Times New Roman"/>
          <w:sz w:val="24"/>
          <w:szCs w:val="24"/>
        </w:rPr>
        <w:t xml:space="preserve">before the court from being proceeded with.  In this respect, it is not for the court to invoke the special plea </w:t>
      </w:r>
      <w:r w:rsidR="00042D10" w:rsidRPr="00DD7734">
        <w:rPr>
          <w:rFonts w:ascii="Times New Roman" w:hAnsi="Times New Roman" w:cs="Times New Roman"/>
          <w:i/>
          <w:sz w:val="24"/>
          <w:szCs w:val="24"/>
        </w:rPr>
        <w:t>mero motu</w:t>
      </w:r>
      <w:r w:rsidR="00042D10" w:rsidRPr="00DD7734">
        <w:rPr>
          <w:rFonts w:ascii="Times New Roman" w:hAnsi="Times New Roman" w:cs="Times New Roman"/>
          <w:sz w:val="24"/>
          <w:szCs w:val="24"/>
        </w:rPr>
        <w:t xml:space="preserve">.  The party raising the defence of </w:t>
      </w:r>
      <w:r w:rsidR="00414B3B">
        <w:rPr>
          <w:rFonts w:ascii="Times New Roman" w:hAnsi="Times New Roman" w:cs="Times New Roman"/>
          <w:i/>
          <w:sz w:val="24"/>
          <w:szCs w:val="24"/>
        </w:rPr>
        <w:t>lis alibi</w:t>
      </w:r>
      <w:r w:rsidR="00042D10" w:rsidRPr="00DD7734">
        <w:rPr>
          <w:rFonts w:ascii="Times New Roman" w:hAnsi="Times New Roman" w:cs="Times New Roman"/>
          <w:i/>
          <w:sz w:val="24"/>
          <w:szCs w:val="24"/>
        </w:rPr>
        <w:t xml:space="preserve"> pendens</w:t>
      </w:r>
      <w:r w:rsidR="00042D10" w:rsidRPr="00DD7734">
        <w:rPr>
          <w:rFonts w:ascii="Times New Roman" w:hAnsi="Times New Roman" w:cs="Times New Roman"/>
          <w:sz w:val="24"/>
          <w:szCs w:val="24"/>
        </w:rPr>
        <w:t xml:space="preserve"> is not only required to plead the defe</w:t>
      </w:r>
      <w:r w:rsidR="00414B3B">
        <w:rPr>
          <w:rFonts w:ascii="Times New Roman" w:hAnsi="Times New Roman" w:cs="Times New Roman"/>
          <w:sz w:val="24"/>
          <w:szCs w:val="24"/>
        </w:rPr>
        <w:t>nce specially but bears the onus</w:t>
      </w:r>
      <w:r w:rsidR="00042D10" w:rsidRPr="00DD7734">
        <w:rPr>
          <w:rFonts w:ascii="Times New Roman" w:hAnsi="Times New Roman" w:cs="Times New Roman"/>
          <w:sz w:val="24"/>
          <w:szCs w:val="24"/>
        </w:rPr>
        <w:t xml:space="preserve"> to prove the special defence.  Therefore, to the extent that the respondents herein did not oppose the applicant case, the </w:t>
      </w:r>
      <w:r w:rsidR="00042D10" w:rsidRPr="00DD7734">
        <w:rPr>
          <w:rFonts w:ascii="Times New Roman" w:hAnsi="Times New Roman" w:cs="Times New Roman"/>
          <w:i/>
          <w:sz w:val="24"/>
          <w:szCs w:val="24"/>
        </w:rPr>
        <w:t>lis pendens</w:t>
      </w:r>
      <w:r w:rsidR="00042D10" w:rsidRPr="00DD7734">
        <w:rPr>
          <w:rFonts w:ascii="Times New Roman" w:hAnsi="Times New Roman" w:cs="Times New Roman"/>
          <w:sz w:val="24"/>
          <w:szCs w:val="24"/>
        </w:rPr>
        <w:t xml:space="preserve"> defence is not available to them and the court is not entitled to raise the defence </w:t>
      </w:r>
      <w:r w:rsidR="00042D10" w:rsidRPr="00DD7734">
        <w:rPr>
          <w:rFonts w:ascii="Times New Roman" w:hAnsi="Times New Roman" w:cs="Times New Roman"/>
          <w:i/>
          <w:sz w:val="24"/>
          <w:szCs w:val="24"/>
        </w:rPr>
        <w:t>mero motu.</w:t>
      </w:r>
    </w:p>
    <w:p w:rsidR="00042D10" w:rsidRPr="00DD7734" w:rsidRDefault="00042D10" w:rsidP="00374580">
      <w:pPr>
        <w:spacing w:after="0" w:line="360" w:lineRule="auto"/>
        <w:jc w:val="both"/>
        <w:rPr>
          <w:rFonts w:ascii="Times New Roman" w:hAnsi="Times New Roman" w:cs="Times New Roman"/>
          <w:sz w:val="24"/>
          <w:szCs w:val="24"/>
        </w:rPr>
      </w:pPr>
    </w:p>
    <w:p w:rsidR="00C2220F" w:rsidRPr="00DD7734" w:rsidRDefault="00042D10" w:rsidP="00374580">
      <w:pPr>
        <w:spacing w:after="0" w:line="360" w:lineRule="auto"/>
        <w:jc w:val="both"/>
        <w:rPr>
          <w:rFonts w:ascii="Times New Roman" w:hAnsi="Times New Roman" w:cs="Times New Roman"/>
          <w:sz w:val="24"/>
          <w:szCs w:val="24"/>
        </w:rPr>
      </w:pPr>
      <w:r w:rsidRPr="00DD7734">
        <w:rPr>
          <w:rFonts w:ascii="Times New Roman" w:hAnsi="Times New Roman" w:cs="Times New Roman"/>
          <w:sz w:val="24"/>
          <w:szCs w:val="24"/>
        </w:rPr>
        <w:lastRenderedPageBreak/>
        <w:t xml:space="preserve">Having determined that the </w:t>
      </w:r>
      <w:r w:rsidRPr="00DD7734">
        <w:rPr>
          <w:rFonts w:ascii="Times New Roman" w:hAnsi="Times New Roman" w:cs="Times New Roman"/>
          <w:i/>
          <w:sz w:val="24"/>
          <w:szCs w:val="24"/>
        </w:rPr>
        <w:t>lis alibi pendens</w:t>
      </w:r>
      <w:r w:rsidRPr="00DD7734">
        <w:rPr>
          <w:rFonts w:ascii="Times New Roman" w:hAnsi="Times New Roman" w:cs="Times New Roman"/>
          <w:sz w:val="24"/>
          <w:szCs w:val="24"/>
        </w:rPr>
        <w:t xml:space="preserve"> defence must be raised by the defendant specially, </w:t>
      </w:r>
      <w:r w:rsidR="00072A21">
        <w:rPr>
          <w:rFonts w:ascii="Times New Roman" w:hAnsi="Times New Roman" w:cs="Times New Roman"/>
          <w:sz w:val="24"/>
          <w:szCs w:val="24"/>
        </w:rPr>
        <w:t xml:space="preserve">I </w:t>
      </w:r>
      <w:r w:rsidRPr="00DD7734">
        <w:rPr>
          <w:rFonts w:ascii="Times New Roman" w:hAnsi="Times New Roman" w:cs="Times New Roman"/>
          <w:sz w:val="24"/>
          <w:szCs w:val="24"/>
        </w:rPr>
        <w:t xml:space="preserve">must before addressing the merits note that there is nothing </w:t>
      </w:r>
      <w:r w:rsidR="00072A21">
        <w:rPr>
          <w:rFonts w:ascii="Times New Roman" w:hAnsi="Times New Roman" w:cs="Times New Roman"/>
          <w:sz w:val="24"/>
          <w:szCs w:val="24"/>
        </w:rPr>
        <w:t xml:space="preserve">on record </w:t>
      </w:r>
      <w:r w:rsidRPr="00DD7734">
        <w:rPr>
          <w:rFonts w:ascii="Times New Roman" w:hAnsi="Times New Roman" w:cs="Times New Roman"/>
          <w:sz w:val="24"/>
          <w:szCs w:val="24"/>
        </w:rPr>
        <w:t>to indicate that</w:t>
      </w:r>
      <w:r w:rsidR="00C2220F" w:rsidRPr="00DD7734">
        <w:rPr>
          <w:rFonts w:ascii="Times New Roman" w:hAnsi="Times New Roman" w:cs="Times New Roman"/>
          <w:sz w:val="24"/>
          <w:szCs w:val="24"/>
        </w:rPr>
        <w:t xml:space="preserve"> the magistrates court made a determination that the Deed of Grant in the names of the 1</w:t>
      </w:r>
      <w:r w:rsidR="00C2220F" w:rsidRPr="00DD7734">
        <w:rPr>
          <w:rFonts w:ascii="Times New Roman" w:hAnsi="Times New Roman" w:cs="Times New Roman"/>
          <w:sz w:val="24"/>
          <w:szCs w:val="24"/>
          <w:vertAlign w:val="superscript"/>
        </w:rPr>
        <w:t>st</w:t>
      </w:r>
      <w:r w:rsidR="00C2220F" w:rsidRPr="00DD7734">
        <w:rPr>
          <w:rFonts w:ascii="Times New Roman" w:hAnsi="Times New Roman" w:cs="Times New Roman"/>
          <w:sz w:val="24"/>
          <w:szCs w:val="24"/>
        </w:rPr>
        <w:t xml:space="preserve"> respondent was authentic but </w:t>
      </w:r>
      <w:r w:rsidR="00DF24AD">
        <w:rPr>
          <w:rFonts w:ascii="Times New Roman" w:hAnsi="Times New Roman" w:cs="Times New Roman"/>
          <w:sz w:val="24"/>
          <w:szCs w:val="24"/>
        </w:rPr>
        <w:t xml:space="preserve">he held </w:t>
      </w:r>
      <w:r w:rsidR="00C2220F" w:rsidRPr="00DD7734">
        <w:rPr>
          <w:rFonts w:ascii="Times New Roman" w:hAnsi="Times New Roman" w:cs="Times New Roman"/>
          <w:sz w:val="24"/>
          <w:szCs w:val="24"/>
        </w:rPr>
        <w:t xml:space="preserve">that the applicant had not proved a better entitlement to the property.  As a point of law, the </w:t>
      </w:r>
      <w:r w:rsidR="00D44887" w:rsidRPr="00DD7734">
        <w:rPr>
          <w:rFonts w:ascii="Times New Roman" w:hAnsi="Times New Roman" w:cs="Times New Roman"/>
          <w:sz w:val="24"/>
          <w:szCs w:val="24"/>
        </w:rPr>
        <w:t>magistrate’s</w:t>
      </w:r>
      <w:r w:rsidR="00C2220F" w:rsidRPr="00DD7734">
        <w:rPr>
          <w:rFonts w:ascii="Times New Roman" w:hAnsi="Times New Roman" w:cs="Times New Roman"/>
          <w:sz w:val="24"/>
          <w:szCs w:val="24"/>
        </w:rPr>
        <w:t xml:space="preserve"> court has no jurisdiction to grant a declatur in the nature of the one sought in this application wherein the cancellation of a registered deed o</w:t>
      </w:r>
      <w:r w:rsidR="00DF24AD">
        <w:rPr>
          <w:rFonts w:ascii="Times New Roman" w:hAnsi="Times New Roman" w:cs="Times New Roman"/>
          <w:sz w:val="24"/>
          <w:szCs w:val="24"/>
        </w:rPr>
        <w:t>f transfer is sought.  This is so because a registered Deed of T</w:t>
      </w:r>
      <w:r w:rsidR="00C2220F" w:rsidRPr="00DD7734">
        <w:rPr>
          <w:rFonts w:ascii="Times New Roman" w:hAnsi="Times New Roman" w:cs="Times New Roman"/>
          <w:sz w:val="24"/>
          <w:szCs w:val="24"/>
        </w:rPr>
        <w:t>ransfer can only be cancelled by order of the High Court as provided for in section 8 of the Deed Registries Act, Chapter 20:05 which reads as follows:</w:t>
      </w:r>
    </w:p>
    <w:p w:rsidR="00C2220F" w:rsidRPr="00DD7734" w:rsidRDefault="00C2220F" w:rsidP="00374580">
      <w:pPr>
        <w:spacing w:after="0" w:line="360" w:lineRule="auto"/>
        <w:jc w:val="both"/>
        <w:rPr>
          <w:rFonts w:ascii="Times New Roman" w:hAnsi="Times New Roman" w:cs="Times New Roman"/>
          <w:sz w:val="24"/>
          <w:szCs w:val="24"/>
        </w:rPr>
      </w:pPr>
    </w:p>
    <w:p w:rsidR="00C2220F" w:rsidRPr="00DF24AD" w:rsidRDefault="00C2220F" w:rsidP="00DE22B8">
      <w:pPr>
        <w:spacing w:after="0" w:line="240" w:lineRule="auto"/>
        <w:jc w:val="both"/>
        <w:rPr>
          <w:rFonts w:ascii="Times New Roman" w:hAnsi="Times New Roman" w:cs="Times New Roman"/>
          <w:b/>
        </w:rPr>
      </w:pPr>
      <w:r w:rsidRPr="00DD7734">
        <w:rPr>
          <w:rFonts w:ascii="Times New Roman" w:hAnsi="Times New Roman" w:cs="Times New Roman"/>
          <w:sz w:val="24"/>
          <w:szCs w:val="24"/>
        </w:rPr>
        <w:tab/>
      </w:r>
      <w:r w:rsidRPr="00DF24AD">
        <w:rPr>
          <w:rFonts w:ascii="Times New Roman" w:hAnsi="Times New Roman" w:cs="Times New Roman"/>
          <w:b/>
        </w:rPr>
        <w:t xml:space="preserve">“8 </w:t>
      </w:r>
      <w:r w:rsidR="0098429D">
        <w:rPr>
          <w:rFonts w:ascii="Times New Roman" w:hAnsi="Times New Roman" w:cs="Times New Roman"/>
          <w:b/>
        </w:rPr>
        <w:t>R</w:t>
      </w:r>
      <w:r w:rsidR="00D44887" w:rsidRPr="00DF24AD">
        <w:rPr>
          <w:rFonts w:ascii="Times New Roman" w:hAnsi="Times New Roman" w:cs="Times New Roman"/>
          <w:b/>
        </w:rPr>
        <w:t>egistered</w:t>
      </w:r>
      <w:r w:rsidRPr="00DF24AD">
        <w:rPr>
          <w:rFonts w:ascii="Times New Roman" w:hAnsi="Times New Roman" w:cs="Times New Roman"/>
          <w:b/>
        </w:rPr>
        <w:t xml:space="preserve"> deeds not to be cancelled except upon order of court.</w:t>
      </w:r>
    </w:p>
    <w:p w:rsidR="00C2220F" w:rsidRPr="00DE22B8" w:rsidRDefault="00C2220F" w:rsidP="00DE22B8">
      <w:pPr>
        <w:pStyle w:val="ListParagraph"/>
        <w:numPr>
          <w:ilvl w:val="0"/>
          <w:numId w:val="5"/>
        </w:numPr>
        <w:spacing w:after="0" w:line="240" w:lineRule="auto"/>
        <w:jc w:val="both"/>
        <w:rPr>
          <w:rFonts w:ascii="Times New Roman" w:hAnsi="Times New Roman" w:cs="Times New Roman"/>
        </w:rPr>
      </w:pPr>
      <w:r w:rsidRPr="00DE22B8">
        <w:rPr>
          <w:rFonts w:ascii="Times New Roman" w:hAnsi="Times New Roman" w:cs="Times New Roman"/>
        </w:rPr>
        <w:t>Save as is otherwise provided for in this Act or in any other enactment, no registered deed of grant, deed of transfer, certificate of title or other deed confirming or conveying title to land, or any real right in land other than a mortgage bond, and no cession of any registered bond not made as security shall be cancelled by a registrar except upon an order of court.</w:t>
      </w:r>
    </w:p>
    <w:p w:rsidR="00C2220F" w:rsidRPr="00DE22B8" w:rsidRDefault="00C2220F" w:rsidP="00DE22B8">
      <w:pPr>
        <w:pStyle w:val="ListParagraph"/>
        <w:numPr>
          <w:ilvl w:val="0"/>
          <w:numId w:val="5"/>
        </w:numPr>
        <w:spacing w:after="0" w:line="240" w:lineRule="auto"/>
        <w:jc w:val="both"/>
        <w:rPr>
          <w:rFonts w:ascii="Times New Roman" w:hAnsi="Times New Roman" w:cs="Times New Roman"/>
        </w:rPr>
      </w:pPr>
      <w:r w:rsidRPr="00DE22B8">
        <w:rPr>
          <w:rFonts w:ascii="Times New Roman" w:hAnsi="Times New Roman" w:cs="Times New Roman"/>
        </w:rPr>
        <w:t>Upon the cancellation of any deed pursuant to an order of court –</w:t>
      </w:r>
    </w:p>
    <w:p w:rsidR="00C2220F" w:rsidRPr="00DE22B8" w:rsidRDefault="00C2220F" w:rsidP="00DE22B8">
      <w:pPr>
        <w:pStyle w:val="ListParagraph"/>
        <w:numPr>
          <w:ilvl w:val="0"/>
          <w:numId w:val="6"/>
        </w:numPr>
        <w:spacing w:after="0" w:line="240" w:lineRule="auto"/>
        <w:jc w:val="both"/>
        <w:rPr>
          <w:rFonts w:ascii="Times New Roman" w:hAnsi="Times New Roman" w:cs="Times New Roman"/>
        </w:rPr>
      </w:pPr>
      <w:r w:rsidRPr="00DE22B8">
        <w:rPr>
          <w:rFonts w:ascii="Times New Roman" w:hAnsi="Times New Roman" w:cs="Times New Roman"/>
        </w:rPr>
        <w:t xml:space="preserve">the deed under which the land or any real right in land was held immediately prior to the registration of deed which is cancelled shall be revived to the extent of such cancellation unless a court orders otherwise; and </w:t>
      </w:r>
    </w:p>
    <w:p w:rsidR="00C2220F" w:rsidRPr="00DE22B8" w:rsidRDefault="00CB48DD" w:rsidP="00DE22B8">
      <w:pPr>
        <w:pStyle w:val="ListParagraph"/>
        <w:numPr>
          <w:ilvl w:val="0"/>
          <w:numId w:val="6"/>
        </w:numPr>
        <w:spacing w:after="0" w:line="240" w:lineRule="auto"/>
        <w:jc w:val="both"/>
        <w:rPr>
          <w:rFonts w:ascii="Times New Roman" w:hAnsi="Times New Roman" w:cs="Times New Roman"/>
        </w:rPr>
      </w:pPr>
      <w:r w:rsidRPr="00DE22B8">
        <w:rPr>
          <w:rFonts w:ascii="Times New Roman" w:hAnsi="Times New Roman" w:cs="Times New Roman"/>
        </w:rPr>
        <w:t>The</w:t>
      </w:r>
      <w:r w:rsidR="00C2220F" w:rsidRPr="00DE22B8">
        <w:rPr>
          <w:rFonts w:ascii="Times New Roman" w:hAnsi="Times New Roman" w:cs="Times New Roman"/>
        </w:rPr>
        <w:t xml:space="preserve"> registrar shall make the appropriate endorsement on the relevant deeds and entries in the registers.”</w:t>
      </w:r>
    </w:p>
    <w:p w:rsidR="00C2220F" w:rsidRPr="00DD7734" w:rsidRDefault="00C2220F" w:rsidP="00374580">
      <w:pPr>
        <w:spacing w:after="0" w:line="360" w:lineRule="auto"/>
        <w:jc w:val="both"/>
        <w:rPr>
          <w:rFonts w:ascii="Times New Roman" w:hAnsi="Times New Roman" w:cs="Times New Roman"/>
          <w:sz w:val="24"/>
          <w:szCs w:val="24"/>
        </w:rPr>
      </w:pPr>
    </w:p>
    <w:p w:rsidR="00E43222" w:rsidRPr="00DD7734" w:rsidRDefault="00822905" w:rsidP="00366A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 </w:t>
      </w:r>
      <w:r w:rsidR="00C2220F" w:rsidRPr="00DD7734">
        <w:rPr>
          <w:rFonts w:ascii="Times New Roman" w:hAnsi="Times New Roman" w:cs="Times New Roman"/>
          <w:sz w:val="24"/>
          <w:szCs w:val="24"/>
        </w:rPr>
        <w:t xml:space="preserve">2 of the Deeds Registries Act, the word “court” in the Act refers to the High Court.  Since the Magistrates Court cannot grant an order </w:t>
      </w:r>
      <w:r w:rsidR="00E43222" w:rsidRPr="00DD7734">
        <w:rPr>
          <w:rFonts w:ascii="Times New Roman" w:hAnsi="Times New Roman" w:cs="Times New Roman"/>
          <w:sz w:val="24"/>
          <w:szCs w:val="24"/>
        </w:rPr>
        <w:t xml:space="preserve">that cancels a registered deed of transfer, it follows that it equally cannot declare who the owner of a disputed registered property should be as between contending claims.  It must follow that the issue of who had superior title between the applicant and respondents was a matter beyond the jurisdiction of the Magistrates Court.  The lis being one beyond the jurisdiction of that court, it could not be </w:t>
      </w:r>
      <w:r w:rsidR="00E43222" w:rsidRPr="003269B0">
        <w:rPr>
          <w:rFonts w:ascii="Times New Roman" w:hAnsi="Times New Roman" w:cs="Times New Roman"/>
          <w:i/>
          <w:sz w:val="24"/>
          <w:szCs w:val="24"/>
        </w:rPr>
        <w:t>lis pendens</w:t>
      </w:r>
      <w:r w:rsidR="00E43222" w:rsidRPr="00DD7734">
        <w:rPr>
          <w:rFonts w:ascii="Times New Roman" w:hAnsi="Times New Roman" w:cs="Times New Roman"/>
          <w:sz w:val="24"/>
          <w:szCs w:val="24"/>
        </w:rPr>
        <w:t xml:space="preserve"> within the parameters of the law.</w:t>
      </w:r>
    </w:p>
    <w:p w:rsidR="00E43222" w:rsidRPr="00DD7734" w:rsidRDefault="00E43222" w:rsidP="00366ABD">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A closer consideration of the magistrates courts order which was appealed against shows that all that the learned magistrate ordered was a declaration that the mortgaged property was executable to satisfy the judgment of the court.  The applicant had in the interpleader claimed for an order that the property be released from attachment on the basis that it was his property yet there was in existence a deed of grant No. 3345/2016 which was still extant in the name of 1</w:t>
      </w:r>
      <w:r w:rsidRPr="00DD7734">
        <w:rPr>
          <w:rFonts w:ascii="Times New Roman" w:hAnsi="Times New Roman" w:cs="Times New Roman"/>
          <w:sz w:val="24"/>
          <w:szCs w:val="24"/>
          <w:vertAlign w:val="superscript"/>
        </w:rPr>
        <w:t>st</w:t>
      </w:r>
      <w:r w:rsidRPr="00DD7734">
        <w:rPr>
          <w:rFonts w:ascii="Times New Roman" w:hAnsi="Times New Roman" w:cs="Times New Roman"/>
          <w:sz w:val="24"/>
          <w:szCs w:val="24"/>
        </w:rPr>
        <w:t xml:space="preserve"> respondent in which the disputed property was conveyed.  The learned magistrate gave effect to the deed of grant as it was extant.  I note again that this finding may impact on the decision on appeal.  However, such finding is necessary for me to make in order to show </w:t>
      </w:r>
      <w:r w:rsidRPr="00DD7734">
        <w:rPr>
          <w:rFonts w:ascii="Times New Roman" w:hAnsi="Times New Roman" w:cs="Times New Roman"/>
          <w:sz w:val="24"/>
          <w:szCs w:val="24"/>
        </w:rPr>
        <w:lastRenderedPageBreak/>
        <w:t xml:space="preserve">that the current application is not </w:t>
      </w:r>
      <w:r w:rsidRPr="00DD7734">
        <w:rPr>
          <w:rFonts w:ascii="Times New Roman" w:hAnsi="Times New Roman" w:cs="Times New Roman"/>
          <w:i/>
          <w:sz w:val="24"/>
          <w:szCs w:val="24"/>
        </w:rPr>
        <w:t>lis pendens</w:t>
      </w:r>
      <w:r w:rsidRPr="00DD7734">
        <w:rPr>
          <w:rFonts w:ascii="Times New Roman" w:hAnsi="Times New Roman" w:cs="Times New Roman"/>
          <w:sz w:val="24"/>
          <w:szCs w:val="24"/>
        </w:rPr>
        <w:t xml:space="preserve"> in the interpleader application nor</w:t>
      </w:r>
      <w:r w:rsidR="00DF24AD">
        <w:rPr>
          <w:rFonts w:ascii="Times New Roman" w:hAnsi="Times New Roman" w:cs="Times New Roman"/>
          <w:sz w:val="24"/>
          <w:szCs w:val="24"/>
        </w:rPr>
        <w:t xml:space="preserve"> is it</w:t>
      </w:r>
      <w:r w:rsidRPr="00DD7734">
        <w:rPr>
          <w:rFonts w:ascii="Times New Roman" w:hAnsi="Times New Roman" w:cs="Times New Roman"/>
          <w:sz w:val="24"/>
          <w:szCs w:val="24"/>
        </w:rPr>
        <w:t xml:space="preserve"> an appeal against the magistrates courts; determination. </w:t>
      </w:r>
      <w:r w:rsidR="00C2220F" w:rsidRPr="00DD7734">
        <w:rPr>
          <w:rFonts w:ascii="Times New Roman" w:hAnsi="Times New Roman" w:cs="Times New Roman"/>
          <w:sz w:val="24"/>
          <w:szCs w:val="24"/>
        </w:rPr>
        <w:t xml:space="preserve"> </w:t>
      </w:r>
    </w:p>
    <w:p w:rsidR="000B4CF7" w:rsidRPr="00DD7734" w:rsidRDefault="00E43222" w:rsidP="00054E4C">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It therefore must follow in my judgment that the appeal no</w:t>
      </w:r>
      <w:r w:rsidR="00980D83">
        <w:rPr>
          <w:rFonts w:ascii="Times New Roman" w:hAnsi="Times New Roman" w:cs="Times New Roman"/>
          <w:sz w:val="24"/>
          <w:szCs w:val="24"/>
        </w:rPr>
        <w:t xml:space="preserve">ted by the applicant in Case </w:t>
      </w:r>
      <w:r w:rsidRPr="00DD7734">
        <w:rPr>
          <w:rFonts w:ascii="Times New Roman" w:hAnsi="Times New Roman" w:cs="Times New Roman"/>
          <w:sz w:val="24"/>
          <w:szCs w:val="24"/>
        </w:rPr>
        <w:t xml:space="preserve"> does not determine the main relief sought in this application which only the High Cou</w:t>
      </w:r>
      <w:r w:rsidR="00980D83">
        <w:rPr>
          <w:rFonts w:ascii="Times New Roman" w:hAnsi="Times New Roman" w:cs="Times New Roman"/>
          <w:sz w:val="24"/>
          <w:szCs w:val="24"/>
        </w:rPr>
        <w:t>rt is competent to grant.  There</w:t>
      </w:r>
      <w:r w:rsidRPr="00DD7734">
        <w:rPr>
          <w:rFonts w:ascii="Times New Roman" w:hAnsi="Times New Roman" w:cs="Times New Roman"/>
          <w:sz w:val="24"/>
          <w:szCs w:val="24"/>
        </w:rPr>
        <w:t xml:space="preserve"> should therefore be no confusion in regard to whether this application</w:t>
      </w:r>
      <w:r w:rsidR="00980D83">
        <w:rPr>
          <w:rFonts w:ascii="Times New Roman" w:hAnsi="Times New Roman" w:cs="Times New Roman"/>
          <w:sz w:val="24"/>
          <w:szCs w:val="24"/>
        </w:rPr>
        <w:t xml:space="preserve"> is or is not</w:t>
      </w:r>
      <w:r w:rsidRPr="00DD7734">
        <w:rPr>
          <w:rFonts w:ascii="Times New Roman" w:hAnsi="Times New Roman" w:cs="Times New Roman"/>
          <w:sz w:val="24"/>
          <w:szCs w:val="24"/>
        </w:rPr>
        <w:t xml:space="preserve"> </w:t>
      </w:r>
      <w:r w:rsidRPr="00DD7734">
        <w:rPr>
          <w:rFonts w:ascii="Times New Roman" w:hAnsi="Times New Roman" w:cs="Times New Roman"/>
          <w:i/>
          <w:sz w:val="24"/>
          <w:szCs w:val="24"/>
        </w:rPr>
        <w:t xml:space="preserve">lis pendens </w:t>
      </w:r>
      <w:r w:rsidRPr="00DD7734">
        <w:rPr>
          <w:rFonts w:ascii="Times New Roman" w:hAnsi="Times New Roman" w:cs="Times New Roman"/>
          <w:sz w:val="24"/>
          <w:szCs w:val="24"/>
        </w:rPr>
        <w:t>the appeal.</w:t>
      </w:r>
      <w:r w:rsidR="000B4CF7" w:rsidRPr="00DD7734">
        <w:rPr>
          <w:rFonts w:ascii="Times New Roman" w:hAnsi="Times New Roman" w:cs="Times New Roman"/>
          <w:sz w:val="24"/>
          <w:szCs w:val="24"/>
        </w:rPr>
        <w:t xml:space="preserve">  The applicant is entitled to the relief which he seeks save in regard to the claim for costs which are claimed against the 1</w:t>
      </w:r>
      <w:r w:rsidR="000B4CF7" w:rsidRPr="00DD7734">
        <w:rPr>
          <w:rFonts w:ascii="Times New Roman" w:hAnsi="Times New Roman" w:cs="Times New Roman"/>
          <w:sz w:val="24"/>
          <w:szCs w:val="24"/>
          <w:vertAlign w:val="superscript"/>
        </w:rPr>
        <w:t>st</w:t>
      </w:r>
      <w:r w:rsidR="000B4CF7" w:rsidRPr="00DD7734">
        <w:rPr>
          <w:rFonts w:ascii="Times New Roman" w:hAnsi="Times New Roman" w:cs="Times New Roman"/>
          <w:sz w:val="24"/>
          <w:szCs w:val="24"/>
        </w:rPr>
        <w:t xml:space="preserve"> to 4</w:t>
      </w:r>
      <w:r w:rsidR="000B4CF7" w:rsidRPr="00DD7734">
        <w:rPr>
          <w:rFonts w:ascii="Times New Roman" w:hAnsi="Times New Roman" w:cs="Times New Roman"/>
          <w:sz w:val="24"/>
          <w:szCs w:val="24"/>
          <w:vertAlign w:val="superscript"/>
        </w:rPr>
        <w:t>th</w:t>
      </w:r>
      <w:r w:rsidR="000B4CF7" w:rsidRPr="00DD7734">
        <w:rPr>
          <w:rFonts w:ascii="Times New Roman" w:hAnsi="Times New Roman" w:cs="Times New Roman"/>
          <w:sz w:val="24"/>
          <w:szCs w:val="24"/>
        </w:rPr>
        <w:t xml:space="preserve"> respondents.  I do not find a basis for awarding costs against the 4</w:t>
      </w:r>
      <w:r w:rsidR="000B4CF7" w:rsidRPr="00DD7734">
        <w:rPr>
          <w:rFonts w:ascii="Times New Roman" w:hAnsi="Times New Roman" w:cs="Times New Roman"/>
          <w:sz w:val="24"/>
          <w:szCs w:val="24"/>
          <w:vertAlign w:val="superscript"/>
        </w:rPr>
        <w:t>th</w:t>
      </w:r>
      <w:r w:rsidR="000B4CF7" w:rsidRPr="00DD7734">
        <w:rPr>
          <w:rFonts w:ascii="Times New Roman" w:hAnsi="Times New Roman" w:cs="Times New Roman"/>
          <w:sz w:val="24"/>
          <w:szCs w:val="24"/>
        </w:rPr>
        <w:t xml:space="preserve"> respondent because it did not oppose the relief sought despite being affected by the order which will result in the 4</w:t>
      </w:r>
      <w:r w:rsidR="000B4CF7" w:rsidRPr="00DD7734">
        <w:rPr>
          <w:rFonts w:ascii="Times New Roman" w:hAnsi="Times New Roman" w:cs="Times New Roman"/>
          <w:sz w:val="24"/>
          <w:szCs w:val="24"/>
          <w:vertAlign w:val="superscript"/>
        </w:rPr>
        <w:t>th</w:t>
      </w:r>
      <w:r w:rsidR="000B4CF7" w:rsidRPr="00DD7734">
        <w:rPr>
          <w:rFonts w:ascii="Times New Roman" w:hAnsi="Times New Roman" w:cs="Times New Roman"/>
          <w:sz w:val="24"/>
          <w:szCs w:val="24"/>
        </w:rPr>
        <w:t xml:space="preserve"> respondents’ failure to execute on the property to satisfy judgment grante</w:t>
      </w:r>
      <w:r w:rsidR="00366ABD">
        <w:rPr>
          <w:rFonts w:ascii="Times New Roman" w:hAnsi="Times New Roman" w:cs="Times New Roman"/>
          <w:sz w:val="24"/>
          <w:szCs w:val="24"/>
        </w:rPr>
        <w:t xml:space="preserve">d in its favour.  Again, s </w:t>
      </w:r>
      <w:r w:rsidR="000B4CF7" w:rsidRPr="00DD7734">
        <w:rPr>
          <w:rFonts w:ascii="Times New Roman" w:hAnsi="Times New Roman" w:cs="Times New Roman"/>
          <w:sz w:val="24"/>
          <w:szCs w:val="24"/>
        </w:rPr>
        <w:t xml:space="preserve"> 8(2) of the Deeds Registries Act, provides for what the Registrar of Deeds is required to do in circumstances where an existing deed of title has been cancelled in terms of subsection (1) of the same section.  In </w:t>
      </w:r>
      <w:r w:rsidR="00D53775">
        <w:rPr>
          <w:rFonts w:ascii="Times New Roman" w:hAnsi="Times New Roman" w:cs="Times New Roman"/>
          <w:sz w:val="24"/>
          <w:szCs w:val="24"/>
        </w:rPr>
        <w:t>casu</w:t>
      </w:r>
      <w:r w:rsidR="00362D14">
        <w:rPr>
          <w:rFonts w:ascii="Times New Roman" w:hAnsi="Times New Roman" w:cs="Times New Roman"/>
          <w:sz w:val="24"/>
          <w:szCs w:val="24"/>
        </w:rPr>
        <w:t xml:space="preserve"> once the Deed of G</w:t>
      </w:r>
      <w:r w:rsidR="000B4CF7" w:rsidRPr="00DD7734">
        <w:rPr>
          <w:rFonts w:ascii="Times New Roman" w:hAnsi="Times New Roman" w:cs="Times New Roman"/>
          <w:sz w:val="24"/>
          <w:szCs w:val="24"/>
        </w:rPr>
        <w:t>rant has been cancelled</w:t>
      </w:r>
      <w:r w:rsidR="00362D14">
        <w:rPr>
          <w:rFonts w:ascii="Times New Roman" w:hAnsi="Times New Roman" w:cs="Times New Roman"/>
          <w:sz w:val="24"/>
          <w:szCs w:val="24"/>
        </w:rPr>
        <w:t>,</w:t>
      </w:r>
      <w:r w:rsidR="000B4CF7" w:rsidRPr="00DD7734">
        <w:rPr>
          <w:rFonts w:ascii="Times New Roman" w:hAnsi="Times New Roman" w:cs="Times New Roman"/>
          <w:sz w:val="24"/>
          <w:szCs w:val="24"/>
        </w:rPr>
        <w:t xml:space="preserve"> it automatically implies that the status of the property reverts to what the position was before the cancelled registration.  It would be improper to make a declaration that the applicant is the rightful holder of rights and interest in the property.  The status quo of the property follows as a written of law.</w:t>
      </w:r>
    </w:p>
    <w:p w:rsidR="000B4CF7" w:rsidRPr="00DD7734" w:rsidRDefault="000B4CF7" w:rsidP="00EA6A58">
      <w:pPr>
        <w:spacing w:after="0" w:line="360" w:lineRule="auto"/>
        <w:ind w:firstLine="720"/>
        <w:jc w:val="both"/>
        <w:rPr>
          <w:rFonts w:ascii="Times New Roman" w:hAnsi="Times New Roman" w:cs="Times New Roman"/>
          <w:sz w:val="24"/>
          <w:szCs w:val="24"/>
        </w:rPr>
      </w:pPr>
      <w:r w:rsidRPr="00DD7734">
        <w:rPr>
          <w:rFonts w:ascii="Times New Roman" w:hAnsi="Times New Roman" w:cs="Times New Roman"/>
          <w:sz w:val="24"/>
          <w:szCs w:val="24"/>
        </w:rPr>
        <w:t>Accordingly the following order is made.</w:t>
      </w:r>
    </w:p>
    <w:p w:rsidR="000B4CF7" w:rsidRPr="00DD7734" w:rsidRDefault="000B4CF7" w:rsidP="00374580">
      <w:pPr>
        <w:spacing w:after="0" w:line="360" w:lineRule="auto"/>
        <w:jc w:val="both"/>
        <w:rPr>
          <w:rFonts w:ascii="Times New Roman" w:hAnsi="Times New Roman" w:cs="Times New Roman"/>
          <w:sz w:val="24"/>
          <w:szCs w:val="24"/>
        </w:rPr>
      </w:pPr>
    </w:p>
    <w:p w:rsidR="000B4CF7" w:rsidRPr="00DD7734" w:rsidRDefault="000B4CF7" w:rsidP="00374580">
      <w:pPr>
        <w:spacing w:after="0" w:line="360" w:lineRule="auto"/>
        <w:jc w:val="both"/>
        <w:rPr>
          <w:rFonts w:ascii="Times New Roman" w:hAnsi="Times New Roman" w:cs="Times New Roman"/>
          <w:sz w:val="24"/>
          <w:szCs w:val="24"/>
        </w:rPr>
      </w:pPr>
      <w:r w:rsidRPr="00DD7734">
        <w:rPr>
          <w:rFonts w:ascii="Times New Roman" w:hAnsi="Times New Roman" w:cs="Times New Roman"/>
          <w:sz w:val="24"/>
          <w:szCs w:val="24"/>
        </w:rPr>
        <w:t>1.</w:t>
      </w:r>
      <w:r w:rsidRPr="00DD7734">
        <w:rPr>
          <w:rFonts w:ascii="Times New Roman" w:hAnsi="Times New Roman" w:cs="Times New Roman"/>
          <w:sz w:val="24"/>
          <w:szCs w:val="24"/>
        </w:rPr>
        <w:tab/>
        <w:t>Judgment for applicant.</w:t>
      </w:r>
    </w:p>
    <w:p w:rsidR="000B4CF7" w:rsidRPr="00DD7734" w:rsidRDefault="000B4CF7" w:rsidP="00374580">
      <w:pPr>
        <w:spacing w:after="0" w:line="360" w:lineRule="auto"/>
        <w:jc w:val="both"/>
        <w:rPr>
          <w:rFonts w:ascii="Times New Roman" w:hAnsi="Times New Roman" w:cs="Times New Roman"/>
          <w:sz w:val="24"/>
          <w:szCs w:val="24"/>
        </w:rPr>
      </w:pPr>
      <w:r w:rsidRPr="00DD7734">
        <w:rPr>
          <w:rFonts w:ascii="Times New Roman" w:hAnsi="Times New Roman" w:cs="Times New Roman"/>
          <w:sz w:val="24"/>
          <w:szCs w:val="24"/>
        </w:rPr>
        <w:t>2.</w:t>
      </w:r>
      <w:r w:rsidRPr="00DD7734">
        <w:rPr>
          <w:rFonts w:ascii="Times New Roman" w:hAnsi="Times New Roman" w:cs="Times New Roman"/>
          <w:sz w:val="24"/>
          <w:szCs w:val="24"/>
        </w:rPr>
        <w:tab/>
        <w:t>Deed of Grant No. 3345/2016 dated 3 June, 2016 is hereby cancelled.</w:t>
      </w:r>
    </w:p>
    <w:p w:rsidR="000B4CF7" w:rsidRPr="00DD7734" w:rsidRDefault="000B4CF7" w:rsidP="00374580">
      <w:pPr>
        <w:spacing w:after="0" w:line="360" w:lineRule="auto"/>
        <w:ind w:left="720" w:hanging="720"/>
        <w:jc w:val="both"/>
        <w:rPr>
          <w:rFonts w:ascii="Times New Roman" w:hAnsi="Times New Roman" w:cs="Times New Roman"/>
          <w:sz w:val="24"/>
          <w:szCs w:val="24"/>
        </w:rPr>
      </w:pPr>
      <w:r w:rsidRPr="00DD7734">
        <w:rPr>
          <w:rFonts w:ascii="Times New Roman" w:hAnsi="Times New Roman" w:cs="Times New Roman"/>
          <w:sz w:val="24"/>
          <w:szCs w:val="24"/>
        </w:rPr>
        <w:t>3.</w:t>
      </w:r>
      <w:r w:rsidRPr="00DD7734">
        <w:rPr>
          <w:rFonts w:ascii="Times New Roman" w:hAnsi="Times New Roman" w:cs="Times New Roman"/>
          <w:sz w:val="24"/>
          <w:szCs w:val="24"/>
        </w:rPr>
        <w:tab/>
        <w:t>The status of ownership of rights in the property shal</w:t>
      </w:r>
      <w:r w:rsidR="003641DB">
        <w:rPr>
          <w:rFonts w:ascii="Times New Roman" w:hAnsi="Times New Roman" w:cs="Times New Roman"/>
          <w:sz w:val="24"/>
          <w:szCs w:val="24"/>
        </w:rPr>
        <w:t xml:space="preserve">l revert to the position </w:t>
      </w:r>
      <w:r w:rsidR="00422BE6">
        <w:rPr>
          <w:rFonts w:ascii="Times New Roman" w:hAnsi="Times New Roman" w:cs="Times New Roman"/>
          <w:sz w:val="24"/>
          <w:szCs w:val="24"/>
        </w:rPr>
        <w:t xml:space="preserve">obtaining </w:t>
      </w:r>
      <w:r w:rsidR="00422BE6" w:rsidRPr="00DD7734">
        <w:rPr>
          <w:rFonts w:ascii="Times New Roman" w:hAnsi="Times New Roman" w:cs="Times New Roman"/>
          <w:sz w:val="24"/>
          <w:szCs w:val="24"/>
        </w:rPr>
        <w:t>prior</w:t>
      </w:r>
      <w:r w:rsidRPr="00DD7734">
        <w:rPr>
          <w:rFonts w:ascii="Times New Roman" w:hAnsi="Times New Roman" w:cs="Times New Roman"/>
          <w:sz w:val="24"/>
          <w:szCs w:val="24"/>
        </w:rPr>
        <w:t xml:space="preserve"> to the cancelled registration.</w:t>
      </w:r>
    </w:p>
    <w:p w:rsidR="000B4CF7" w:rsidRPr="00DD7734" w:rsidRDefault="000B4CF7" w:rsidP="00374580">
      <w:pPr>
        <w:spacing w:after="0" w:line="360" w:lineRule="auto"/>
        <w:ind w:left="720" w:hanging="720"/>
        <w:jc w:val="both"/>
        <w:rPr>
          <w:rFonts w:ascii="Times New Roman" w:hAnsi="Times New Roman" w:cs="Times New Roman"/>
          <w:sz w:val="24"/>
          <w:szCs w:val="24"/>
        </w:rPr>
      </w:pPr>
      <w:r w:rsidRPr="00DD7734">
        <w:rPr>
          <w:rFonts w:ascii="Times New Roman" w:hAnsi="Times New Roman" w:cs="Times New Roman"/>
          <w:sz w:val="24"/>
          <w:szCs w:val="24"/>
        </w:rPr>
        <w:t>4.</w:t>
      </w:r>
      <w:r w:rsidRPr="00DD7734">
        <w:rPr>
          <w:rFonts w:ascii="Times New Roman" w:hAnsi="Times New Roman" w:cs="Times New Roman"/>
          <w:sz w:val="24"/>
          <w:szCs w:val="24"/>
        </w:rPr>
        <w:tab/>
        <w:t>The 1</w:t>
      </w:r>
      <w:r w:rsidRPr="00DD7734">
        <w:rPr>
          <w:rFonts w:ascii="Times New Roman" w:hAnsi="Times New Roman" w:cs="Times New Roman"/>
          <w:sz w:val="24"/>
          <w:szCs w:val="24"/>
          <w:vertAlign w:val="superscript"/>
        </w:rPr>
        <w:t>st</w:t>
      </w:r>
      <w:r w:rsidRPr="00DD7734">
        <w:rPr>
          <w:rFonts w:ascii="Times New Roman" w:hAnsi="Times New Roman" w:cs="Times New Roman"/>
          <w:sz w:val="24"/>
          <w:szCs w:val="24"/>
        </w:rPr>
        <w:t>, 2</w:t>
      </w:r>
      <w:r w:rsidRPr="00DD7734">
        <w:rPr>
          <w:rFonts w:ascii="Times New Roman" w:hAnsi="Times New Roman" w:cs="Times New Roman"/>
          <w:sz w:val="24"/>
          <w:szCs w:val="24"/>
          <w:vertAlign w:val="superscript"/>
        </w:rPr>
        <w:t>nd</w:t>
      </w:r>
      <w:r w:rsidRPr="00DD7734">
        <w:rPr>
          <w:rFonts w:ascii="Times New Roman" w:hAnsi="Times New Roman" w:cs="Times New Roman"/>
          <w:sz w:val="24"/>
          <w:szCs w:val="24"/>
        </w:rPr>
        <w:t xml:space="preserve"> and 3</w:t>
      </w:r>
      <w:r w:rsidRPr="00DD7734">
        <w:rPr>
          <w:rFonts w:ascii="Times New Roman" w:hAnsi="Times New Roman" w:cs="Times New Roman"/>
          <w:sz w:val="24"/>
          <w:szCs w:val="24"/>
          <w:vertAlign w:val="superscript"/>
        </w:rPr>
        <w:t>rd</w:t>
      </w:r>
      <w:r w:rsidRPr="00DD7734">
        <w:rPr>
          <w:rFonts w:ascii="Times New Roman" w:hAnsi="Times New Roman" w:cs="Times New Roman"/>
          <w:sz w:val="24"/>
          <w:szCs w:val="24"/>
        </w:rPr>
        <w:t xml:space="preserve"> respondents jointly and severally the one paying the other to be absolved shall pay the applicants costs of this application.</w:t>
      </w:r>
    </w:p>
    <w:p w:rsidR="000B4CF7" w:rsidRPr="00DD7734" w:rsidRDefault="000B4CF7" w:rsidP="00374580">
      <w:pPr>
        <w:spacing w:after="0" w:line="360" w:lineRule="auto"/>
        <w:ind w:left="720" w:hanging="720"/>
        <w:jc w:val="both"/>
        <w:rPr>
          <w:rFonts w:ascii="Times New Roman" w:hAnsi="Times New Roman" w:cs="Times New Roman"/>
          <w:sz w:val="24"/>
          <w:szCs w:val="24"/>
        </w:rPr>
      </w:pPr>
    </w:p>
    <w:p w:rsidR="00FD5C06" w:rsidRPr="00DD7734" w:rsidRDefault="00FD5C06" w:rsidP="00374580">
      <w:pPr>
        <w:spacing w:after="0" w:line="360" w:lineRule="auto"/>
        <w:ind w:left="720" w:hanging="720"/>
        <w:jc w:val="both"/>
        <w:rPr>
          <w:rFonts w:ascii="Times New Roman" w:hAnsi="Times New Roman" w:cs="Times New Roman"/>
          <w:sz w:val="24"/>
          <w:szCs w:val="24"/>
        </w:rPr>
      </w:pPr>
      <w:r w:rsidRPr="00F72DD5">
        <w:rPr>
          <w:rFonts w:ascii="Times New Roman" w:hAnsi="Times New Roman" w:cs="Times New Roman"/>
          <w:i/>
          <w:sz w:val="24"/>
          <w:szCs w:val="24"/>
        </w:rPr>
        <w:t>Scanlen &amp; Holderness</w:t>
      </w:r>
      <w:r w:rsidRPr="00DD7734">
        <w:rPr>
          <w:rFonts w:ascii="Times New Roman" w:hAnsi="Times New Roman" w:cs="Times New Roman"/>
          <w:sz w:val="24"/>
          <w:szCs w:val="24"/>
        </w:rPr>
        <w:t xml:space="preserve"> – Applicants Legal Practitioners </w:t>
      </w:r>
    </w:p>
    <w:p w:rsidR="00042D10" w:rsidRPr="00DD7734" w:rsidRDefault="00042D10" w:rsidP="00374580">
      <w:pPr>
        <w:spacing w:after="0" w:line="360" w:lineRule="auto"/>
        <w:jc w:val="both"/>
        <w:rPr>
          <w:rFonts w:ascii="Times New Roman" w:hAnsi="Times New Roman" w:cs="Times New Roman"/>
          <w:sz w:val="24"/>
          <w:szCs w:val="24"/>
        </w:rPr>
      </w:pPr>
      <w:r w:rsidRPr="00DD7734">
        <w:rPr>
          <w:rFonts w:ascii="Times New Roman" w:hAnsi="Times New Roman" w:cs="Times New Roman"/>
          <w:sz w:val="24"/>
          <w:szCs w:val="24"/>
        </w:rPr>
        <w:t xml:space="preserve"> </w:t>
      </w:r>
    </w:p>
    <w:sectPr w:rsidR="00042D10" w:rsidRPr="00DD773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4F7" w:rsidRDefault="005064F7" w:rsidP="002353F0">
      <w:pPr>
        <w:spacing w:after="0" w:line="240" w:lineRule="auto"/>
      </w:pPr>
      <w:r>
        <w:separator/>
      </w:r>
    </w:p>
  </w:endnote>
  <w:endnote w:type="continuationSeparator" w:id="0">
    <w:p w:rsidR="005064F7" w:rsidRDefault="005064F7" w:rsidP="0023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4F7" w:rsidRDefault="005064F7" w:rsidP="002353F0">
      <w:pPr>
        <w:spacing w:after="0" w:line="240" w:lineRule="auto"/>
      </w:pPr>
      <w:r>
        <w:separator/>
      </w:r>
    </w:p>
  </w:footnote>
  <w:footnote w:type="continuationSeparator" w:id="0">
    <w:p w:rsidR="005064F7" w:rsidRDefault="005064F7" w:rsidP="00235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190534"/>
      <w:docPartObj>
        <w:docPartGallery w:val="Page Numbers (Top of Page)"/>
        <w:docPartUnique/>
      </w:docPartObj>
    </w:sdtPr>
    <w:sdtEndPr>
      <w:rPr>
        <w:noProof/>
      </w:rPr>
    </w:sdtEndPr>
    <w:sdtContent>
      <w:p w:rsidR="002353F0" w:rsidRDefault="002353F0">
        <w:pPr>
          <w:pStyle w:val="Header"/>
          <w:jc w:val="right"/>
          <w:rPr>
            <w:noProof/>
          </w:rPr>
        </w:pPr>
        <w:r>
          <w:fldChar w:fldCharType="begin"/>
        </w:r>
        <w:r>
          <w:instrText xml:space="preserve"> PAGE   \* MERGEFORMAT </w:instrText>
        </w:r>
        <w:r>
          <w:fldChar w:fldCharType="separate"/>
        </w:r>
        <w:r w:rsidR="00FB3E4E">
          <w:rPr>
            <w:noProof/>
          </w:rPr>
          <w:t>1</w:t>
        </w:r>
        <w:r>
          <w:rPr>
            <w:noProof/>
          </w:rPr>
          <w:fldChar w:fldCharType="end"/>
        </w:r>
      </w:p>
      <w:p w:rsidR="004810EE" w:rsidRDefault="004810EE">
        <w:pPr>
          <w:pStyle w:val="Header"/>
          <w:jc w:val="right"/>
          <w:rPr>
            <w:noProof/>
          </w:rPr>
        </w:pPr>
        <w:r>
          <w:rPr>
            <w:noProof/>
          </w:rPr>
          <w:t>HH</w:t>
        </w:r>
        <w:r w:rsidR="00221D55">
          <w:rPr>
            <w:noProof/>
          </w:rPr>
          <w:t xml:space="preserve"> 478-21</w:t>
        </w:r>
      </w:p>
      <w:p w:rsidR="002353F0" w:rsidRDefault="002353F0">
        <w:pPr>
          <w:pStyle w:val="Header"/>
          <w:jc w:val="right"/>
        </w:pPr>
        <w:r>
          <w:rPr>
            <w:noProof/>
          </w:rPr>
          <w:t>HC 6370</w:t>
        </w:r>
        <w:r w:rsidR="004810EE">
          <w:rPr>
            <w:noProof/>
          </w:rPr>
          <w:t>/20</w:t>
        </w:r>
      </w:p>
    </w:sdtContent>
  </w:sdt>
  <w:p w:rsidR="002353F0" w:rsidRDefault="002353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686F"/>
    <w:multiLevelType w:val="hybridMultilevel"/>
    <w:tmpl w:val="690EC21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0264372"/>
    <w:multiLevelType w:val="hybridMultilevel"/>
    <w:tmpl w:val="31B6A3E8"/>
    <w:lvl w:ilvl="0" w:tplc="2222EE5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2A635A4"/>
    <w:multiLevelType w:val="hybridMultilevel"/>
    <w:tmpl w:val="9FE8FA34"/>
    <w:lvl w:ilvl="0" w:tplc="B5B0C17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65F1042"/>
    <w:multiLevelType w:val="hybridMultilevel"/>
    <w:tmpl w:val="6CB612FE"/>
    <w:lvl w:ilvl="0" w:tplc="B48AC82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7A8C31B1"/>
    <w:multiLevelType w:val="hybridMultilevel"/>
    <w:tmpl w:val="9442429E"/>
    <w:lvl w:ilvl="0" w:tplc="81BA1A4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DA61FB7"/>
    <w:multiLevelType w:val="hybridMultilevel"/>
    <w:tmpl w:val="0046BF6E"/>
    <w:lvl w:ilvl="0" w:tplc="82BAA4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41"/>
    <w:rsid w:val="00001996"/>
    <w:rsid w:val="00042D10"/>
    <w:rsid w:val="00054E4C"/>
    <w:rsid w:val="0006312A"/>
    <w:rsid w:val="00063696"/>
    <w:rsid w:val="00071C07"/>
    <w:rsid w:val="00072A21"/>
    <w:rsid w:val="0009328E"/>
    <w:rsid w:val="000B30F9"/>
    <w:rsid w:val="000B3621"/>
    <w:rsid w:val="000B4CF7"/>
    <w:rsid w:val="000C3B4F"/>
    <w:rsid w:val="000E359C"/>
    <w:rsid w:val="000F6405"/>
    <w:rsid w:val="0013338F"/>
    <w:rsid w:val="00190853"/>
    <w:rsid w:val="00197138"/>
    <w:rsid w:val="001A5118"/>
    <w:rsid w:val="001B4FE9"/>
    <w:rsid w:val="001B5B9F"/>
    <w:rsid w:val="001D2483"/>
    <w:rsid w:val="001D47D5"/>
    <w:rsid w:val="00210DB9"/>
    <w:rsid w:val="00213336"/>
    <w:rsid w:val="00221D55"/>
    <w:rsid w:val="002353F0"/>
    <w:rsid w:val="002952CD"/>
    <w:rsid w:val="002E1A99"/>
    <w:rsid w:val="002E1EE8"/>
    <w:rsid w:val="00313D07"/>
    <w:rsid w:val="003269B0"/>
    <w:rsid w:val="0033309E"/>
    <w:rsid w:val="00351F72"/>
    <w:rsid w:val="00362D14"/>
    <w:rsid w:val="003641DB"/>
    <w:rsid w:val="00366ABD"/>
    <w:rsid w:val="00374580"/>
    <w:rsid w:val="003A0EFC"/>
    <w:rsid w:val="003C463D"/>
    <w:rsid w:val="004003FA"/>
    <w:rsid w:val="00414B3B"/>
    <w:rsid w:val="00422BE6"/>
    <w:rsid w:val="0042308D"/>
    <w:rsid w:val="004810EE"/>
    <w:rsid w:val="004A2AC7"/>
    <w:rsid w:val="004D0F89"/>
    <w:rsid w:val="005064F7"/>
    <w:rsid w:val="00551445"/>
    <w:rsid w:val="00556A58"/>
    <w:rsid w:val="005D16DE"/>
    <w:rsid w:val="006052DF"/>
    <w:rsid w:val="006175EF"/>
    <w:rsid w:val="00627E7C"/>
    <w:rsid w:val="0065310A"/>
    <w:rsid w:val="00662BBA"/>
    <w:rsid w:val="006768B5"/>
    <w:rsid w:val="006D0CAF"/>
    <w:rsid w:val="006E5D4F"/>
    <w:rsid w:val="007169FB"/>
    <w:rsid w:val="007361D2"/>
    <w:rsid w:val="00777390"/>
    <w:rsid w:val="00822905"/>
    <w:rsid w:val="0082610D"/>
    <w:rsid w:val="008371D6"/>
    <w:rsid w:val="00851EA5"/>
    <w:rsid w:val="00882713"/>
    <w:rsid w:val="008A6C0F"/>
    <w:rsid w:val="008C42F6"/>
    <w:rsid w:val="00924BED"/>
    <w:rsid w:val="009464D1"/>
    <w:rsid w:val="0097008F"/>
    <w:rsid w:val="00980D83"/>
    <w:rsid w:val="0098429D"/>
    <w:rsid w:val="009C66EC"/>
    <w:rsid w:val="009D4139"/>
    <w:rsid w:val="009E7C41"/>
    <w:rsid w:val="009F5D24"/>
    <w:rsid w:val="00A22987"/>
    <w:rsid w:val="00A95844"/>
    <w:rsid w:val="00AB05B1"/>
    <w:rsid w:val="00AE2CA9"/>
    <w:rsid w:val="00B23BFE"/>
    <w:rsid w:val="00B26A9A"/>
    <w:rsid w:val="00B43840"/>
    <w:rsid w:val="00B9317B"/>
    <w:rsid w:val="00BA37C2"/>
    <w:rsid w:val="00BD3DE6"/>
    <w:rsid w:val="00BE27F9"/>
    <w:rsid w:val="00BF585E"/>
    <w:rsid w:val="00C2220F"/>
    <w:rsid w:val="00C22EDF"/>
    <w:rsid w:val="00C32A51"/>
    <w:rsid w:val="00C64E25"/>
    <w:rsid w:val="00CB48DD"/>
    <w:rsid w:val="00D324FC"/>
    <w:rsid w:val="00D42426"/>
    <w:rsid w:val="00D42C71"/>
    <w:rsid w:val="00D44887"/>
    <w:rsid w:val="00D53775"/>
    <w:rsid w:val="00D71B7C"/>
    <w:rsid w:val="00D8423B"/>
    <w:rsid w:val="00D90D51"/>
    <w:rsid w:val="00DD2FC6"/>
    <w:rsid w:val="00DD7734"/>
    <w:rsid w:val="00DE0E6C"/>
    <w:rsid w:val="00DE22B8"/>
    <w:rsid w:val="00DF24AD"/>
    <w:rsid w:val="00E01FAB"/>
    <w:rsid w:val="00E1289F"/>
    <w:rsid w:val="00E43222"/>
    <w:rsid w:val="00E44751"/>
    <w:rsid w:val="00EA6A58"/>
    <w:rsid w:val="00F10067"/>
    <w:rsid w:val="00F1511A"/>
    <w:rsid w:val="00F1546E"/>
    <w:rsid w:val="00F42E8D"/>
    <w:rsid w:val="00F50A5D"/>
    <w:rsid w:val="00F57BAD"/>
    <w:rsid w:val="00F72DD5"/>
    <w:rsid w:val="00F767DC"/>
    <w:rsid w:val="00FB3E4E"/>
    <w:rsid w:val="00FD03A8"/>
    <w:rsid w:val="00FD5C06"/>
    <w:rsid w:val="00FF6C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A4379-525F-4325-8BB6-1EEB27AF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EFC"/>
    <w:pPr>
      <w:ind w:left="720"/>
      <w:contextualSpacing/>
    </w:pPr>
  </w:style>
  <w:style w:type="paragraph" w:styleId="Header">
    <w:name w:val="header"/>
    <w:basedOn w:val="Normal"/>
    <w:link w:val="HeaderChar"/>
    <w:uiPriority w:val="99"/>
    <w:unhideWhenUsed/>
    <w:rsid w:val="00235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F0"/>
  </w:style>
  <w:style w:type="paragraph" w:styleId="Footer">
    <w:name w:val="footer"/>
    <w:basedOn w:val="Normal"/>
    <w:link w:val="FooterChar"/>
    <w:uiPriority w:val="99"/>
    <w:unhideWhenUsed/>
    <w:rsid w:val="00235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F0"/>
  </w:style>
  <w:style w:type="paragraph" w:styleId="BalloonText">
    <w:name w:val="Balloon Text"/>
    <w:basedOn w:val="Normal"/>
    <w:link w:val="BalloonTextChar"/>
    <w:uiPriority w:val="99"/>
    <w:semiHidden/>
    <w:unhideWhenUsed/>
    <w:rsid w:val="009F5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5D73-68FF-4E2D-9271-8D9C22A3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2021-09-13T09:56:00Z</cp:lastPrinted>
  <dcterms:created xsi:type="dcterms:W3CDTF">2021-09-17T07:37:00Z</dcterms:created>
  <dcterms:modified xsi:type="dcterms:W3CDTF">2021-09-17T07:37:00Z</dcterms:modified>
</cp:coreProperties>
</file>