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668" w:rsidRDefault="00283668" w:rsidP="00FD32A3">
      <w:pPr>
        <w:pStyle w:val="NoSpacing"/>
        <w:jc w:val="both"/>
        <w:rPr>
          <w:b/>
          <w:szCs w:val="24"/>
        </w:rPr>
      </w:pPr>
      <w:r>
        <w:rPr>
          <w:b/>
          <w:szCs w:val="24"/>
        </w:rPr>
        <w:t>JAMES CHIORA</w:t>
      </w:r>
    </w:p>
    <w:p w:rsidR="00283668" w:rsidRDefault="00283668" w:rsidP="00FD32A3">
      <w:pPr>
        <w:pStyle w:val="NoSpacing"/>
        <w:jc w:val="both"/>
        <w:rPr>
          <w:b/>
          <w:szCs w:val="24"/>
        </w:rPr>
      </w:pPr>
    </w:p>
    <w:p w:rsidR="00283668" w:rsidRDefault="00283668" w:rsidP="00FD32A3">
      <w:pPr>
        <w:pStyle w:val="NoSpacing"/>
        <w:jc w:val="both"/>
        <w:rPr>
          <w:b/>
          <w:szCs w:val="24"/>
        </w:rPr>
      </w:pPr>
    </w:p>
    <w:p w:rsidR="00283668" w:rsidRDefault="00283668" w:rsidP="00FD32A3">
      <w:pPr>
        <w:pStyle w:val="NoSpacing"/>
        <w:jc w:val="both"/>
        <w:rPr>
          <w:b/>
          <w:szCs w:val="24"/>
        </w:rPr>
      </w:pPr>
      <w:r>
        <w:rPr>
          <w:b/>
          <w:szCs w:val="24"/>
        </w:rPr>
        <w:t>Versus</w:t>
      </w:r>
    </w:p>
    <w:p w:rsidR="00283668" w:rsidRDefault="00283668" w:rsidP="00FD32A3">
      <w:pPr>
        <w:pStyle w:val="NoSpacing"/>
        <w:jc w:val="both"/>
        <w:rPr>
          <w:b/>
          <w:szCs w:val="24"/>
        </w:rPr>
      </w:pPr>
    </w:p>
    <w:p w:rsidR="00283668" w:rsidRDefault="00283668" w:rsidP="00FD32A3">
      <w:pPr>
        <w:pStyle w:val="NoSpacing"/>
        <w:jc w:val="both"/>
        <w:rPr>
          <w:b/>
          <w:szCs w:val="24"/>
        </w:rPr>
      </w:pPr>
    </w:p>
    <w:p w:rsidR="00283668" w:rsidRDefault="00283668" w:rsidP="00FD32A3">
      <w:pPr>
        <w:pStyle w:val="NoSpacing"/>
        <w:jc w:val="both"/>
        <w:rPr>
          <w:b/>
          <w:szCs w:val="24"/>
        </w:rPr>
      </w:pPr>
      <w:r>
        <w:rPr>
          <w:b/>
          <w:szCs w:val="24"/>
        </w:rPr>
        <w:t>JOSEPH MABEZA N.O</w:t>
      </w:r>
    </w:p>
    <w:p w:rsidR="00283668" w:rsidRDefault="00283668" w:rsidP="00FD32A3">
      <w:pPr>
        <w:pStyle w:val="NoSpacing"/>
        <w:jc w:val="both"/>
        <w:rPr>
          <w:b/>
          <w:szCs w:val="24"/>
        </w:rPr>
      </w:pPr>
    </w:p>
    <w:p w:rsidR="00283668" w:rsidRDefault="00283668" w:rsidP="00FD32A3">
      <w:pPr>
        <w:pStyle w:val="NoSpacing"/>
        <w:jc w:val="both"/>
        <w:rPr>
          <w:b/>
          <w:szCs w:val="24"/>
        </w:rPr>
      </w:pPr>
    </w:p>
    <w:p w:rsidR="00283668" w:rsidRDefault="00283668" w:rsidP="00FD32A3">
      <w:pPr>
        <w:pStyle w:val="NoSpacing"/>
        <w:jc w:val="both"/>
        <w:rPr>
          <w:b/>
          <w:szCs w:val="24"/>
        </w:rPr>
      </w:pPr>
      <w:r>
        <w:rPr>
          <w:b/>
          <w:szCs w:val="24"/>
        </w:rPr>
        <w:t>And</w:t>
      </w:r>
    </w:p>
    <w:p w:rsidR="00283668" w:rsidRDefault="00283668" w:rsidP="00FD32A3">
      <w:pPr>
        <w:pStyle w:val="NoSpacing"/>
        <w:jc w:val="both"/>
        <w:rPr>
          <w:b/>
          <w:szCs w:val="24"/>
        </w:rPr>
      </w:pPr>
    </w:p>
    <w:p w:rsidR="00283668" w:rsidRDefault="00283668" w:rsidP="00FD32A3">
      <w:pPr>
        <w:pStyle w:val="NoSpacing"/>
        <w:jc w:val="both"/>
        <w:rPr>
          <w:b/>
          <w:szCs w:val="24"/>
        </w:rPr>
      </w:pPr>
    </w:p>
    <w:p w:rsidR="00283668" w:rsidRDefault="00283668" w:rsidP="00FD32A3">
      <w:pPr>
        <w:pStyle w:val="NoSpacing"/>
        <w:jc w:val="both"/>
        <w:rPr>
          <w:szCs w:val="24"/>
        </w:rPr>
      </w:pPr>
      <w:r>
        <w:rPr>
          <w:b/>
          <w:szCs w:val="24"/>
        </w:rPr>
        <w:t>NATIONAL PROSECUTING AUTHORITY</w:t>
      </w:r>
    </w:p>
    <w:p w:rsidR="00283668" w:rsidRDefault="00283668" w:rsidP="00FD32A3">
      <w:pPr>
        <w:pStyle w:val="NoSpacing"/>
        <w:jc w:val="both"/>
        <w:rPr>
          <w:szCs w:val="24"/>
        </w:rPr>
      </w:pPr>
    </w:p>
    <w:p w:rsidR="00283668" w:rsidRDefault="00283668" w:rsidP="00FD32A3">
      <w:pPr>
        <w:pStyle w:val="NoSpacing"/>
        <w:spacing w:line="480" w:lineRule="auto"/>
        <w:jc w:val="both"/>
        <w:rPr>
          <w:szCs w:val="24"/>
        </w:rPr>
      </w:pPr>
    </w:p>
    <w:p w:rsidR="00283668" w:rsidRDefault="00283668" w:rsidP="00FD32A3">
      <w:pPr>
        <w:pStyle w:val="NoSpacing"/>
        <w:spacing w:line="480" w:lineRule="auto"/>
        <w:jc w:val="both"/>
        <w:rPr>
          <w:szCs w:val="24"/>
        </w:rPr>
      </w:pPr>
      <w:r>
        <w:rPr>
          <w:szCs w:val="24"/>
        </w:rPr>
        <w:t>IN THE HIGH COURT OF ZIMBABWE</w:t>
      </w:r>
    </w:p>
    <w:p w:rsidR="00283668" w:rsidRDefault="00283668" w:rsidP="00FD32A3">
      <w:pPr>
        <w:pStyle w:val="NoSpacing"/>
        <w:spacing w:line="480" w:lineRule="auto"/>
        <w:jc w:val="both"/>
        <w:rPr>
          <w:szCs w:val="24"/>
        </w:rPr>
      </w:pPr>
      <w:r>
        <w:rPr>
          <w:szCs w:val="24"/>
        </w:rPr>
        <w:t>MAKONESE J</w:t>
      </w:r>
    </w:p>
    <w:p w:rsidR="00283668" w:rsidRDefault="00283668" w:rsidP="00FD32A3">
      <w:pPr>
        <w:pStyle w:val="NoSpacing"/>
        <w:spacing w:line="480" w:lineRule="auto"/>
        <w:jc w:val="both"/>
        <w:rPr>
          <w:szCs w:val="24"/>
        </w:rPr>
      </w:pPr>
      <w:r>
        <w:rPr>
          <w:szCs w:val="24"/>
        </w:rPr>
        <w:t>BULAWAYO 26 JANUARY AND 6 APRIL 2023</w:t>
      </w:r>
    </w:p>
    <w:p w:rsidR="00283668" w:rsidRDefault="00283668" w:rsidP="00FD32A3">
      <w:pPr>
        <w:pStyle w:val="NoSpacing"/>
        <w:spacing w:line="480" w:lineRule="auto"/>
        <w:jc w:val="both"/>
        <w:rPr>
          <w:szCs w:val="24"/>
        </w:rPr>
      </w:pPr>
    </w:p>
    <w:p w:rsidR="00283668" w:rsidRDefault="000465BF" w:rsidP="00FD32A3">
      <w:pPr>
        <w:pStyle w:val="NoSpacing"/>
        <w:spacing w:line="480" w:lineRule="auto"/>
        <w:jc w:val="both"/>
        <w:rPr>
          <w:b/>
          <w:szCs w:val="24"/>
        </w:rPr>
      </w:pPr>
      <w:r>
        <w:rPr>
          <w:b/>
          <w:szCs w:val="24"/>
        </w:rPr>
        <w:t>Review</w:t>
      </w:r>
      <w:r w:rsidR="00973357">
        <w:rPr>
          <w:b/>
          <w:szCs w:val="24"/>
        </w:rPr>
        <w:t xml:space="preserve"> Judgment</w:t>
      </w:r>
      <w:bookmarkStart w:id="0" w:name="_GoBack"/>
      <w:bookmarkEnd w:id="0"/>
    </w:p>
    <w:p w:rsidR="000465BF" w:rsidRDefault="000465BF" w:rsidP="00FD32A3">
      <w:pPr>
        <w:jc w:val="both"/>
        <w:rPr>
          <w:rFonts w:ascii="Times New Roman" w:hAnsi="Times New Roman" w:cs="Times New Roman"/>
          <w:sz w:val="24"/>
          <w:szCs w:val="24"/>
        </w:rPr>
      </w:pPr>
    </w:p>
    <w:p w:rsidR="00223694" w:rsidRDefault="00283668" w:rsidP="00FD32A3">
      <w:pPr>
        <w:spacing w:line="480" w:lineRule="auto"/>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b/>
          <w:bCs/>
          <w:sz w:val="24"/>
          <w:szCs w:val="24"/>
        </w:rPr>
        <w:t>MAKONESE J:</w:t>
      </w:r>
      <w:r>
        <w:rPr>
          <w:rFonts w:ascii="Times New Roman" w:hAnsi="Times New Roman" w:cs="Times New Roman"/>
          <w:b/>
          <w:bCs/>
          <w:sz w:val="24"/>
          <w:szCs w:val="24"/>
        </w:rPr>
        <w:tab/>
      </w:r>
      <w:r w:rsidR="00D81BED">
        <w:rPr>
          <w:rFonts w:ascii="Times New Roman" w:hAnsi="Times New Roman" w:cs="Times New Roman"/>
          <w:bCs/>
          <w:sz w:val="24"/>
          <w:szCs w:val="24"/>
        </w:rPr>
        <w:t xml:space="preserve">This matter was set down in </w:t>
      </w:r>
      <w:r w:rsidR="00524F5E">
        <w:rPr>
          <w:rFonts w:ascii="Times New Roman" w:hAnsi="Times New Roman" w:cs="Times New Roman"/>
          <w:bCs/>
          <w:sz w:val="24"/>
          <w:szCs w:val="24"/>
        </w:rPr>
        <w:t>motion court on the 26</w:t>
      </w:r>
      <w:r w:rsidR="00524F5E" w:rsidRPr="00524F5E">
        <w:rPr>
          <w:rFonts w:ascii="Times New Roman" w:hAnsi="Times New Roman" w:cs="Times New Roman"/>
          <w:bCs/>
          <w:sz w:val="24"/>
          <w:szCs w:val="24"/>
          <w:vertAlign w:val="superscript"/>
        </w:rPr>
        <w:t>th</w:t>
      </w:r>
      <w:r w:rsidR="00524F5E">
        <w:rPr>
          <w:rFonts w:ascii="Times New Roman" w:hAnsi="Times New Roman" w:cs="Times New Roman"/>
          <w:bCs/>
          <w:sz w:val="24"/>
          <w:szCs w:val="24"/>
        </w:rPr>
        <w:t xml:space="preserve"> January 2023 </w:t>
      </w:r>
      <w:r w:rsidR="001B4305">
        <w:rPr>
          <w:rFonts w:ascii="Times New Roman" w:hAnsi="Times New Roman" w:cs="Times New Roman"/>
          <w:bCs/>
          <w:sz w:val="24"/>
          <w:szCs w:val="24"/>
        </w:rPr>
        <w:t>as an unopposed matter.</w:t>
      </w:r>
      <w:r w:rsidR="00524F5E">
        <w:rPr>
          <w:rFonts w:ascii="Times New Roman" w:hAnsi="Times New Roman" w:cs="Times New Roman"/>
          <w:bCs/>
          <w:sz w:val="24"/>
          <w:szCs w:val="24"/>
        </w:rPr>
        <w:t xml:space="preserve">  It is a review application seeking the following order:</w:t>
      </w:r>
    </w:p>
    <w:p w:rsidR="00524F5E" w:rsidRDefault="00524F5E" w:rsidP="00FD32A3">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decision of the 1</w:t>
      </w:r>
      <w:r w:rsidRPr="00524F5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respondent in the case undercover CRB BYO R 515/22 to dismiss the application for discharge at the close of the state case be and is hereby set aside and in its place it is ordered that:-</w:t>
      </w:r>
    </w:p>
    <w:p w:rsidR="00524F5E" w:rsidRDefault="00A95596" w:rsidP="00FD32A3">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 xml:space="preserve">The application for discharge at the close of the state case be and is hereby granted and the accused person is found not guilty and acquitted.” </w:t>
      </w:r>
    </w:p>
    <w:p w:rsidR="00DF5612" w:rsidRDefault="00DF5612" w:rsidP="00FD32A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The learned Judge sitting in motion court raised with </w:t>
      </w:r>
      <w:r w:rsidR="008E5E33">
        <w:rPr>
          <w:rFonts w:ascii="Times New Roman" w:hAnsi="Times New Roman" w:cs="Times New Roman"/>
          <w:bCs/>
          <w:sz w:val="24"/>
          <w:szCs w:val="24"/>
        </w:rPr>
        <w:t>C</w:t>
      </w:r>
      <w:r w:rsidR="00340E87">
        <w:rPr>
          <w:rFonts w:ascii="Times New Roman" w:hAnsi="Times New Roman" w:cs="Times New Roman"/>
          <w:bCs/>
          <w:sz w:val="24"/>
          <w:szCs w:val="24"/>
        </w:rPr>
        <w:t>ounsel the propriety of seeking an order setting aside proceedings in a criminal trial before a single Judge.  The query was informed by the provisions of section 29 of the High Court Act (Chapter 7:06).</w:t>
      </w:r>
    </w:p>
    <w:p w:rsidR="0070509F" w:rsidRDefault="00340E87" w:rsidP="00FD32A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I took over this matter as K</w:t>
      </w:r>
      <w:r w:rsidRPr="00931D24">
        <w:rPr>
          <w:rFonts w:ascii="Times New Roman" w:hAnsi="Times New Roman" w:cs="Times New Roman"/>
          <w:bCs/>
          <w:sz w:val="20"/>
          <w:szCs w:val="20"/>
        </w:rPr>
        <w:t xml:space="preserve">ABASA J </w:t>
      </w:r>
      <w:r>
        <w:rPr>
          <w:rFonts w:ascii="Times New Roman" w:hAnsi="Times New Roman" w:cs="Times New Roman"/>
          <w:bCs/>
          <w:sz w:val="24"/>
          <w:szCs w:val="24"/>
        </w:rPr>
        <w:t xml:space="preserve">had two </w:t>
      </w:r>
      <w:r w:rsidR="0070509F">
        <w:rPr>
          <w:rFonts w:ascii="Times New Roman" w:hAnsi="Times New Roman" w:cs="Times New Roman"/>
          <w:bCs/>
          <w:sz w:val="24"/>
          <w:szCs w:val="24"/>
        </w:rPr>
        <w:t xml:space="preserve">other </w:t>
      </w:r>
      <w:r>
        <w:rPr>
          <w:rFonts w:ascii="Times New Roman" w:hAnsi="Times New Roman" w:cs="Times New Roman"/>
          <w:bCs/>
          <w:sz w:val="24"/>
          <w:szCs w:val="24"/>
        </w:rPr>
        <w:t>similar</w:t>
      </w:r>
      <w:r w:rsidR="0070509F">
        <w:rPr>
          <w:rFonts w:ascii="Times New Roman" w:hAnsi="Times New Roman" w:cs="Times New Roman"/>
          <w:bCs/>
          <w:sz w:val="24"/>
          <w:szCs w:val="24"/>
        </w:rPr>
        <w:t xml:space="preserve"> applications in motion court where she raised the same concerns.  In a judgment delivered on 16 March 2023 under HB 35-23, the learned Judge delivered a detailed judgment on how she perceived such matters should be handled.</w:t>
      </w:r>
    </w:p>
    <w:p w:rsidR="0070509F" w:rsidRDefault="0070509F" w:rsidP="00FD32A3">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The High Court is empowered in terms of section 29 of the High Court Act to review proceedings of inferior courts.  In particular section 29 (2) of the Act provides that:-</w:t>
      </w:r>
    </w:p>
    <w:p w:rsidR="0070509F" w:rsidRDefault="0070509F" w:rsidP="000B30E6">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“If on review of any criminal proceedings of an inferior court or tribunal, the High Court considers that the proceedings …</w:t>
      </w:r>
    </w:p>
    <w:p w:rsidR="0070509F" w:rsidRPr="0070509F" w:rsidRDefault="0070509F" w:rsidP="00FD32A3">
      <w:pPr>
        <w:pStyle w:val="ListParagraph"/>
        <w:numPr>
          <w:ilvl w:val="0"/>
          <w:numId w:val="1"/>
        </w:numPr>
        <w:spacing w:line="480" w:lineRule="auto"/>
        <w:jc w:val="both"/>
        <w:rPr>
          <w:rFonts w:ascii="Times New Roman" w:hAnsi="Times New Roman" w:cs="Times New Roman"/>
          <w:bCs/>
          <w:sz w:val="24"/>
          <w:szCs w:val="24"/>
        </w:rPr>
      </w:pPr>
      <w:r w:rsidRPr="0070509F">
        <w:rPr>
          <w:rFonts w:ascii="Times New Roman" w:hAnsi="Times New Roman" w:cs="Times New Roman"/>
          <w:bCs/>
          <w:sz w:val="24"/>
          <w:szCs w:val="24"/>
        </w:rPr>
        <w:t>……..</w:t>
      </w:r>
    </w:p>
    <w:p w:rsidR="00340E87" w:rsidRDefault="001379C2" w:rsidP="00FD32A3">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a</w:t>
      </w:r>
      <w:r w:rsidR="0070509F">
        <w:rPr>
          <w:rFonts w:ascii="Times New Roman" w:hAnsi="Times New Roman" w:cs="Times New Roman"/>
          <w:bCs/>
          <w:sz w:val="24"/>
          <w:szCs w:val="24"/>
        </w:rPr>
        <w:t>re not in accordance with real and substantial justice, it may, subject to this section</w:t>
      </w:r>
      <w:r w:rsidR="00340E87" w:rsidRPr="0070509F">
        <w:rPr>
          <w:rFonts w:ascii="Times New Roman" w:hAnsi="Times New Roman" w:cs="Times New Roman"/>
          <w:bCs/>
          <w:sz w:val="24"/>
          <w:szCs w:val="24"/>
        </w:rPr>
        <w:t xml:space="preserve"> </w:t>
      </w:r>
    </w:p>
    <w:p w:rsidR="0070509F" w:rsidRDefault="0070509F" w:rsidP="00FD32A3">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ab/>
        <w:t>(i)</w:t>
      </w:r>
      <w:r>
        <w:rPr>
          <w:rFonts w:ascii="Times New Roman" w:hAnsi="Times New Roman" w:cs="Times New Roman"/>
          <w:bCs/>
          <w:sz w:val="24"/>
          <w:szCs w:val="24"/>
        </w:rPr>
        <w:tab/>
        <w:t>alter or quash the conviction</w:t>
      </w:r>
    </w:p>
    <w:p w:rsidR="0070509F" w:rsidRDefault="0070509F" w:rsidP="00FD32A3">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(ii)</w:t>
      </w:r>
      <w:r>
        <w:rPr>
          <w:rFonts w:ascii="Times New Roman" w:hAnsi="Times New Roman" w:cs="Times New Roman"/>
          <w:bCs/>
          <w:sz w:val="24"/>
          <w:szCs w:val="24"/>
        </w:rPr>
        <w:tab/>
        <w:t>reduce or set aside the sentence or any order of the inferior court or tribunal or substitute a different sentence from that imposed by the inferior court or tribunal.</w:t>
      </w:r>
    </w:p>
    <w:p w:rsidR="0070509F" w:rsidRDefault="0070509F" w:rsidP="00FD32A3">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(iii)</w:t>
      </w:r>
      <w:r>
        <w:rPr>
          <w:rFonts w:ascii="Times New Roman" w:hAnsi="Times New Roman" w:cs="Times New Roman"/>
          <w:bCs/>
          <w:sz w:val="24"/>
          <w:szCs w:val="24"/>
        </w:rPr>
        <w:tab/>
        <w:t>……………</w:t>
      </w:r>
    </w:p>
    <w:p w:rsidR="0070509F" w:rsidRDefault="0070509F" w:rsidP="00FD32A3">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t>(iv)</w:t>
      </w:r>
      <w:r>
        <w:rPr>
          <w:rFonts w:ascii="Times New Roman" w:hAnsi="Times New Roman" w:cs="Times New Roman"/>
          <w:bCs/>
          <w:sz w:val="24"/>
          <w:szCs w:val="24"/>
        </w:rPr>
        <w:tab/>
        <w:t>…………</w:t>
      </w:r>
      <w:r w:rsidR="005C6EC5">
        <w:rPr>
          <w:rFonts w:ascii="Times New Roman" w:hAnsi="Times New Roman" w:cs="Times New Roman"/>
          <w:bCs/>
          <w:sz w:val="24"/>
          <w:szCs w:val="24"/>
        </w:rPr>
        <w:t>…</w:t>
      </w:r>
    </w:p>
    <w:p w:rsidR="00773BFC" w:rsidRDefault="0070509F" w:rsidP="00FD32A3">
      <w:pPr>
        <w:spacing w:line="480" w:lineRule="auto"/>
        <w:ind w:left="216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(v)</w:t>
      </w:r>
      <w:r>
        <w:rPr>
          <w:rFonts w:ascii="Times New Roman" w:hAnsi="Times New Roman" w:cs="Times New Roman"/>
          <w:bCs/>
          <w:sz w:val="24"/>
          <w:szCs w:val="24"/>
        </w:rPr>
        <w:tab/>
        <w:t xml:space="preserve">remit the case to the inferior court or tribunal with such instructions relative to the further proceedings to be </w:t>
      </w:r>
      <w:r w:rsidR="00720520">
        <w:rPr>
          <w:rFonts w:ascii="Times New Roman" w:hAnsi="Times New Roman" w:cs="Times New Roman"/>
          <w:bCs/>
          <w:sz w:val="24"/>
          <w:szCs w:val="24"/>
        </w:rPr>
        <w:t>heard</w:t>
      </w:r>
      <w:r w:rsidR="00773BFC">
        <w:rPr>
          <w:rFonts w:ascii="Times New Roman" w:hAnsi="Times New Roman" w:cs="Times New Roman"/>
          <w:bCs/>
          <w:sz w:val="24"/>
          <w:szCs w:val="24"/>
        </w:rPr>
        <w:t xml:space="preserve"> in the case as the High Court thinks fit.</w:t>
      </w:r>
    </w:p>
    <w:p w:rsidR="0070509F" w:rsidRPr="0070509F" w:rsidRDefault="00773BFC" w:rsidP="00FD32A3">
      <w:pPr>
        <w:spacing w:line="480" w:lineRule="auto"/>
        <w:ind w:left="1440"/>
        <w:jc w:val="both"/>
        <w:rPr>
          <w:rFonts w:ascii="Times New Roman" w:hAnsi="Times New Roman" w:cs="Times New Roman"/>
          <w:bCs/>
          <w:sz w:val="24"/>
          <w:szCs w:val="24"/>
        </w:rPr>
      </w:pPr>
      <w:r>
        <w:rPr>
          <w:rFonts w:ascii="Times New Roman" w:hAnsi="Times New Roman" w:cs="Times New Roman"/>
          <w:bCs/>
          <w:sz w:val="24"/>
          <w:szCs w:val="24"/>
        </w:rPr>
        <w:t>Provided that a Judge of the High Court shall not exercise any of the powers conferred by sub-paragraph (i), (ii) or (iii) of paragraph (b) of subsection (2) unless another Judge of the High Court has agreed with the exercise of the power in that regard.”</w:t>
      </w:r>
      <w:r w:rsidR="00720520">
        <w:rPr>
          <w:rFonts w:ascii="Times New Roman" w:hAnsi="Times New Roman" w:cs="Times New Roman"/>
          <w:bCs/>
          <w:sz w:val="24"/>
          <w:szCs w:val="24"/>
        </w:rPr>
        <w:t xml:space="preserve"> </w:t>
      </w:r>
    </w:p>
    <w:p w:rsidR="00340E87" w:rsidRDefault="00C94277" w:rsidP="00FD32A3">
      <w:pPr>
        <w:spacing w:line="480" w:lineRule="auto"/>
        <w:jc w:val="both"/>
        <w:rPr>
          <w:rFonts w:ascii="Times New Roman" w:hAnsi="Times New Roman" w:cs="Times New Roman"/>
          <w:sz w:val="24"/>
          <w:szCs w:val="24"/>
        </w:rPr>
      </w:pPr>
      <w:r>
        <w:tab/>
      </w:r>
      <w:r>
        <w:rPr>
          <w:rFonts w:ascii="Times New Roman" w:hAnsi="Times New Roman" w:cs="Times New Roman"/>
          <w:sz w:val="24"/>
          <w:szCs w:val="24"/>
        </w:rPr>
        <w:t>This application was filed against the following background;</w:t>
      </w:r>
    </w:p>
    <w:p w:rsidR="00C94277" w:rsidRDefault="00C94277" w:rsidP="00FD32A3">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applicant appeared before the 1</w:t>
      </w:r>
      <w:r w:rsidRPr="00C9427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facing a charge of smuggling as defined in section 182 of the Customs and Excise Act (Chapter 23:02).  Applicant pleaded not guilty to the charge.  Applicant averred that on the day of his arrest he was driving a recently imported vehicle from Namibia to Zimbabwe.  Inside the truck was another vehicle, a Toyota Hilux and some other goods whose description he did not know.  Applicant averred that he is a runner for those importing goods from outside Zimbabwe and the truck and everything else in it belonged to his client one Blessing resident in the United Kingdom.  Applicant stated in his defence outline that on the day in question he passed through Kazungula Border Post, Victoria Falls where he surrendered the truck and everything else to an agent </w:t>
      </w:r>
      <w:r w:rsidR="00733CE5">
        <w:rPr>
          <w:rFonts w:ascii="Times New Roman" w:hAnsi="Times New Roman" w:cs="Times New Roman"/>
          <w:sz w:val="24"/>
          <w:szCs w:val="24"/>
        </w:rPr>
        <w:t>Innocent Magore.  The</w:t>
      </w:r>
      <w:r w:rsidR="008E5E33">
        <w:rPr>
          <w:rFonts w:ascii="Times New Roman" w:hAnsi="Times New Roman" w:cs="Times New Roman"/>
          <w:sz w:val="24"/>
          <w:szCs w:val="24"/>
        </w:rPr>
        <w:t xml:space="preserve"> agent attended to declaring the goods to</w:t>
      </w:r>
      <w:r w:rsidR="00733CE5">
        <w:rPr>
          <w:rFonts w:ascii="Times New Roman" w:hAnsi="Times New Roman" w:cs="Times New Roman"/>
          <w:sz w:val="24"/>
          <w:szCs w:val="24"/>
        </w:rPr>
        <w:t xml:space="preserve"> Zimbabwe Revenue Authority</w:t>
      </w:r>
      <w:r w:rsidR="008E5E33">
        <w:rPr>
          <w:rFonts w:ascii="Times New Roman" w:hAnsi="Times New Roman" w:cs="Times New Roman"/>
          <w:sz w:val="24"/>
          <w:szCs w:val="24"/>
        </w:rPr>
        <w:t>, for duty purposes,</w:t>
      </w:r>
      <w:r w:rsidR="00733CE5">
        <w:rPr>
          <w:rFonts w:ascii="Times New Roman" w:hAnsi="Times New Roman" w:cs="Times New Roman"/>
          <w:sz w:val="24"/>
          <w:szCs w:val="24"/>
        </w:rPr>
        <w:t xml:space="preserve"> in </w:t>
      </w:r>
      <w:r w:rsidR="008E5E33">
        <w:rPr>
          <w:rFonts w:ascii="Times New Roman" w:hAnsi="Times New Roman" w:cs="Times New Roman"/>
          <w:sz w:val="24"/>
          <w:szCs w:val="24"/>
        </w:rPr>
        <w:t>liaison</w:t>
      </w:r>
      <w:r w:rsidR="00733CE5">
        <w:rPr>
          <w:rFonts w:ascii="Times New Roman" w:hAnsi="Times New Roman" w:cs="Times New Roman"/>
          <w:sz w:val="24"/>
          <w:szCs w:val="24"/>
        </w:rPr>
        <w:t xml:space="preserve"> with Blessing the owner of the goods.  Applicant stated that at all material times he was not aware that some of the goods had not been cleared by Customs as this was done by the agent.  Applicant contended that he had no intention to smuggle any goods into the country.</w:t>
      </w:r>
    </w:p>
    <w:p w:rsidR="00733CE5" w:rsidRDefault="00733CE5" w:rsidP="00FD32A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matter went to trial.  The trial commenced before the 1</w:t>
      </w:r>
      <w:r w:rsidRPr="00733C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3 witnesses were called to testify.  At the close of the state case applicant submitted a written application for discharg</w:t>
      </w:r>
      <w:r w:rsidR="008A5291">
        <w:rPr>
          <w:rFonts w:ascii="Times New Roman" w:hAnsi="Times New Roman" w:cs="Times New Roman"/>
          <w:sz w:val="24"/>
          <w:szCs w:val="24"/>
        </w:rPr>
        <w:t>e</w:t>
      </w:r>
      <w:r w:rsidR="001D3B3C">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733C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dismissed the application for discharge at the close of the state case.  Dissatisfied with the ruling made by 1</w:t>
      </w:r>
      <w:r w:rsidRPr="00733C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applicant filed an application for review with this court.  The basis for the review is that the decision to place the applicant on his defence was contaminated with gross irregularities.  Applicant was placed on his defence despite his protestation that he was a runner and that he left everything to the agent to proceed with all the formalities with ZIMRA.  Applicant argued that there was no evidence led to show that he formulated an intention to smuggle the goods in question.  In its response to the application for dischar</w:t>
      </w:r>
      <w:r w:rsidR="00B7548A">
        <w:rPr>
          <w:rFonts w:ascii="Times New Roman" w:hAnsi="Times New Roman" w:cs="Times New Roman"/>
          <w:sz w:val="24"/>
          <w:szCs w:val="24"/>
        </w:rPr>
        <w:t>ge, the prosecution had thi</w:t>
      </w:r>
      <w:r>
        <w:rPr>
          <w:rFonts w:ascii="Times New Roman" w:hAnsi="Times New Roman" w:cs="Times New Roman"/>
          <w:sz w:val="24"/>
          <w:szCs w:val="24"/>
        </w:rPr>
        <w:t>s say;</w:t>
      </w:r>
    </w:p>
    <w:p w:rsidR="00733CE5" w:rsidRDefault="00733CE5" w:rsidP="00FD32A3">
      <w:pPr>
        <w:spacing w:line="480" w:lineRule="auto"/>
        <w:ind w:left="720"/>
        <w:jc w:val="both"/>
        <w:rPr>
          <w:rFonts w:ascii="Times New Roman" w:hAnsi="Times New Roman" w:cs="Times New Roman"/>
          <w:sz w:val="24"/>
          <w:szCs w:val="24"/>
        </w:rPr>
      </w:pPr>
      <w:r w:rsidRPr="00C03F47">
        <w:rPr>
          <w:rFonts w:ascii="Times New Roman" w:hAnsi="Times New Roman" w:cs="Times New Roman"/>
          <w:i/>
          <w:sz w:val="24"/>
          <w:szCs w:val="24"/>
        </w:rPr>
        <w:t>“From the above, it will indeed seem like the accused did not know what was in the truck and as such he cannot be said to possess the mental knowl</w:t>
      </w:r>
      <w:r w:rsidR="003C49C6" w:rsidRPr="00C03F47">
        <w:rPr>
          <w:rFonts w:ascii="Times New Roman" w:hAnsi="Times New Roman" w:cs="Times New Roman"/>
          <w:i/>
          <w:sz w:val="24"/>
          <w:szCs w:val="24"/>
        </w:rPr>
        <w:t>edge.  However, looking closely at the evidence, they are pointers that he actually knew</w:t>
      </w:r>
      <w:r w:rsidR="003C49C6">
        <w:rPr>
          <w:rFonts w:ascii="Times New Roman" w:hAnsi="Times New Roman" w:cs="Times New Roman"/>
          <w:sz w:val="24"/>
          <w:szCs w:val="24"/>
        </w:rPr>
        <w:t>.”</w:t>
      </w:r>
    </w:p>
    <w:p w:rsidR="003C49C6" w:rsidRDefault="003C49C6" w:rsidP="00FD32A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w:t>
      </w:r>
      <w:r w:rsidR="00C03F47">
        <w:rPr>
          <w:rFonts w:ascii="Times New Roman" w:hAnsi="Times New Roman" w:cs="Times New Roman"/>
          <w:sz w:val="24"/>
          <w:szCs w:val="24"/>
        </w:rPr>
        <w:t>foregoing</w:t>
      </w:r>
      <w:r>
        <w:rPr>
          <w:rFonts w:ascii="Times New Roman" w:hAnsi="Times New Roman" w:cs="Times New Roman"/>
          <w:sz w:val="24"/>
          <w:szCs w:val="24"/>
        </w:rPr>
        <w:t xml:space="preserve"> it is apparent that </w:t>
      </w:r>
      <w:r w:rsidR="00DD6968">
        <w:rPr>
          <w:rFonts w:ascii="Times New Roman" w:hAnsi="Times New Roman" w:cs="Times New Roman"/>
          <w:sz w:val="24"/>
          <w:szCs w:val="24"/>
        </w:rPr>
        <w:t xml:space="preserve">it was necessary </w:t>
      </w:r>
      <w:r w:rsidR="00A26E02">
        <w:rPr>
          <w:rFonts w:ascii="Times New Roman" w:hAnsi="Times New Roman" w:cs="Times New Roman"/>
          <w:sz w:val="24"/>
          <w:szCs w:val="24"/>
        </w:rPr>
        <w:t>for</w:t>
      </w:r>
      <w:r w:rsidR="00DD6968">
        <w:rPr>
          <w:rFonts w:ascii="Times New Roman" w:hAnsi="Times New Roman" w:cs="Times New Roman"/>
          <w:sz w:val="24"/>
          <w:szCs w:val="24"/>
        </w:rPr>
        <w:t xml:space="preserve"> evidence  to be led from the a</w:t>
      </w:r>
      <w:r w:rsidR="00A26E02">
        <w:rPr>
          <w:rFonts w:ascii="Times New Roman" w:hAnsi="Times New Roman" w:cs="Times New Roman"/>
          <w:sz w:val="24"/>
          <w:szCs w:val="24"/>
        </w:rPr>
        <w:t>pplicant</w:t>
      </w:r>
      <w:r w:rsidR="00DD6968">
        <w:rPr>
          <w:rFonts w:ascii="Times New Roman" w:hAnsi="Times New Roman" w:cs="Times New Roman"/>
          <w:sz w:val="24"/>
          <w:szCs w:val="24"/>
        </w:rPr>
        <w:t xml:space="preserve"> to establish whether the applicant had the requisite intention to smuggle the goods in question.</w:t>
      </w:r>
      <w:r>
        <w:rPr>
          <w:rFonts w:ascii="Times New Roman" w:hAnsi="Times New Roman" w:cs="Times New Roman"/>
          <w:sz w:val="24"/>
          <w:szCs w:val="24"/>
        </w:rPr>
        <w:t xml:space="preserve"> </w:t>
      </w:r>
    </w:p>
    <w:p w:rsidR="00AE0E62" w:rsidRDefault="00AE0E62" w:rsidP="00FD32A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written ruling, dismissing the application for discharge, the learned Magistrate in the court </w:t>
      </w:r>
      <w:r w:rsidRPr="00686537">
        <w:rPr>
          <w:rFonts w:ascii="Times New Roman" w:hAnsi="Times New Roman" w:cs="Times New Roman"/>
          <w:i/>
          <w:sz w:val="24"/>
          <w:szCs w:val="24"/>
        </w:rPr>
        <w:t>a quo</w:t>
      </w:r>
      <w:r>
        <w:rPr>
          <w:rFonts w:ascii="Times New Roman" w:hAnsi="Times New Roman" w:cs="Times New Roman"/>
          <w:sz w:val="24"/>
          <w:szCs w:val="24"/>
        </w:rPr>
        <w:t xml:space="preserve"> stated as follows:-</w:t>
      </w:r>
    </w:p>
    <w:p w:rsidR="00AE0E62" w:rsidRDefault="00AE0E62" w:rsidP="00FD32A3">
      <w:pPr>
        <w:spacing w:line="480" w:lineRule="auto"/>
        <w:ind w:left="720"/>
        <w:jc w:val="both"/>
        <w:rPr>
          <w:rFonts w:ascii="Times New Roman" w:hAnsi="Times New Roman" w:cs="Times New Roman"/>
          <w:sz w:val="24"/>
          <w:szCs w:val="24"/>
        </w:rPr>
      </w:pPr>
      <w:r w:rsidRPr="00DD6968">
        <w:rPr>
          <w:rFonts w:ascii="Times New Roman" w:hAnsi="Times New Roman" w:cs="Times New Roman"/>
          <w:i/>
          <w:sz w:val="24"/>
          <w:szCs w:val="24"/>
        </w:rPr>
        <w:t>“…. At this juncture</w:t>
      </w:r>
      <w:r w:rsidR="00C410B7" w:rsidRPr="00DD6968">
        <w:rPr>
          <w:rFonts w:ascii="Times New Roman" w:hAnsi="Times New Roman" w:cs="Times New Roman"/>
          <w:i/>
          <w:sz w:val="24"/>
          <w:szCs w:val="24"/>
        </w:rPr>
        <w:t xml:space="preserve"> can it be said that the state has proven a prima facie case against accused person or not.  H</w:t>
      </w:r>
      <w:r w:rsidR="007339DD" w:rsidRPr="00DD6968">
        <w:rPr>
          <w:rFonts w:ascii="Times New Roman" w:hAnsi="Times New Roman" w:cs="Times New Roman"/>
          <w:i/>
          <w:sz w:val="24"/>
          <w:szCs w:val="24"/>
        </w:rPr>
        <w:t xml:space="preserve">ave </w:t>
      </w:r>
      <w:r w:rsidR="00A6201A" w:rsidRPr="00DD6968">
        <w:rPr>
          <w:rFonts w:ascii="Times New Roman" w:hAnsi="Times New Roman" w:cs="Times New Roman"/>
          <w:i/>
          <w:sz w:val="24"/>
          <w:szCs w:val="24"/>
        </w:rPr>
        <w:t xml:space="preserve">the essential </w:t>
      </w:r>
      <w:r w:rsidR="00B659FA" w:rsidRPr="00DD6968">
        <w:rPr>
          <w:rFonts w:ascii="Times New Roman" w:hAnsi="Times New Roman" w:cs="Times New Roman"/>
          <w:i/>
          <w:sz w:val="24"/>
          <w:szCs w:val="24"/>
        </w:rPr>
        <w:t>elements of the crime been fulfilled for a court to convict on the basis of such evidence.  At this juncture it is the court’s view</w:t>
      </w:r>
      <w:r w:rsidR="00B659FA">
        <w:rPr>
          <w:rFonts w:ascii="Times New Roman" w:hAnsi="Times New Roman" w:cs="Times New Roman"/>
          <w:sz w:val="24"/>
          <w:szCs w:val="24"/>
        </w:rPr>
        <w:t xml:space="preserve"> </w:t>
      </w:r>
      <w:r w:rsidR="00B659FA" w:rsidRPr="00DD6968">
        <w:rPr>
          <w:rFonts w:ascii="Times New Roman" w:hAnsi="Times New Roman" w:cs="Times New Roman"/>
          <w:i/>
          <w:sz w:val="24"/>
          <w:szCs w:val="24"/>
        </w:rPr>
        <w:lastRenderedPageBreak/>
        <w:t>that all the essential elements of smuggling have been properly canvassed by the state.  Accused’s application for discharge is dismissed</w:t>
      </w:r>
      <w:r w:rsidR="00B659FA">
        <w:rPr>
          <w:rFonts w:ascii="Times New Roman" w:hAnsi="Times New Roman" w:cs="Times New Roman"/>
          <w:sz w:val="24"/>
          <w:szCs w:val="24"/>
        </w:rPr>
        <w:t>.”</w:t>
      </w:r>
      <w:r>
        <w:rPr>
          <w:rFonts w:ascii="Times New Roman" w:hAnsi="Times New Roman" w:cs="Times New Roman"/>
          <w:sz w:val="24"/>
          <w:szCs w:val="24"/>
        </w:rPr>
        <w:t xml:space="preserve"> </w:t>
      </w:r>
    </w:p>
    <w:p w:rsidR="00B659FA" w:rsidRDefault="00B659FA" w:rsidP="00FD32A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that the learned Magistrate</w:t>
      </w:r>
      <w:r w:rsidR="002D1E5B">
        <w:rPr>
          <w:rFonts w:ascii="Times New Roman" w:hAnsi="Times New Roman" w:cs="Times New Roman"/>
          <w:sz w:val="24"/>
          <w:szCs w:val="24"/>
        </w:rPr>
        <w:t xml:space="preserve"> was alive to the fact that the state was required to prove all the essential elements of the offence in order to secure a conviction.</w:t>
      </w:r>
      <w:r>
        <w:rPr>
          <w:rFonts w:ascii="Times New Roman" w:hAnsi="Times New Roman" w:cs="Times New Roman"/>
          <w:sz w:val="24"/>
          <w:szCs w:val="24"/>
        </w:rPr>
        <w:t xml:space="preserve">  The learned Ma</w:t>
      </w:r>
      <w:r w:rsidR="002D1E5B">
        <w:rPr>
          <w:rFonts w:ascii="Times New Roman" w:hAnsi="Times New Roman" w:cs="Times New Roman"/>
          <w:sz w:val="24"/>
          <w:szCs w:val="24"/>
        </w:rPr>
        <w:t>gistrate</w:t>
      </w:r>
      <w:r>
        <w:rPr>
          <w:rFonts w:ascii="Times New Roman" w:hAnsi="Times New Roman" w:cs="Times New Roman"/>
          <w:sz w:val="24"/>
          <w:szCs w:val="24"/>
        </w:rPr>
        <w:t xml:space="preserve"> arrived at the conclusion that all the essential elements of the charge had been canvassed. </w:t>
      </w:r>
      <w:r w:rsidR="002D1E5B">
        <w:rPr>
          <w:rFonts w:ascii="Times New Roman" w:hAnsi="Times New Roman" w:cs="Times New Roman"/>
          <w:sz w:val="24"/>
          <w:szCs w:val="24"/>
        </w:rPr>
        <w:t xml:space="preserve"> At the close of the state case however, the state only had to establish a </w:t>
      </w:r>
      <w:r w:rsidR="002D1E5B" w:rsidRPr="002D1E5B">
        <w:rPr>
          <w:rFonts w:ascii="Times New Roman" w:hAnsi="Times New Roman" w:cs="Times New Roman"/>
          <w:i/>
          <w:sz w:val="24"/>
          <w:szCs w:val="24"/>
        </w:rPr>
        <w:t>prima</w:t>
      </w:r>
      <w:r w:rsidR="002D1E5B">
        <w:rPr>
          <w:rFonts w:ascii="Times New Roman" w:hAnsi="Times New Roman" w:cs="Times New Roman"/>
          <w:sz w:val="24"/>
          <w:szCs w:val="24"/>
        </w:rPr>
        <w:t xml:space="preserve"> </w:t>
      </w:r>
      <w:r w:rsidR="002D1E5B" w:rsidRPr="002D1E5B">
        <w:rPr>
          <w:rFonts w:ascii="Times New Roman" w:hAnsi="Times New Roman" w:cs="Times New Roman"/>
          <w:i/>
          <w:sz w:val="24"/>
          <w:szCs w:val="24"/>
        </w:rPr>
        <w:t>facie</w:t>
      </w:r>
      <w:r w:rsidR="002D1E5B">
        <w:rPr>
          <w:rFonts w:ascii="Times New Roman" w:hAnsi="Times New Roman" w:cs="Times New Roman"/>
          <w:sz w:val="24"/>
          <w:szCs w:val="24"/>
        </w:rPr>
        <w:t xml:space="preserve"> case.</w:t>
      </w:r>
      <w:r>
        <w:rPr>
          <w:rFonts w:ascii="Times New Roman" w:hAnsi="Times New Roman" w:cs="Times New Roman"/>
          <w:sz w:val="24"/>
          <w:szCs w:val="24"/>
        </w:rPr>
        <w:t xml:space="preserve"> </w:t>
      </w:r>
    </w:p>
    <w:p w:rsidR="00395B4B" w:rsidRDefault="00395B4B" w:rsidP="00FD32A3">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It is trite that a court should discharge an accused person at the close of the state case where:-</w:t>
      </w:r>
    </w:p>
    <w:p w:rsidR="00395B4B" w:rsidRPr="00395B4B" w:rsidRDefault="00395B4B" w:rsidP="00FD32A3">
      <w:pPr>
        <w:pStyle w:val="ListParagraph"/>
        <w:numPr>
          <w:ilvl w:val="0"/>
          <w:numId w:val="2"/>
        </w:numPr>
        <w:spacing w:line="480" w:lineRule="auto"/>
        <w:jc w:val="both"/>
        <w:rPr>
          <w:rFonts w:ascii="Times New Roman" w:hAnsi="Times New Roman" w:cs="Times New Roman"/>
          <w:sz w:val="24"/>
          <w:szCs w:val="24"/>
        </w:rPr>
      </w:pPr>
      <w:r w:rsidRPr="00395B4B">
        <w:rPr>
          <w:rFonts w:ascii="Times New Roman" w:hAnsi="Times New Roman" w:cs="Times New Roman"/>
          <w:sz w:val="24"/>
          <w:szCs w:val="24"/>
        </w:rPr>
        <w:t xml:space="preserve">There is no evidence to prove an essential element of the offence; </w:t>
      </w:r>
      <w:r w:rsidRPr="007D30FE">
        <w:rPr>
          <w:rFonts w:ascii="Times New Roman" w:hAnsi="Times New Roman" w:cs="Times New Roman"/>
          <w:i/>
          <w:sz w:val="24"/>
          <w:szCs w:val="24"/>
        </w:rPr>
        <w:t xml:space="preserve">AG </w:t>
      </w:r>
      <w:r w:rsidRPr="00395B4B">
        <w:rPr>
          <w:rFonts w:ascii="Times New Roman" w:hAnsi="Times New Roman" w:cs="Times New Roman"/>
          <w:sz w:val="24"/>
          <w:szCs w:val="24"/>
        </w:rPr>
        <w:t xml:space="preserve">v </w:t>
      </w:r>
      <w:r w:rsidRPr="007D30FE">
        <w:rPr>
          <w:rFonts w:ascii="Times New Roman" w:hAnsi="Times New Roman" w:cs="Times New Roman"/>
          <w:i/>
          <w:sz w:val="24"/>
          <w:szCs w:val="24"/>
        </w:rPr>
        <w:t>Bvuma &amp; Anor</w:t>
      </w:r>
      <w:r w:rsidRPr="00395B4B">
        <w:rPr>
          <w:rFonts w:ascii="Times New Roman" w:hAnsi="Times New Roman" w:cs="Times New Roman"/>
          <w:sz w:val="24"/>
          <w:szCs w:val="24"/>
        </w:rPr>
        <w:t xml:space="preserve"> 1987 (2) ZLR 96.</w:t>
      </w:r>
    </w:p>
    <w:p w:rsidR="00395B4B" w:rsidRDefault="00395B4B" w:rsidP="00FD32A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84826">
        <w:rPr>
          <w:rFonts w:ascii="Times New Roman" w:hAnsi="Times New Roman" w:cs="Times New Roman"/>
          <w:sz w:val="24"/>
          <w:szCs w:val="24"/>
        </w:rPr>
        <w:t>There</w:t>
      </w:r>
      <w:r>
        <w:rPr>
          <w:rFonts w:ascii="Times New Roman" w:hAnsi="Times New Roman" w:cs="Times New Roman"/>
          <w:sz w:val="24"/>
          <w:szCs w:val="24"/>
        </w:rPr>
        <w:t xml:space="preserve"> is no evidence on which a reasonable court acting carefully, might properly convict; </w:t>
      </w:r>
      <w:r w:rsidRPr="007D30FE">
        <w:rPr>
          <w:rFonts w:ascii="Times New Roman" w:hAnsi="Times New Roman" w:cs="Times New Roman"/>
          <w:i/>
          <w:sz w:val="24"/>
          <w:szCs w:val="24"/>
        </w:rPr>
        <w:t xml:space="preserve">AG </w:t>
      </w:r>
      <w:r>
        <w:rPr>
          <w:rFonts w:ascii="Times New Roman" w:hAnsi="Times New Roman" w:cs="Times New Roman"/>
          <w:sz w:val="24"/>
          <w:szCs w:val="24"/>
        </w:rPr>
        <w:t xml:space="preserve">v </w:t>
      </w:r>
      <w:r w:rsidRPr="007D30FE">
        <w:rPr>
          <w:rFonts w:ascii="Times New Roman" w:hAnsi="Times New Roman" w:cs="Times New Roman"/>
          <w:i/>
          <w:sz w:val="24"/>
          <w:szCs w:val="24"/>
        </w:rPr>
        <w:t>Mzizi</w:t>
      </w:r>
      <w:r>
        <w:rPr>
          <w:rFonts w:ascii="Times New Roman" w:hAnsi="Times New Roman" w:cs="Times New Roman"/>
          <w:sz w:val="24"/>
          <w:szCs w:val="24"/>
        </w:rPr>
        <w:t xml:space="preserve"> 1991 (2) ZLR 321</w:t>
      </w:r>
    </w:p>
    <w:p w:rsidR="00395B4B" w:rsidRDefault="00395B4B" w:rsidP="00FD32A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184826">
        <w:rPr>
          <w:rFonts w:ascii="Times New Roman" w:hAnsi="Times New Roman" w:cs="Times New Roman"/>
          <w:sz w:val="24"/>
          <w:szCs w:val="24"/>
        </w:rPr>
        <w:t>The</w:t>
      </w:r>
      <w:r>
        <w:rPr>
          <w:rFonts w:ascii="Times New Roman" w:hAnsi="Times New Roman" w:cs="Times New Roman"/>
          <w:sz w:val="24"/>
          <w:szCs w:val="24"/>
        </w:rPr>
        <w:t xml:space="preserve"> evidence adduced on behalf of the state is manifestly unreliable that no reasonable court could safely act on it; </w:t>
      </w:r>
      <w:r w:rsidRPr="00B62340">
        <w:rPr>
          <w:rFonts w:ascii="Times New Roman" w:hAnsi="Times New Roman" w:cs="Times New Roman"/>
          <w:i/>
          <w:sz w:val="24"/>
          <w:szCs w:val="24"/>
        </w:rPr>
        <w:t>AG</w:t>
      </w:r>
      <w:r>
        <w:rPr>
          <w:rFonts w:ascii="Times New Roman" w:hAnsi="Times New Roman" w:cs="Times New Roman"/>
          <w:sz w:val="24"/>
          <w:szCs w:val="24"/>
        </w:rPr>
        <w:t xml:space="preserve"> v </w:t>
      </w:r>
      <w:r w:rsidRPr="00B62340">
        <w:rPr>
          <w:rFonts w:ascii="Times New Roman" w:hAnsi="Times New Roman" w:cs="Times New Roman"/>
          <w:i/>
          <w:sz w:val="24"/>
          <w:szCs w:val="24"/>
        </w:rPr>
        <w:t xml:space="preserve">Tagwirei </w:t>
      </w:r>
      <w:r>
        <w:rPr>
          <w:rFonts w:ascii="Times New Roman" w:hAnsi="Times New Roman" w:cs="Times New Roman"/>
          <w:sz w:val="24"/>
          <w:szCs w:val="24"/>
        </w:rPr>
        <w:t>1997 (1) ZLR 575</w:t>
      </w:r>
      <w:r w:rsidR="009A7DF2">
        <w:rPr>
          <w:rFonts w:ascii="Times New Roman" w:hAnsi="Times New Roman" w:cs="Times New Roman"/>
          <w:sz w:val="24"/>
          <w:szCs w:val="24"/>
        </w:rPr>
        <w:t>.</w:t>
      </w:r>
    </w:p>
    <w:p w:rsidR="009A7DF2" w:rsidRDefault="009A7DF2" w:rsidP="00FD32A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upon a perusal of the record and in the light of the evide</w:t>
      </w:r>
      <w:r w:rsidR="003E35D1">
        <w:rPr>
          <w:rFonts w:ascii="Times New Roman" w:hAnsi="Times New Roman" w:cs="Times New Roman"/>
          <w:sz w:val="24"/>
          <w:szCs w:val="24"/>
        </w:rPr>
        <w:t>nce led by the state, it was shown</w:t>
      </w:r>
      <w:r>
        <w:rPr>
          <w:rFonts w:ascii="Times New Roman" w:hAnsi="Times New Roman" w:cs="Times New Roman"/>
          <w:sz w:val="24"/>
          <w:szCs w:val="24"/>
        </w:rPr>
        <w:t xml:space="preserve"> that the state had succeeded in establishing </w:t>
      </w:r>
      <w:r w:rsidR="003E35D1">
        <w:rPr>
          <w:rFonts w:ascii="Times New Roman" w:hAnsi="Times New Roman" w:cs="Times New Roman"/>
          <w:sz w:val="24"/>
          <w:szCs w:val="24"/>
        </w:rPr>
        <w:t xml:space="preserve">that there was a </w:t>
      </w:r>
      <w:r w:rsidR="003E35D1" w:rsidRPr="003E35D1">
        <w:rPr>
          <w:rFonts w:ascii="Times New Roman" w:hAnsi="Times New Roman" w:cs="Times New Roman"/>
          <w:i/>
          <w:sz w:val="24"/>
          <w:szCs w:val="24"/>
        </w:rPr>
        <w:t>prima facie</w:t>
      </w:r>
      <w:r w:rsidR="003E35D1">
        <w:rPr>
          <w:rFonts w:ascii="Times New Roman" w:hAnsi="Times New Roman" w:cs="Times New Roman"/>
          <w:sz w:val="24"/>
          <w:szCs w:val="24"/>
        </w:rPr>
        <w:t xml:space="preserve"> case made against the applicant. There was no irregularity in the proceedings. The learned Magistrate was indeed correct in dismissing the application for discharge at the close of the state case.</w:t>
      </w:r>
    </w:p>
    <w:p w:rsidR="009A7DF2" w:rsidRDefault="009A7DF2" w:rsidP="00FD32A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and accordingly, the following order is made:-</w:t>
      </w:r>
    </w:p>
    <w:p w:rsidR="009A7DF2" w:rsidRDefault="00D87DA0" w:rsidP="00FD32A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0A3C74">
        <w:rPr>
          <w:rFonts w:ascii="Times New Roman" w:hAnsi="Times New Roman" w:cs="Times New Roman"/>
          <w:sz w:val="24"/>
          <w:szCs w:val="24"/>
        </w:rPr>
        <w:tab/>
      </w:r>
      <w:r>
        <w:rPr>
          <w:rFonts w:ascii="Times New Roman" w:hAnsi="Times New Roman" w:cs="Times New Roman"/>
          <w:sz w:val="24"/>
          <w:szCs w:val="24"/>
        </w:rPr>
        <w:t>The application be and is hereby dismissed.</w:t>
      </w:r>
    </w:p>
    <w:p w:rsidR="00994606" w:rsidRDefault="00994606" w:rsidP="00FD32A3">
      <w:pPr>
        <w:spacing w:line="48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 order as to costs.</w:t>
      </w:r>
    </w:p>
    <w:p w:rsidR="00994606" w:rsidRDefault="00994606" w:rsidP="00FD32A3">
      <w:pPr>
        <w:spacing w:line="480" w:lineRule="auto"/>
        <w:ind w:left="1440" w:hanging="720"/>
        <w:jc w:val="both"/>
        <w:rPr>
          <w:rFonts w:ascii="Times New Roman" w:hAnsi="Times New Roman" w:cs="Times New Roman"/>
          <w:sz w:val="24"/>
          <w:szCs w:val="24"/>
        </w:rPr>
      </w:pPr>
    </w:p>
    <w:p w:rsidR="00994606" w:rsidRDefault="00994606" w:rsidP="00A666FF">
      <w:pPr>
        <w:spacing w:line="480" w:lineRule="auto"/>
        <w:jc w:val="both"/>
        <w:rPr>
          <w:rFonts w:ascii="Times New Roman" w:hAnsi="Times New Roman" w:cs="Times New Roman"/>
          <w:sz w:val="24"/>
          <w:szCs w:val="24"/>
        </w:rPr>
      </w:pPr>
    </w:p>
    <w:p w:rsidR="00A666FF" w:rsidRDefault="00A666FF" w:rsidP="00A666FF">
      <w:pPr>
        <w:pStyle w:val="NoSpacing"/>
      </w:pPr>
      <w:r w:rsidRPr="00A666FF">
        <w:rPr>
          <w:i/>
        </w:rPr>
        <w:t>Moyo and Nyoni</w:t>
      </w:r>
      <w:r>
        <w:t>, applicant’s legal practitioners</w:t>
      </w:r>
    </w:p>
    <w:p w:rsidR="00A666FF" w:rsidRDefault="00A666FF" w:rsidP="00A666FF">
      <w:pPr>
        <w:pStyle w:val="NoSpacing"/>
      </w:pPr>
      <w:r w:rsidRPr="00A666FF">
        <w:rPr>
          <w:i/>
        </w:rPr>
        <w:t>National Prosecuting Authority</w:t>
      </w:r>
      <w:r>
        <w:t>, respondents’ legal practitioners</w:t>
      </w:r>
    </w:p>
    <w:p w:rsidR="00994606" w:rsidRDefault="00994606" w:rsidP="00B62340">
      <w:pPr>
        <w:spacing w:line="480" w:lineRule="auto"/>
        <w:ind w:left="1440" w:hanging="720"/>
        <w:jc w:val="center"/>
        <w:rPr>
          <w:rFonts w:ascii="Times New Roman" w:hAnsi="Times New Roman" w:cs="Times New Roman"/>
          <w:sz w:val="24"/>
          <w:szCs w:val="24"/>
        </w:rPr>
      </w:pPr>
    </w:p>
    <w:p w:rsidR="00994606" w:rsidRPr="00395B4B" w:rsidRDefault="00994606" w:rsidP="00B62340">
      <w:pPr>
        <w:spacing w:line="480" w:lineRule="auto"/>
        <w:ind w:left="1440" w:hanging="720"/>
        <w:jc w:val="center"/>
        <w:rPr>
          <w:rFonts w:ascii="Times New Roman" w:hAnsi="Times New Roman" w:cs="Times New Roman"/>
          <w:sz w:val="24"/>
          <w:szCs w:val="24"/>
        </w:rPr>
      </w:pPr>
    </w:p>
    <w:sectPr w:rsidR="00994606" w:rsidRPr="00395B4B" w:rsidSect="00876A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E79" w:rsidRDefault="00F74E79" w:rsidP="00FD32A3">
      <w:pPr>
        <w:spacing w:after="0" w:line="240" w:lineRule="auto"/>
      </w:pPr>
      <w:r>
        <w:separator/>
      </w:r>
    </w:p>
  </w:endnote>
  <w:endnote w:type="continuationSeparator" w:id="0">
    <w:p w:rsidR="00F74E79" w:rsidRDefault="00F74E79" w:rsidP="00FD3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E79" w:rsidRDefault="00F74E79" w:rsidP="00FD32A3">
      <w:pPr>
        <w:spacing w:after="0" w:line="240" w:lineRule="auto"/>
      </w:pPr>
      <w:r>
        <w:separator/>
      </w:r>
    </w:p>
  </w:footnote>
  <w:footnote w:type="continuationSeparator" w:id="0">
    <w:p w:rsidR="00F74E79" w:rsidRDefault="00F74E79" w:rsidP="00FD3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392381"/>
      <w:docPartObj>
        <w:docPartGallery w:val="Page Numbers (Top of Page)"/>
        <w:docPartUnique/>
      </w:docPartObj>
    </w:sdtPr>
    <w:sdtEndPr>
      <w:rPr>
        <w:rFonts w:ascii="Times New Roman" w:hAnsi="Times New Roman" w:cs="Times New Roman"/>
        <w:noProof/>
        <w:sz w:val="24"/>
        <w:szCs w:val="24"/>
      </w:rPr>
    </w:sdtEndPr>
    <w:sdtContent>
      <w:p w:rsidR="00FD32A3" w:rsidRPr="00FD32A3" w:rsidRDefault="00876A03">
        <w:pPr>
          <w:pStyle w:val="Header"/>
          <w:jc w:val="right"/>
          <w:rPr>
            <w:rFonts w:ascii="Times New Roman" w:hAnsi="Times New Roman" w:cs="Times New Roman"/>
            <w:noProof/>
            <w:sz w:val="24"/>
            <w:szCs w:val="24"/>
          </w:rPr>
        </w:pPr>
        <w:r w:rsidRPr="00FD32A3">
          <w:rPr>
            <w:rFonts w:ascii="Times New Roman" w:hAnsi="Times New Roman" w:cs="Times New Roman"/>
            <w:sz w:val="24"/>
            <w:szCs w:val="24"/>
          </w:rPr>
          <w:fldChar w:fldCharType="begin"/>
        </w:r>
        <w:r w:rsidR="00FD32A3" w:rsidRPr="00FD32A3">
          <w:rPr>
            <w:rFonts w:ascii="Times New Roman" w:hAnsi="Times New Roman" w:cs="Times New Roman"/>
            <w:sz w:val="24"/>
            <w:szCs w:val="24"/>
          </w:rPr>
          <w:instrText xml:space="preserve"> PAGE   \* MERGEFORMAT </w:instrText>
        </w:r>
        <w:r w:rsidRPr="00FD32A3">
          <w:rPr>
            <w:rFonts w:ascii="Times New Roman" w:hAnsi="Times New Roman" w:cs="Times New Roman"/>
            <w:sz w:val="24"/>
            <w:szCs w:val="24"/>
          </w:rPr>
          <w:fldChar w:fldCharType="separate"/>
        </w:r>
        <w:r w:rsidR="00973357">
          <w:rPr>
            <w:rFonts w:ascii="Times New Roman" w:hAnsi="Times New Roman" w:cs="Times New Roman"/>
            <w:noProof/>
            <w:sz w:val="24"/>
            <w:szCs w:val="24"/>
          </w:rPr>
          <w:t>1</w:t>
        </w:r>
        <w:r w:rsidRPr="00FD32A3">
          <w:rPr>
            <w:rFonts w:ascii="Times New Roman" w:hAnsi="Times New Roman" w:cs="Times New Roman"/>
            <w:noProof/>
            <w:sz w:val="24"/>
            <w:szCs w:val="24"/>
          </w:rPr>
          <w:fldChar w:fldCharType="end"/>
        </w:r>
      </w:p>
      <w:p w:rsidR="00FD32A3" w:rsidRPr="00FD32A3" w:rsidRDefault="00FD32A3">
        <w:pPr>
          <w:pStyle w:val="Header"/>
          <w:jc w:val="right"/>
          <w:rPr>
            <w:rFonts w:ascii="Times New Roman" w:hAnsi="Times New Roman" w:cs="Times New Roman"/>
            <w:noProof/>
            <w:sz w:val="24"/>
            <w:szCs w:val="24"/>
          </w:rPr>
        </w:pPr>
        <w:r w:rsidRPr="00FD32A3">
          <w:rPr>
            <w:rFonts w:ascii="Times New Roman" w:hAnsi="Times New Roman" w:cs="Times New Roman"/>
            <w:noProof/>
            <w:sz w:val="24"/>
            <w:szCs w:val="24"/>
          </w:rPr>
          <w:t>HB</w:t>
        </w:r>
        <w:r w:rsidR="00B50D5C">
          <w:rPr>
            <w:rFonts w:ascii="Times New Roman" w:hAnsi="Times New Roman" w:cs="Times New Roman"/>
            <w:noProof/>
            <w:sz w:val="24"/>
            <w:szCs w:val="24"/>
          </w:rPr>
          <w:t xml:space="preserve"> 55/23</w:t>
        </w:r>
      </w:p>
      <w:p w:rsidR="00FD32A3" w:rsidRPr="00FD32A3" w:rsidRDefault="00FD32A3">
        <w:pPr>
          <w:pStyle w:val="Header"/>
          <w:jc w:val="right"/>
          <w:rPr>
            <w:rFonts w:ascii="Times New Roman" w:hAnsi="Times New Roman" w:cs="Times New Roman"/>
            <w:noProof/>
            <w:sz w:val="24"/>
            <w:szCs w:val="24"/>
          </w:rPr>
        </w:pPr>
        <w:r w:rsidRPr="00FD32A3">
          <w:rPr>
            <w:rFonts w:ascii="Times New Roman" w:hAnsi="Times New Roman" w:cs="Times New Roman"/>
            <w:noProof/>
            <w:sz w:val="24"/>
            <w:szCs w:val="24"/>
          </w:rPr>
          <w:t>HC 2263/22</w:t>
        </w:r>
      </w:p>
      <w:p w:rsidR="00FD32A3" w:rsidRPr="00FD32A3" w:rsidRDefault="00FD32A3">
        <w:pPr>
          <w:pStyle w:val="Header"/>
          <w:jc w:val="right"/>
          <w:rPr>
            <w:rFonts w:ascii="Times New Roman" w:hAnsi="Times New Roman" w:cs="Times New Roman"/>
            <w:noProof/>
            <w:sz w:val="24"/>
            <w:szCs w:val="24"/>
          </w:rPr>
        </w:pPr>
        <w:r w:rsidRPr="00FD32A3">
          <w:rPr>
            <w:rFonts w:ascii="Times New Roman" w:hAnsi="Times New Roman" w:cs="Times New Roman"/>
            <w:noProof/>
            <w:sz w:val="24"/>
            <w:szCs w:val="24"/>
          </w:rPr>
          <w:t>XREF CRB BYO R 515/22</w:t>
        </w:r>
      </w:p>
      <w:p w:rsidR="00FD32A3" w:rsidRPr="00FD32A3" w:rsidRDefault="00FD32A3">
        <w:pPr>
          <w:pStyle w:val="Header"/>
          <w:jc w:val="right"/>
          <w:rPr>
            <w:rFonts w:ascii="Times New Roman" w:hAnsi="Times New Roman" w:cs="Times New Roman"/>
            <w:sz w:val="24"/>
            <w:szCs w:val="24"/>
          </w:rPr>
        </w:pPr>
        <w:r w:rsidRPr="00FD32A3">
          <w:rPr>
            <w:rFonts w:ascii="Times New Roman" w:hAnsi="Times New Roman" w:cs="Times New Roman"/>
            <w:noProof/>
            <w:sz w:val="24"/>
            <w:szCs w:val="24"/>
          </w:rPr>
          <w:t>CAPP 331/22</w:t>
        </w:r>
      </w:p>
    </w:sdtContent>
  </w:sdt>
  <w:p w:rsidR="00FD32A3" w:rsidRDefault="00FD3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94825"/>
    <w:multiLevelType w:val="hybridMultilevel"/>
    <w:tmpl w:val="30BAC5F6"/>
    <w:lvl w:ilvl="0" w:tplc="AE56A3E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9A02167"/>
    <w:multiLevelType w:val="hybridMultilevel"/>
    <w:tmpl w:val="2F88C1A4"/>
    <w:lvl w:ilvl="0" w:tplc="DAB8628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83668"/>
    <w:rsid w:val="000465BF"/>
    <w:rsid w:val="00090ED6"/>
    <w:rsid w:val="000A3C74"/>
    <w:rsid w:val="000B30E6"/>
    <w:rsid w:val="001379C2"/>
    <w:rsid w:val="001446FA"/>
    <w:rsid w:val="00184826"/>
    <w:rsid w:val="001B4305"/>
    <w:rsid w:val="001D3B3C"/>
    <w:rsid w:val="00223694"/>
    <w:rsid w:val="00283668"/>
    <w:rsid w:val="002D1E5B"/>
    <w:rsid w:val="00340E87"/>
    <w:rsid w:val="00395B4B"/>
    <w:rsid w:val="003C49C6"/>
    <w:rsid w:val="003E35D1"/>
    <w:rsid w:val="00476376"/>
    <w:rsid w:val="00506D6A"/>
    <w:rsid w:val="00524F5E"/>
    <w:rsid w:val="005C6EC5"/>
    <w:rsid w:val="005F10E8"/>
    <w:rsid w:val="00686537"/>
    <w:rsid w:val="00694B3B"/>
    <w:rsid w:val="0070509F"/>
    <w:rsid w:val="00720520"/>
    <w:rsid w:val="00723ADC"/>
    <w:rsid w:val="007339DD"/>
    <w:rsid w:val="00733CE5"/>
    <w:rsid w:val="00752099"/>
    <w:rsid w:val="00773BFC"/>
    <w:rsid w:val="007D30FE"/>
    <w:rsid w:val="007E2A6A"/>
    <w:rsid w:val="0080384F"/>
    <w:rsid w:val="00876A03"/>
    <w:rsid w:val="008A5291"/>
    <w:rsid w:val="008E5E33"/>
    <w:rsid w:val="00931D24"/>
    <w:rsid w:val="00973357"/>
    <w:rsid w:val="00994606"/>
    <w:rsid w:val="009A497F"/>
    <w:rsid w:val="009A7DF2"/>
    <w:rsid w:val="00A26E02"/>
    <w:rsid w:val="00A6201A"/>
    <w:rsid w:val="00A666FF"/>
    <w:rsid w:val="00A74A5F"/>
    <w:rsid w:val="00A95596"/>
    <w:rsid w:val="00AE0E62"/>
    <w:rsid w:val="00B50D5C"/>
    <w:rsid w:val="00B62340"/>
    <w:rsid w:val="00B659FA"/>
    <w:rsid w:val="00B7548A"/>
    <w:rsid w:val="00C03F47"/>
    <w:rsid w:val="00C410B7"/>
    <w:rsid w:val="00C94277"/>
    <w:rsid w:val="00CA043F"/>
    <w:rsid w:val="00CC2DDF"/>
    <w:rsid w:val="00D434A6"/>
    <w:rsid w:val="00D81BED"/>
    <w:rsid w:val="00D87C7A"/>
    <w:rsid w:val="00D87DA0"/>
    <w:rsid w:val="00DC2BF8"/>
    <w:rsid w:val="00DD5875"/>
    <w:rsid w:val="00DD6968"/>
    <w:rsid w:val="00DF5612"/>
    <w:rsid w:val="00F33949"/>
    <w:rsid w:val="00F33FD4"/>
    <w:rsid w:val="00F74E79"/>
    <w:rsid w:val="00FD32A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DECE-FDC1-4B00-B356-DAFFC898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668"/>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3668"/>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70509F"/>
    <w:pPr>
      <w:ind w:left="720"/>
      <w:contextualSpacing/>
    </w:pPr>
  </w:style>
  <w:style w:type="paragraph" w:styleId="Header">
    <w:name w:val="header"/>
    <w:basedOn w:val="Normal"/>
    <w:link w:val="HeaderChar"/>
    <w:uiPriority w:val="99"/>
    <w:unhideWhenUsed/>
    <w:rsid w:val="00FD3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2A3"/>
  </w:style>
  <w:style w:type="paragraph" w:styleId="Footer">
    <w:name w:val="footer"/>
    <w:basedOn w:val="Normal"/>
    <w:link w:val="FooterChar"/>
    <w:uiPriority w:val="99"/>
    <w:unhideWhenUsed/>
    <w:rsid w:val="00FD3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2A3"/>
  </w:style>
  <w:style w:type="paragraph" w:styleId="BalloonText">
    <w:name w:val="Balloon Text"/>
    <w:basedOn w:val="Normal"/>
    <w:link w:val="BalloonTextChar"/>
    <w:uiPriority w:val="99"/>
    <w:semiHidden/>
    <w:unhideWhenUsed/>
    <w:rsid w:val="00476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1465</TotalTime>
  <Pages>6</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64</cp:revision>
  <cp:lastPrinted>2023-04-04T08:46:00Z</cp:lastPrinted>
  <dcterms:created xsi:type="dcterms:W3CDTF">2023-03-31T06:24:00Z</dcterms:created>
  <dcterms:modified xsi:type="dcterms:W3CDTF">2023-04-04T09:25:00Z</dcterms:modified>
</cp:coreProperties>
</file>