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783" w:rsidRDefault="00DD2D70" w:rsidP="00AA186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JAISON MAX KOKERAI MACHAYA</w:t>
      </w:r>
    </w:p>
    <w:p w:rsidR="00DD2D70" w:rsidRDefault="00AA1865" w:rsidP="00AA1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D2D70" w:rsidRDefault="00DD2D70" w:rsidP="00AA1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CHIBURURU CHISAINYERWA</w:t>
      </w:r>
    </w:p>
    <w:p w:rsidR="00DD2D70" w:rsidRDefault="00DD2D70" w:rsidP="00AA1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D2D70" w:rsidRDefault="00DD2D70" w:rsidP="00AA1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DD2D70" w:rsidRDefault="00AA1865" w:rsidP="00AA1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D2D70" w:rsidRDefault="00DD2D70" w:rsidP="00AA1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CHARITY MAPHOSA N.O.</w:t>
      </w:r>
    </w:p>
    <w:p w:rsidR="00DD2D70" w:rsidRDefault="00DD2D70" w:rsidP="00B0738D">
      <w:pPr>
        <w:spacing w:line="360" w:lineRule="auto"/>
        <w:jc w:val="both"/>
        <w:rPr>
          <w:rFonts w:ascii="Times New Roman" w:hAnsi="Times New Roman" w:cs="Times New Roman"/>
          <w:sz w:val="24"/>
          <w:szCs w:val="24"/>
        </w:rPr>
      </w:pPr>
    </w:p>
    <w:p w:rsidR="00DD2D70" w:rsidRDefault="00DD2D70" w:rsidP="00AA1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D2D70" w:rsidRDefault="00DD2D70" w:rsidP="00AA1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DD2D70" w:rsidRDefault="00DD2D70" w:rsidP="00AA1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6</w:t>
      </w:r>
      <w:r w:rsidR="00B0738D">
        <w:rPr>
          <w:rFonts w:ascii="Times New Roman" w:hAnsi="Times New Roman" w:cs="Times New Roman"/>
          <w:sz w:val="24"/>
          <w:szCs w:val="24"/>
        </w:rPr>
        <w:t xml:space="preserve"> &amp; 19</w:t>
      </w:r>
      <w:r>
        <w:rPr>
          <w:rFonts w:ascii="Times New Roman" w:hAnsi="Times New Roman" w:cs="Times New Roman"/>
          <w:sz w:val="24"/>
          <w:szCs w:val="24"/>
        </w:rPr>
        <w:t xml:space="preserve"> December 2018</w:t>
      </w:r>
    </w:p>
    <w:p w:rsidR="00AA1865" w:rsidRDefault="00AA1865" w:rsidP="00B0738D">
      <w:pPr>
        <w:spacing w:line="360" w:lineRule="auto"/>
        <w:jc w:val="both"/>
        <w:rPr>
          <w:rFonts w:ascii="Times New Roman" w:hAnsi="Times New Roman" w:cs="Times New Roman"/>
          <w:b/>
          <w:sz w:val="24"/>
          <w:szCs w:val="24"/>
        </w:rPr>
      </w:pPr>
    </w:p>
    <w:p w:rsidR="00DB3F4C" w:rsidRPr="00B0738D" w:rsidRDefault="00DB3F4C" w:rsidP="00B0738D">
      <w:pPr>
        <w:spacing w:line="360" w:lineRule="auto"/>
        <w:jc w:val="both"/>
        <w:rPr>
          <w:rFonts w:ascii="Times New Roman" w:hAnsi="Times New Roman" w:cs="Times New Roman"/>
          <w:b/>
          <w:sz w:val="24"/>
          <w:szCs w:val="24"/>
        </w:rPr>
      </w:pPr>
      <w:r w:rsidRPr="00B0738D">
        <w:rPr>
          <w:rFonts w:ascii="Times New Roman" w:hAnsi="Times New Roman" w:cs="Times New Roman"/>
          <w:b/>
          <w:sz w:val="24"/>
          <w:szCs w:val="24"/>
        </w:rPr>
        <w:t>Urgent Application</w:t>
      </w:r>
    </w:p>
    <w:p w:rsidR="00AA1865" w:rsidRDefault="00AA1865" w:rsidP="00AA1865">
      <w:pPr>
        <w:spacing w:after="0" w:line="240" w:lineRule="auto"/>
        <w:jc w:val="both"/>
        <w:rPr>
          <w:rFonts w:ascii="Times New Roman" w:hAnsi="Times New Roman" w:cs="Times New Roman"/>
          <w:i/>
          <w:sz w:val="24"/>
          <w:szCs w:val="24"/>
        </w:rPr>
      </w:pPr>
    </w:p>
    <w:p w:rsidR="00DB3F4C" w:rsidRDefault="00DB3F4C" w:rsidP="00AA1865">
      <w:pPr>
        <w:spacing w:after="0" w:line="240" w:lineRule="auto"/>
        <w:jc w:val="both"/>
        <w:rPr>
          <w:rFonts w:ascii="Times New Roman" w:hAnsi="Times New Roman" w:cs="Times New Roman"/>
          <w:sz w:val="24"/>
          <w:szCs w:val="24"/>
        </w:rPr>
      </w:pPr>
      <w:r w:rsidRPr="00B0738D">
        <w:rPr>
          <w:rFonts w:ascii="Times New Roman" w:hAnsi="Times New Roman" w:cs="Times New Roman"/>
          <w:i/>
          <w:sz w:val="24"/>
          <w:szCs w:val="24"/>
        </w:rPr>
        <w:t>A. Muchadehama</w:t>
      </w:r>
      <w:r>
        <w:rPr>
          <w:rFonts w:ascii="Times New Roman" w:hAnsi="Times New Roman" w:cs="Times New Roman"/>
          <w:sz w:val="24"/>
          <w:szCs w:val="24"/>
        </w:rPr>
        <w:t>, for applicants</w:t>
      </w:r>
    </w:p>
    <w:p w:rsidR="00DB3F4C" w:rsidRDefault="00DB3F4C" w:rsidP="00AA1865">
      <w:pPr>
        <w:spacing w:after="0" w:line="240" w:lineRule="auto"/>
        <w:jc w:val="both"/>
        <w:rPr>
          <w:rFonts w:ascii="Times New Roman" w:hAnsi="Times New Roman" w:cs="Times New Roman"/>
          <w:sz w:val="24"/>
          <w:szCs w:val="24"/>
        </w:rPr>
      </w:pPr>
      <w:r w:rsidRPr="00B0738D">
        <w:rPr>
          <w:rFonts w:ascii="Times New Roman" w:hAnsi="Times New Roman" w:cs="Times New Roman"/>
          <w:i/>
          <w:sz w:val="24"/>
          <w:szCs w:val="24"/>
        </w:rPr>
        <w:t>E. Mavuto</w:t>
      </w:r>
      <w:r>
        <w:rPr>
          <w:rFonts w:ascii="Times New Roman" w:hAnsi="Times New Roman" w:cs="Times New Roman"/>
          <w:sz w:val="24"/>
          <w:szCs w:val="24"/>
        </w:rPr>
        <w:t>, for first respondent</w:t>
      </w:r>
    </w:p>
    <w:p w:rsidR="00AA1865" w:rsidRDefault="00AA1865" w:rsidP="00AA1865">
      <w:pPr>
        <w:spacing w:after="0" w:line="240" w:lineRule="auto"/>
        <w:jc w:val="both"/>
        <w:rPr>
          <w:rFonts w:ascii="Times New Roman" w:hAnsi="Times New Roman" w:cs="Times New Roman"/>
          <w:sz w:val="24"/>
          <w:szCs w:val="24"/>
        </w:rPr>
      </w:pPr>
    </w:p>
    <w:p w:rsidR="00DB3F4C" w:rsidRDefault="00DB3F4C" w:rsidP="00AA1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The applicants are seeking a stay of criminal proceedings that are pending before the second respondent pending the determination of the application for review lodged against a dismissal of their exception to charges preferred against them.</w:t>
      </w:r>
    </w:p>
    <w:p w:rsidR="00F31391" w:rsidRDefault="00F31391" w:rsidP="00AA1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are charged with contravening</w:t>
      </w:r>
      <w:r w:rsidR="008947DC">
        <w:rPr>
          <w:rFonts w:ascii="Times New Roman" w:hAnsi="Times New Roman" w:cs="Times New Roman"/>
          <w:sz w:val="24"/>
          <w:szCs w:val="24"/>
        </w:rPr>
        <w:t xml:space="preserve"> s 174 (1) of the Criminal Law (</w:t>
      </w:r>
      <w:r>
        <w:rPr>
          <w:rFonts w:ascii="Times New Roman" w:hAnsi="Times New Roman" w:cs="Times New Roman"/>
          <w:sz w:val="24"/>
          <w:szCs w:val="24"/>
        </w:rPr>
        <w:t>Codification and Reform) Act [</w:t>
      </w:r>
      <w:r w:rsidRPr="00041620">
        <w:rPr>
          <w:rFonts w:ascii="Times New Roman" w:hAnsi="Times New Roman" w:cs="Times New Roman"/>
          <w:i/>
          <w:sz w:val="24"/>
          <w:szCs w:val="24"/>
        </w:rPr>
        <w:t>Chapter 9:23</w:t>
      </w:r>
      <w:r>
        <w:rPr>
          <w:rFonts w:ascii="Times New Roman" w:hAnsi="Times New Roman" w:cs="Times New Roman"/>
          <w:sz w:val="24"/>
          <w:szCs w:val="24"/>
        </w:rPr>
        <w:t>]. The charge reads as follows-</w:t>
      </w:r>
    </w:p>
    <w:p w:rsidR="00755B55" w:rsidRDefault="00AA1865" w:rsidP="00AA186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F31391">
        <w:rPr>
          <w:rFonts w:ascii="Times New Roman" w:hAnsi="Times New Roman" w:cs="Times New Roman"/>
          <w:sz w:val="24"/>
          <w:szCs w:val="24"/>
        </w:rPr>
        <w:t xml:space="preserve">“In that on the date to the prosecutor </w:t>
      </w:r>
      <w:r>
        <w:rPr>
          <w:rFonts w:ascii="Times New Roman" w:hAnsi="Times New Roman" w:cs="Times New Roman"/>
          <w:sz w:val="24"/>
          <w:szCs w:val="24"/>
        </w:rPr>
        <w:t>unknown</w:t>
      </w:r>
      <w:r w:rsidR="00F31391">
        <w:rPr>
          <w:rFonts w:ascii="Times New Roman" w:hAnsi="Times New Roman" w:cs="Times New Roman"/>
          <w:sz w:val="24"/>
          <w:szCs w:val="24"/>
        </w:rPr>
        <w:t xml:space="preserve"> but during the period extending from </w:t>
      </w:r>
      <w:r>
        <w:rPr>
          <w:rFonts w:ascii="Times New Roman" w:hAnsi="Times New Roman" w:cs="Times New Roman"/>
          <w:sz w:val="24"/>
          <w:szCs w:val="24"/>
        </w:rPr>
        <w:tab/>
      </w:r>
      <w:r w:rsidR="00F31391">
        <w:rPr>
          <w:rFonts w:ascii="Times New Roman" w:hAnsi="Times New Roman" w:cs="Times New Roman"/>
          <w:sz w:val="24"/>
          <w:szCs w:val="24"/>
        </w:rPr>
        <w:t xml:space="preserve">2012 to December 2017 and at Gokwe Own Council, Gokwe, both Jaison Max </w:t>
      </w:r>
      <w:r>
        <w:rPr>
          <w:rFonts w:ascii="Times New Roman" w:hAnsi="Times New Roman" w:cs="Times New Roman"/>
          <w:sz w:val="24"/>
          <w:szCs w:val="24"/>
        </w:rPr>
        <w:tab/>
      </w:r>
      <w:r w:rsidR="00F31391">
        <w:rPr>
          <w:rFonts w:ascii="Times New Roman" w:hAnsi="Times New Roman" w:cs="Times New Roman"/>
          <w:sz w:val="24"/>
          <w:szCs w:val="24"/>
        </w:rPr>
        <w:t xml:space="preserve">Kokerai Machaya and Chibururu Chisainyerwa or one or both of them, being public </w:t>
      </w:r>
      <w:r>
        <w:rPr>
          <w:rFonts w:ascii="Times New Roman" w:hAnsi="Times New Roman" w:cs="Times New Roman"/>
          <w:sz w:val="24"/>
          <w:szCs w:val="24"/>
        </w:rPr>
        <w:tab/>
      </w:r>
      <w:r w:rsidR="00F31391">
        <w:rPr>
          <w:rFonts w:ascii="Times New Roman" w:hAnsi="Times New Roman" w:cs="Times New Roman"/>
          <w:sz w:val="24"/>
          <w:szCs w:val="24"/>
        </w:rPr>
        <w:t xml:space="preserve">officers in the exercise of their functions as such intentionally acted contrary to or </w:t>
      </w:r>
      <w:r>
        <w:rPr>
          <w:rFonts w:ascii="Times New Roman" w:hAnsi="Times New Roman" w:cs="Times New Roman"/>
          <w:sz w:val="24"/>
          <w:szCs w:val="24"/>
        </w:rPr>
        <w:tab/>
      </w:r>
      <w:r w:rsidR="00F31391">
        <w:rPr>
          <w:rFonts w:ascii="Times New Roman" w:hAnsi="Times New Roman" w:cs="Times New Roman"/>
          <w:sz w:val="24"/>
          <w:szCs w:val="24"/>
        </w:rPr>
        <w:t xml:space="preserve">inconsistent with their duties as public officers or omitted to do anything which it is </w:t>
      </w:r>
      <w:r>
        <w:rPr>
          <w:rFonts w:ascii="Times New Roman" w:hAnsi="Times New Roman" w:cs="Times New Roman"/>
          <w:sz w:val="24"/>
          <w:szCs w:val="24"/>
        </w:rPr>
        <w:tab/>
      </w:r>
      <w:r w:rsidR="00F31391">
        <w:rPr>
          <w:rFonts w:ascii="Times New Roman" w:hAnsi="Times New Roman" w:cs="Times New Roman"/>
          <w:sz w:val="24"/>
          <w:szCs w:val="24"/>
        </w:rPr>
        <w:t>their duty as public officers to do, that is to say</w:t>
      </w:r>
      <w:r w:rsidR="00F31391" w:rsidRPr="00F31391">
        <w:rPr>
          <w:rFonts w:ascii="Times New Roman" w:hAnsi="Times New Roman" w:cs="Times New Roman"/>
          <w:sz w:val="24"/>
          <w:szCs w:val="24"/>
        </w:rPr>
        <w:t xml:space="preserve"> </w:t>
      </w:r>
      <w:r w:rsidR="00F31391">
        <w:rPr>
          <w:rFonts w:ascii="Times New Roman" w:hAnsi="Times New Roman" w:cs="Times New Roman"/>
          <w:sz w:val="24"/>
          <w:szCs w:val="24"/>
        </w:rPr>
        <w:t xml:space="preserve">Jaison Max Kokerai Machaya and </w:t>
      </w:r>
      <w:r>
        <w:rPr>
          <w:rFonts w:ascii="Times New Roman" w:hAnsi="Times New Roman" w:cs="Times New Roman"/>
          <w:sz w:val="24"/>
          <w:szCs w:val="24"/>
        </w:rPr>
        <w:tab/>
      </w:r>
      <w:r w:rsidR="00F31391">
        <w:rPr>
          <w:rFonts w:ascii="Times New Roman" w:hAnsi="Times New Roman" w:cs="Times New Roman"/>
          <w:sz w:val="24"/>
          <w:szCs w:val="24"/>
        </w:rPr>
        <w:t xml:space="preserve">Chibururu Chisainyerwa unlawfully took 1000 stands that had been allocated to the </w:t>
      </w:r>
      <w:r>
        <w:rPr>
          <w:rFonts w:ascii="Times New Roman" w:hAnsi="Times New Roman" w:cs="Times New Roman"/>
          <w:sz w:val="24"/>
          <w:szCs w:val="24"/>
        </w:rPr>
        <w:tab/>
      </w:r>
      <w:r w:rsidR="00F31391">
        <w:rPr>
          <w:rFonts w:ascii="Times New Roman" w:hAnsi="Times New Roman" w:cs="Times New Roman"/>
          <w:sz w:val="24"/>
          <w:szCs w:val="24"/>
        </w:rPr>
        <w:t xml:space="preserve">Ministry of Local Government, Rural and Urban Development as commonage by the </w:t>
      </w:r>
      <w:r>
        <w:rPr>
          <w:rFonts w:ascii="Times New Roman" w:hAnsi="Times New Roman" w:cs="Times New Roman"/>
          <w:sz w:val="24"/>
          <w:szCs w:val="24"/>
        </w:rPr>
        <w:tab/>
      </w:r>
      <w:r w:rsidR="00F31391">
        <w:rPr>
          <w:rFonts w:ascii="Times New Roman" w:hAnsi="Times New Roman" w:cs="Times New Roman"/>
          <w:sz w:val="24"/>
          <w:szCs w:val="24"/>
        </w:rPr>
        <w:t>Gokwe Town Council and for the pu</w:t>
      </w:r>
      <w:r w:rsidR="009E1A45">
        <w:rPr>
          <w:rFonts w:ascii="Times New Roman" w:hAnsi="Times New Roman" w:cs="Times New Roman"/>
          <w:sz w:val="24"/>
          <w:szCs w:val="24"/>
        </w:rPr>
        <w:t>rposes of showing favour to Stri</w:t>
      </w:r>
      <w:r w:rsidR="00F31391">
        <w:rPr>
          <w:rFonts w:ascii="Times New Roman" w:hAnsi="Times New Roman" w:cs="Times New Roman"/>
          <w:sz w:val="24"/>
          <w:szCs w:val="24"/>
        </w:rPr>
        <w:t xml:space="preserve">ations World </w:t>
      </w:r>
      <w:r>
        <w:rPr>
          <w:rFonts w:ascii="Times New Roman" w:hAnsi="Times New Roman" w:cs="Times New Roman"/>
          <w:sz w:val="24"/>
          <w:szCs w:val="24"/>
        </w:rPr>
        <w:tab/>
      </w:r>
      <w:r w:rsidR="00F31391">
        <w:rPr>
          <w:rFonts w:ascii="Times New Roman" w:hAnsi="Times New Roman" w:cs="Times New Roman"/>
          <w:sz w:val="24"/>
          <w:szCs w:val="24"/>
        </w:rPr>
        <w:t xml:space="preserve">Marketing (Private) Limited </w:t>
      </w:r>
      <w:r w:rsidR="009E1A45">
        <w:rPr>
          <w:rFonts w:ascii="Times New Roman" w:hAnsi="Times New Roman" w:cs="Times New Roman"/>
          <w:sz w:val="24"/>
          <w:szCs w:val="24"/>
        </w:rPr>
        <w:t xml:space="preserve">Company diverted and offered the said stands to </w:t>
      </w:r>
      <w:r>
        <w:rPr>
          <w:rFonts w:ascii="Times New Roman" w:hAnsi="Times New Roman" w:cs="Times New Roman"/>
          <w:sz w:val="24"/>
          <w:szCs w:val="24"/>
        </w:rPr>
        <w:tab/>
      </w:r>
      <w:r w:rsidR="00755B55">
        <w:rPr>
          <w:rFonts w:ascii="Times New Roman" w:hAnsi="Times New Roman" w:cs="Times New Roman"/>
          <w:sz w:val="24"/>
          <w:szCs w:val="24"/>
        </w:rPr>
        <w:t xml:space="preserve">Striations World Marketing (Private) Limited Company and later sold the stands to </w:t>
      </w:r>
      <w:r>
        <w:rPr>
          <w:rFonts w:ascii="Times New Roman" w:hAnsi="Times New Roman" w:cs="Times New Roman"/>
          <w:sz w:val="24"/>
          <w:szCs w:val="24"/>
        </w:rPr>
        <w:tab/>
      </w:r>
      <w:r w:rsidR="00755B55">
        <w:rPr>
          <w:rFonts w:ascii="Times New Roman" w:hAnsi="Times New Roman" w:cs="Times New Roman"/>
          <w:sz w:val="24"/>
          <w:szCs w:val="24"/>
        </w:rPr>
        <w:t>members of the public.”</w:t>
      </w:r>
    </w:p>
    <w:p w:rsidR="007B7C34" w:rsidRDefault="00755B55" w:rsidP="00AA1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could have been drafted with more precision. According to the outline of state case the first applicant was appointed Governor and Resident Minister for Midlands Province in August 2008. The second applicant has been </w:t>
      </w:r>
      <w:r w:rsidR="009F1283">
        <w:rPr>
          <w:rFonts w:ascii="Times New Roman" w:hAnsi="Times New Roman" w:cs="Times New Roman"/>
          <w:sz w:val="24"/>
          <w:szCs w:val="24"/>
        </w:rPr>
        <w:t xml:space="preserve">the Midlands Provincial Planning Officer since 2005. Under the auspices of the </w:t>
      </w:r>
      <w:r w:rsidR="007B7C34">
        <w:rPr>
          <w:rFonts w:ascii="Times New Roman" w:hAnsi="Times New Roman" w:cs="Times New Roman"/>
          <w:sz w:val="24"/>
          <w:szCs w:val="24"/>
        </w:rPr>
        <w:t>National</w:t>
      </w:r>
      <w:r w:rsidR="009F1283">
        <w:rPr>
          <w:rFonts w:ascii="Times New Roman" w:hAnsi="Times New Roman" w:cs="Times New Roman"/>
          <w:sz w:val="24"/>
          <w:szCs w:val="24"/>
        </w:rPr>
        <w:t xml:space="preserve"> Housing Deliver</w:t>
      </w:r>
      <w:r w:rsidR="007B7C34">
        <w:rPr>
          <w:rFonts w:ascii="Times New Roman" w:hAnsi="Times New Roman" w:cs="Times New Roman"/>
          <w:sz w:val="24"/>
          <w:szCs w:val="24"/>
        </w:rPr>
        <w:t xml:space="preserve">y Programme the </w:t>
      </w:r>
      <w:r w:rsidR="007B7C34">
        <w:rPr>
          <w:rFonts w:ascii="Times New Roman" w:hAnsi="Times New Roman" w:cs="Times New Roman"/>
          <w:sz w:val="24"/>
          <w:szCs w:val="24"/>
        </w:rPr>
        <w:lastRenderedPageBreak/>
        <w:t>applicants convened an informal meeting with Gokwe Town Council executives and requested for residential land for allocation to civil servants. Gokwe Town Council had no vacant land.</w:t>
      </w:r>
    </w:p>
    <w:p w:rsidR="007B7C34" w:rsidRDefault="007B7C34" w:rsidP="00AA1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applicant prepared a layout plan for Mapfungautsi Extension. On 3</w:t>
      </w:r>
      <w:r w:rsidRPr="007B7C34">
        <w:rPr>
          <w:rFonts w:ascii="Times New Roman" w:hAnsi="Times New Roman" w:cs="Times New Roman"/>
          <w:sz w:val="24"/>
          <w:szCs w:val="24"/>
          <w:vertAlign w:val="superscript"/>
        </w:rPr>
        <w:t>rd</w:t>
      </w:r>
      <w:r>
        <w:rPr>
          <w:rFonts w:ascii="Times New Roman" w:hAnsi="Times New Roman" w:cs="Times New Roman"/>
          <w:sz w:val="24"/>
          <w:szCs w:val="24"/>
        </w:rPr>
        <w:t xml:space="preserve"> October 2012 the second applicant submitted the layout plan to Gokwe Town council for adoption prior to Ministerial approval.</w:t>
      </w:r>
    </w:p>
    <w:p w:rsidR="00603AAF" w:rsidRDefault="007B7C34" w:rsidP="00AA1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applicants caused the layout plan to be submitted to the Department of Physical Planning before it was adopted by Gokwe Town Council. This was approved, with the second applicant being instructed to advise Gokwe Town Council. Nonetheless the second applicant did not advise Gokwe Town Council since the layout plan had not yet been adopted.</w:t>
      </w:r>
      <w:r w:rsidR="00603AAF">
        <w:rPr>
          <w:rFonts w:ascii="Times New Roman" w:hAnsi="Times New Roman" w:cs="Times New Roman"/>
          <w:sz w:val="24"/>
          <w:szCs w:val="24"/>
        </w:rPr>
        <w:t xml:space="preserve"> The applicants exerted pressure on Gokwe Town council which eventually adopted the plan on 17 May 2013.</w:t>
      </w:r>
    </w:p>
    <w:p w:rsidR="003D1391" w:rsidRDefault="00603AAF" w:rsidP="00AA1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adoption the second applicant submitted the approved plan to Gokwe Town Council. Thereafter the applicants demanded the surrender of 1000 stands out of 3360 in Mapfungautsi Extension from Gokwe Town Council. On 27 May 2013 Gokwe Town Council offered land to the Ministry of Local Government through the Midlands Provincial Planning Department.</w:t>
      </w:r>
      <w:r w:rsidR="00EC53E6">
        <w:rPr>
          <w:rFonts w:ascii="Times New Roman" w:hAnsi="Times New Roman" w:cs="Times New Roman"/>
          <w:sz w:val="24"/>
          <w:szCs w:val="24"/>
        </w:rPr>
        <w:t xml:space="preserve"> The 1 000 stands constituted commonage land. The allocation was supposed to be brought to the attention of the Department of State Lands. The applicants then allocated the stands to</w:t>
      </w:r>
      <w:r w:rsidR="00EC53E6" w:rsidRPr="00EC53E6">
        <w:rPr>
          <w:rFonts w:ascii="Times New Roman" w:hAnsi="Times New Roman" w:cs="Times New Roman"/>
          <w:sz w:val="24"/>
          <w:szCs w:val="24"/>
        </w:rPr>
        <w:t xml:space="preserve"> </w:t>
      </w:r>
      <w:r w:rsidR="00EC53E6">
        <w:rPr>
          <w:rFonts w:ascii="Times New Roman" w:hAnsi="Times New Roman" w:cs="Times New Roman"/>
          <w:sz w:val="24"/>
          <w:szCs w:val="24"/>
        </w:rPr>
        <w:t>Striations World Marketing (Private) Limited Company.</w:t>
      </w:r>
    </w:p>
    <w:p w:rsidR="003247A9" w:rsidRDefault="003D1391" w:rsidP="00AA1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 July 2013 the first applicant wrote to the Department of State Lands requesting for survey instructions. The letter specified that the land to be surveyed was for Mapfungautsi Extension Phase 1. The first applicant also specified that Gokwe Town</w:t>
      </w:r>
      <w:r w:rsidR="00A00645">
        <w:rPr>
          <w:rFonts w:ascii="Times New Roman" w:hAnsi="Times New Roman" w:cs="Times New Roman"/>
          <w:sz w:val="24"/>
          <w:szCs w:val="24"/>
        </w:rPr>
        <w:t xml:space="preserve"> Council had offered 100 stands to the Ministry of Local Government. The Ministry of Local Government, Rural and Urban Development gave instructions for the survey of the 1 000 stands. Thereafter</w:t>
      </w:r>
      <w:r w:rsidR="00A00645" w:rsidRPr="00A00645">
        <w:rPr>
          <w:rFonts w:ascii="Times New Roman" w:hAnsi="Times New Roman" w:cs="Times New Roman"/>
          <w:sz w:val="24"/>
          <w:szCs w:val="24"/>
        </w:rPr>
        <w:t xml:space="preserve"> </w:t>
      </w:r>
      <w:r w:rsidR="00A00645">
        <w:rPr>
          <w:rFonts w:ascii="Times New Roman" w:hAnsi="Times New Roman" w:cs="Times New Roman"/>
          <w:sz w:val="24"/>
          <w:szCs w:val="24"/>
        </w:rPr>
        <w:t xml:space="preserve">Striations World Marketing (Private) Limited Company developed the stands which were then sold to the public at a cost of $3 900.00 each. In order </w:t>
      </w:r>
      <w:r w:rsidR="009E21F2">
        <w:rPr>
          <w:rFonts w:ascii="Times New Roman" w:hAnsi="Times New Roman" w:cs="Times New Roman"/>
          <w:sz w:val="24"/>
          <w:szCs w:val="24"/>
        </w:rPr>
        <w:t xml:space="preserve">not </w:t>
      </w:r>
      <w:r w:rsidR="00A00645">
        <w:rPr>
          <w:rFonts w:ascii="Times New Roman" w:hAnsi="Times New Roman" w:cs="Times New Roman"/>
          <w:sz w:val="24"/>
          <w:szCs w:val="24"/>
        </w:rPr>
        <w:t>to raise suspicion surveying costs were said to be borne by</w:t>
      </w:r>
      <w:r w:rsidR="00A00645" w:rsidRPr="00A00645">
        <w:rPr>
          <w:rFonts w:ascii="Times New Roman" w:hAnsi="Times New Roman" w:cs="Times New Roman"/>
          <w:sz w:val="24"/>
          <w:szCs w:val="24"/>
        </w:rPr>
        <w:t xml:space="preserve"> </w:t>
      </w:r>
      <w:r w:rsidR="00A00645">
        <w:rPr>
          <w:rFonts w:ascii="Times New Roman" w:hAnsi="Times New Roman" w:cs="Times New Roman"/>
          <w:sz w:val="24"/>
          <w:szCs w:val="24"/>
        </w:rPr>
        <w:t>Striations World Marketing (Private) Limited Company.</w:t>
      </w:r>
      <w:r w:rsidR="001A586D">
        <w:rPr>
          <w:rFonts w:ascii="Times New Roman" w:hAnsi="Times New Roman" w:cs="Times New Roman"/>
          <w:sz w:val="24"/>
          <w:szCs w:val="24"/>
        </w:rPr>
        <w:t xml:space="preserve"> Again, in a bid to sanitise the </w:t>
      </w:r>
      <w:r w:rsidR="003247A9">
        <w:rPr>
          <w:rFonts w:ascii="Times New Roman" w:hAnsi="Times New Roman" w:cs="Times New Roman"/>
          <w:sz w:val="24"/>
          <w:szCs w:val="24"/>
        </w:rPr>
        <w:t>scandal, fake minutes were generated which purported that the Midlands Housing Delivery Programme Committee had offered Striations World Marketing (Private) Limited Company 1000 stands in Mapfungautsi Extension.</w:t>
      </w:r>
    </w:p>
    <w:p w:rsidR="00430DDD" w:rsidRDefault="003247A9" w:rsidP="00AA1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their arraignment the applicants pleaded and excepted to the charge in terms of s 171 (2) of the Criminal Procedure and Evidence Act [</w:t>
      </w:r>
      <w:r w:rsidRPr="00041620">
        <w:rPr>
          <w:rFonts w:ascii="Times New Roman" w:hAnsi="Times New Roman" w:cs="Times New Roman"/>
          <w:i/>
          <w:sz w:val="24"/>
          <w:szCs w:val="24"/>
        </w:rPr>
        <w:t>Chapter 9:07</w:t>
      </w:r>
      <w:r>
        <w:rPr>
          <w:rFonts w:ascii="Times New Roman" w:hAnsi="Times New Roman" w:cs="Times New Roman"/>
          <w:sz w:val="24"/>
          <w:szCs w:val="24"/>
        </w:rPr>
        <w:t xml:space="preserve">]. It was contended that the charge and outline of the case did not disclose an offence. The main contention, even in the </w:t>
      </w:r>
      <w:r>
        <w:rPr>
          <w:rFonts w:ascii="Times New Roman" w:hAnsi="Times New Roman" w:cs="Times New Roman"/>
          <w:sz w:val="24"/>
          <w:szCs w:val="24"/>
        </w:rPr>
        <w:lastRenderedPageBreak/>
        <w:t>present application centred on what constitutes commonage. Reliance was placed on the Manual for Management of Urban Land.</w:t>
      </w:r>
    </w:p>
    <w:p w:rsidR="005A1C5E" w:rsidRDefault="00430DDD" w:rsidP="00AA1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reasoning the trial court noted that in terms of s 180 (1) of the Criminal Procedure and Evidence Act a charge can be excepted to on the basis that it does not disclose an offence. Reference was also made to s 146 which outlines the requirements of a charge.</w:t>
      </w:r>
      <w:r w:rsidR="0013503E">
        <w:rPr>
          <w:rFonts w:ascii="Times New Roman" w:hAnsi="Times New Roman" w:cs="Times New Roman"/>
          <w:sz w:val="24"/>
          <w:szCs w:val="24"/>
        </w:rPr>
        <w:t xml:space="preserve"> The court a quo also distinguished between allegations and truth which is b</w:t>
      </w:r>
      <w:r w:rsidR="00AA1865">
        <w:rPr>
          <w:rFonts w:ascii="Times New Roman" w:hAnsi="Times New Roman" w:cs="Times New Roman"/>
          <w:sz w:val="24"/>
          <w:szCs w:val="24"/>
        </w:rPr>
        <w:t>ased on evidence. It noted that</w:t>
      </w:r>
      <w:r w:rsidR="0013503E">
        <w:rPr>
          <w:rFonts w:ascii="Times New Roman" w:hAnsi="Times New Roman" w:cs="Times New Roman"/>
          <w:sz w:val="24"/>
          <w:szCs w:val="24"/>
        </w:rPr>
        <w:t xml:space="preserve"> what constitutes commonage land remained disputed and was therefore a triable issue.</w:t>
      </w:r>
      <w:r w:rsidR="00B73CAA">
        <w:rPr>
          <w:rFonts w:ascii="Times New Roman" w:hAnsi="Times New Roman" w:cs="Times New Roman"/>
          <w:sz w:val="24"/>
          <w:szCs w:val="24"/>
        </w:rPr>
        <w:t xml:space="preserve"> It concluded that there is nothing vague or embarrassing about the charge.</w:t>
      </w:r>
    </w:p>
    <w:p w:rsidR="005A1C5E" w:rsidRDefault="005A1C5E" w:rsidP="00AA1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submissions Mr </w:t>
      </w:r>
      <w:r w:rsidRPr="00041620">
        <w:rPr>
          <w:rFonts w:ascii="Times New Roman" w:hAnsi="Times New Roman" w:cs="Times New Roman"/>
          <w:i/>
          <w:sz w:val="24"/>
          <w:szCs w:val="24"/>
        </w:rPr>
        <w:t>Muchadehama</w:t>
      </w:r>
      <w:r>
        <w:rPr>
          <w:rFonts w:ascii="Times New Roman" w:hAnsi="Times New Roman" w:cs="Times New Roman"/>
          <w:sz w:val="24"/>
          <w:szCs w:val="24"/>
        </w:rPr>
        <w:t xml:space="preserve"> stressed that what constitutes commonage is ten per cent of the available land as at the time of transfer. If 3336 stands are involved, then ten per cent of that would be 336. Since no transfer of land has taken place, then there is no triable issue. He also emphasised that the land in issue is state land and not commonage.</w:t>
      </w:r>
      <w:r w:rsidR="009E21F2">
        <w:rPr>
          <w:rFonts w:ascii="Times New Roman" w:hAnsi="Times New Roman" w:cs="Times New Roman"/>
          <w:sz w:val="24"/>
          <w:szCs w:val="24"/>
        </w:rPr>
        <w:t xml:space="preserve"> Even if this is state land the question that arises is whether the applicants had authority to deal with it in the manner they did.</w:t>
      </w:r>
    </w:p>
    <w:p w:rsidR="00B853BC" w:rsidRDefault="005A1C5E" w:rsidP="00FF61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041620">
        <w:rPr>
          <w:rFonts w:ascii="Times New Roman" w:hAnsi="Times New Roman" w:cs="Times New Roman"/>
          <w:i/>
          <w:sz w:val="24"/>
          <w:szCs w:val="24"/>
        </w:rPr>
        <w:t>Mavuto</w:t>
      </w:r>
      <w:r>
        <w:rPr>
          <w:rFonts w:ascii="Times New Roman" w:hAnsi="Times New Roman" w:cs="Times New Roman"/>
          <w:sz w:val="24"/>
          <w:szCs w:val="24"/>
        </w:rPr>
        <w:t xml:space="preserve"> submitted that courts rarely interfere with uncompleted proceedings such as the present matter. He was of the view that the intended review has no prospects of success.</w:t>
      </w:r>
      <w:r w:rsidR="008E0E0B">
        <w:rPr>
          <w:rFonts w:ascii="Times New Roman" w:hAnsi="Times New Roman" w:cs="Times New Roman"/>
          <w:sz w:val="24"/>
          <w:szCs w:val="24"/>
        </w:rPr>
        <w:t xml:space="preserve"> He further submitted that an exception relates to a defect in a charge. Thus the charge preferred against the applicants is not defective. He also submitted that he did not come across where the applicants claimed to have been prejudiced in their defence.</w:t>
      </w:r>
    </w:p>
    <w:p w:rsidR="00B853BC" w:rsidRPr="00FF61A4" w:rsidRDefault="00B853BC" w:rsidP="00FF61A4">
      <w:pPr>
        <w:spacing w:after="0" w:line="240" w:lineRule="auto"/>
        <w:ind w:firstLine="720"/>
        <w:jc w:val="both"/>
        <w:rPr>
          <w:rFonts w:ascii="Times New Roman" w:hAnsi="Times New Roman" w:cs="Times New Roman"/>
          <w:sz w:val="24"/>
          <w:szCs w:val="24"/>
        </w:rPr>
      </w:pPr>
      <w:r w:rsidRPr="00FF61A4">
        <w:rPr>
          <w:rFonts w:ascii="Times New Roman" w:hAnsi="Times New Roman" w:cs="Times New Roman"/>
          <w:sz w:val="24"/>
          <w:szCs w:val="24"/>
        </w:rPr>
        <w:t>Section 170 of the Criminal Procedure and Evidence Act provides that-</w:t>
      </w:r>
    </w:p>
    <w:p w:rsidR="00B853BC" w:rsidRPr="009E21F2" w:rsidRDefault="00FF61A4" w:rsidP="00FF61A4">
      <w:pPr>
        <w:autoSpaceDE w:val="0"/>
        <w:autoSpaceDN w:val="0"/>
        <w:adjustRightInd w:val="0"/>
        <w:spacing w:after="0" w:line="240" w:lineRule="auto"/>
        <w:jc w:val="both"/>
        <w:rPr>
          <w:rFonts w:ascii="Times New Roman" w:hAnsi="Times New Roman" w:cs="Times New Roman"/>
          <w:sz w:val="20"/>
          <w:szCs w:val="20"/>
        </w:rPr>
      </w:pPr>
      <w:r w:rsidRPr="00FF61A4">
        <w:rPr>
          <w:rFonts w:ascii="Times New Roman" w:hAnsi="Times New Roman" w:cs="Times New Roman"/>
          <w:sz w:val="24"/>
          <w:szCs w:val="24"/>
        </w:rPr>
        <w:tab/>
      </w:r>
      <w:r w:rsidR="00B853BC" w:rsidRPr="009E21F2">
        <w:rPr>
          <w:rFonts w:ascii="Times New Roman" w:hAnsi="Times New Roman" w:cs="Times New Roman"/>
          <w:sz w:val="20"/>
          <w:szCs w:val="20"/>
        </w:rPr>
        <w:t xml:space="preserve">“(1) Any objection to an indictment for any formal defect apparent on the face thereof </w:t>
      </w:r>
      <w:r w:rsidRPr="009E21F2">
        <w:rPr>
          <w:rFonts w:ascii="Times New Roman" w:hAnsi="Times New Roman" w:cs="Times New Roman"/>
          <w:sz w:val="20"/>
          <w:szCs w:val="20"/>
        </w:rPr>
        <w:tab/>
      </w:r>
      <w:r w:rsidR="00B853BC" w:rsidRPr="009E21F2">
        <w:rPr>
          <w:rFonts w:ascii="Times New Roman" w:hAnsi="Times New Roman" w:cs="Times New Roman"/>
          <w:sz w:val="20"/>
          <w:szCs w:val="20"/>
        </w:rPr>
        <w:t xml:space="preserve">shall be taken </w:t>
      </w:r>
      <w:r w:rsidR="009E21F2">
        <w:rPr>
          <w:rFonts w:ascii="Times New Roman" w:hAnsi="Times New Roman" w:cs="Times New Roman"/>
          <w:sz w:val="20"/>
          <w:szCs w:val="20"/>
        </w:rPr>
        <w:tab/>
      </w:r>
      <w:r w:rsidR="00B853BC" w:rsidRPr="009E21F2">
        <w:rPr>
          <w:rFonts w:ascii="Times New Roman" w:hAnsi="Times New Roman" w:cs="Times New Roman"/>
          <w:sz w:val="20"/>
          <w:szCs w:val="20"/>
        </w:rPr>
        <w:t xml:space="preserve">by exception or by application to quash such indictment before the accused has pleaded, but not </w:t>
      </w:r>
      <w:r w:rsidRPr="009E21F2">
        <w:rPr>
          <w:rFonts w:ascii="Times New Roman" w:hAnsi="Times New Roman" w:cs="Times New Roman"/>
          <w:sz w:val="20"/>
          <w:szCs w:val="20"/>
        </w:rPr>
        <w:tab/>
      </w:r>
      <w:r w:rsidR="00B853BC" w:rsidRPr="009E21F2">
        <w:rPr>
          <w:rFonts w:ascii="Times New Roman" w:hAnsi="Times New Roman" w:cs="Times New Roman"/>
          <w:sz w:val="20"/>
          <w:szCs w:val="20"/>
        </w:rPr>
        <w:t>afterwards.</w:t>
      </w:r>
    </w:p>
    <w:p w:rsidR="00B853BC" w:rsidRPr="009E21F2" w:rsidRDefault="00FF61A4" w:rsidP="00FF61A4">
      <w:pPr>
        <w:autoSpaceDE w:val="0"/>
        <w:autoSpaceDN w:val="0"/>
        <w:adjustRightInd w:val="0"/>
        <w:spacing w:after="0" w:line="240" w:lineRule="auto"/>
        <w:jc w:val="both"/>
        <w:rPr>
          <w:rFonts w:ascii="Times New Roman" w:hAnsi="Times New Roman" w:cs="Times New Roman"/>
          <w:sz w:val="20"/>
          <w:szCs w:val="20"/>
        </w:rPr>
      </w:pPr>
      <w:r w:rsidRPr="009E21F2">
        <w:rPr>
          <w:rFonts w:ascii="Times New Roman" w:hAnsi="Times New Roman" w:cs="Times New Roman"/>
          <w:sz w:val="20"/>
          <w:szCs w:val="20"/>
        </w:rPr>
        <w:tab/>
      </w:r>
      <w:r w:rsidR="00B853BC" w:rsidRPr="009E21F2">
        <w:rPr>
          <w:rFonts w:ascii="Times New Roman" w:hAnsi="Times New Roman" w:cs="Times New Roman"/>
          <w:sz w:val="20"/>
          <w:szCs w:val="20"/>
        </w:rPr>
        <w:t xml:space="preserve">(2) Any objection to a summons or charge for any formal defect apparent on the face thereof which is </w:t>
      </w:r>
      <w:r w:rsidR="009E21F2">
        <w:rPr>
          <w:rFonts w:ascii="Times New Roman" w:hAnsi="Times New Roman" w:cs="Times New Roman"/>
          <w:sz w:val="20"/>
          <w:szCs w:val="20"/>
        </w:rPr>
        <w:tab/>
      </w:r>
      <w:r w:rsidR="00B853BC" w:rsidRPr="009E21F2">
        <w:rPr>
          <w:rFonts w:ascii="Times New Roman" w:hAnsi="Times New Roman" w:cs="Times New Roman"/>
          <w:sz w:val="20"/>
          <w:szCs w:val="20"/>
        </w:rPr>
        <w:t>to be</w:t>
      </w:r>
      <w:r w:rsidRPr="009E21F2">
        <w:rPr>
          <w:rFonts w:ascii="Times New Roman" w:hAnsi="Times New Roman" w:cs="Times New Roman"/>
          <w:sz w:val="20"/>
          <w:szCs w:val="20"/>
        </w:rPr>
        <w:t xml:space="preserve"> </w:t>
      </w:r>
      <w:r w:rsidR="00B853BC" w:rsidRPr="009E21F2">
        <w:rPr>
          <w:rFonts w:ascii="Times New Roman" w:hAnsi="Times New Roman" w:cs="Times New Roman"/>
          <w:sz w:val="20"/>
          <w:szCs w:val="20"/>
        </w:rPr>
        <w:t xml:space="preserve">tried by a magistrates court shall be taken by exception before the accused has pleaded, but </w:t>
      </w:r>
      <w:r w:rsidR="009E21F2">
        <w:rPr>
          <w:rFonts w:ascii="Times New Roman" w:hAnsi="Times New Roman" w:cs="Times New Roman"/>
          <w:sz w:val="20"/>
          <w:szCs w:val="20"/>
        </w:rPr>
        <w:tab/>
      </w:r>
      <w:r w:rsidR="00B853BC" w:rsidRPr="009E21F2">
        <w:rPr>
          <w:rFonts w:ascii="Times New Roman" w:hAnsi="Times New Roman" w:cs="Times New Roman"/>
          <w:sz w:val="20"/>
          <w:szCs w:val="20"/>
        </w:rPr>
        <w:t xml:space="preserve">not </w:t>
      </w:r>
      <w:r w:rsidR="009E21F2">
        <w:rPr>
          <w:rFonts w:ascii="Times New Roman" w:hAnsi="Times New Roman" w:cs="Times New Roman"/>
          <w:sz w:val="20"/>
          <w:szCs w:val="20"/>
        </w:rPr>
        <w:tab/>
      </w:r>
      <w:r w:rsidR="00B853BC" w:rsidRPr="009E21F2">
        <w:rPr>
          <w:rFonts w:ascii="Times New Roman" w:hAnsi="Times New Roman" w:cs="Times New Roman"/>
          <w:sz w:val="20"/>
          <w:szCs w:val="20"/>
        </w:rPr>
        <w:t>afterwards.</w:t>
      </w:r>
    </w:p>
    <w:p w:rsidR="00B853BC" w:rsidRPr="009E21F2" w:rsidRDefault="00FF61A4" w:rsidP="00FF61A4">
      <w:pPr>
        <w:autoSpaceDE w:val="0"/>
        <w:autoSpaceDN w:val="0"/>
        <w:adjustRightInd w:val="0"/>
        <w:spacing w:after="0" w:line="240" w:lineRule="auto"/>
        <w:jc w:val="both"/>
        <w:rPr>
          <w:rFonts w:ascii="Times New Roman" w:hAnsi="Times New Roman" w:cs="Times New Roman"/>
          <w:sz w:val="20"/>
          <w:szCs w:val="20"/>
        </w:rPr>
      </w:pPr>
      <w:r w:rsidRPr="009E21F2">
        <w:rPr>
          <w:rFonts w:ascii="Times New Roman" w:hAnsi="Times New Roman" w:cs="Times New Roman"/>
          <w:sz w:val="20"/>
          <w:szCs w:val="20"/>
        </w:rPr>
        <w:tab/>
      </w:r>
      <w:r w:rsidR="00B853BC" w:rsidRPr="009E21F2">
        <w:rPr>
          <w:rFonts w:ascii="Times New Roman" w:hAnsi="Times New Roman" w:cs="Times New Roman"/>
          <w:sz w:val="20"/>
          <w:szCs w:val="20"/>
        </w:rPr>
        <w:t xml:space="preserve">(3) Any court before which any objection is taken in terms of subsection (1) or (2) may, if it is thought </w:t>
      </w:r>
      <w:r w:rsidRPr="009E21F2">
        <w:rPr>
          <w:rFonts w:ascii="Times New Roman" w:hAnsi="Times New Roman" w:cs="Times New Roman"/>
          <w:sz w:val="20"/>
          <w:szCs w:val="20"/>
        </w:rPr>
        <w:tab/>
      </w:r>
      <w:r w:rsidR="00B853BC" w:rsidRPr="009E21F2">
        <w:rPr>
          <w:rFonts w:ascii="Times New Roman" w:hAnsi="Times New Roman" w:cs="Times New Roman"/>
          <w:sz w:val="20"/>
          <w:szCs w:val="20"/>
        </w:rPr>
        <w:t xml:space="preserve">necessary and the accused is not prejudiced as to his defence, </w:t>
      </w:r>
      <w:r w:rsidRPr="009E21F2">
        <w:rPr>
          <w:rFonts w:ascii="Times New Roman" w:hAnsi="Times New Roman" w:cs="Times New Roman"/>
          <w:sz w:val="20"/>
          <w:szCs w:val="20"/>
        </w:rPr>
        <w:tab/>
      </w:r>
      <w:r w:rsidR="00B853BC" w:rsidRPr="009E21F2">
        <w:rPr>
          <w:rFonts w:ascii="Times New Roman" w:hAnsi="Times New Roman" w:cs="Times New Roman"/>
          <w:sz w:val="20"/>
          <w:szCs w:val="20"/>
        </w:rPr>
        <w:t xml:space="preserve">cause the indictment, summons or </w:t>
      </w:r>
      <w:r w:rsidR="009E21F2">
        <w:rPr>
          <w:rFonts w:ascii="Times New Roman" w:hAnsi="Times New Roman" w:cs="Times New Roman"/>
          <w:sz w:val="20"/>
          <w:szCs w:val="20"/>
        </w:rPr>
        <w:tab/>
      </w:r>
      <w:r w:rsidR="00B853BC" w:rsidRPr="009E21F2">
        <w:rPr>
          <w:rFonts w:ascii="Times New Roman" w:hAnsi="Times New Roman" w:cs="Times New Roman"/>
          <w:sz w:val="20"/>
          <w:szCs w:val="20"/>
        </w:rPr>
        <w:t xml:space="preserve">charge to be forthwith amended in the requisite particular by some officer of the court or other person, </w:t>
      </w:r>
      <w:r w:rsidR="009E21F2">
        <w:rPr>
          <w:rFonts w:ascii="Times New Roman" w:hAnsi="Times New Roman" w:cs="Times New Roman"/>
          <w:sz w:val="20"/>
          <w:szCs w:val="20"/>
        </w:rPr>
        <w:tab/>
      </w:r>
      <w:r w:rsidR="00B853BC" w:rsidRPr="009E21F2">
        <w:rPr>
          <w:rFonts w:ascii="Times New Roman" w:hAnsi="Times New Roman" w:cs="Times New Roman"/>
          <w:sz w:val="20"/>
          <w:szCs w:val="20"/>
        </w:rPr>
        <w:t>and thereupon the trial shall proceed as if no such defect had appeared.”</w:t>
      </w:r>
      <w:r w:rsidR="00A00645" w:rsidRPr="009E21F2">
        <w:rPr>
          <w:rFonts w:ascii="Times New Roman" w:hAnsi="Times New Roman" w:cs="Times New Roman"/>
          <w:sz w:val="20"/>
          <w:szCs w:val="20"/>
        </w:rPr>
        <w:t xml:space="preserve"> </w:t>
      </w:r>
      <w:r w:rsidR="00EC53E6" w:rsidRPr="009E21F2">
        <w:rPr>
          <w:rFonts w:ascii="Times New Roman" w:hAnsi="Times New Roman" w:cs="Times New Roman"/>
          <w:sz w:val="20"/>
          <w:szCs w:val="20"/>
        </w:rPr>
        <w:t xml:space="preserve"> </w:t>
      </w:r>
      <w:r w:rsidR="00603AAF" w:rsidRPr="009E21F2">
        <w:rPr>
          <w:rFonts w:ascii="Times New Roman" w:hAnsi="Times New Roman" w:cs="Times New Roman"/>
          <w:sz w:val="20"/>
          <w:szCs w:val="20"/>
        </w:rPr>
        <w:t xml:space="preserve"> </w:t>
      </w:r>
      <w:r w:rsidR="00F31391" w:rsidRPr="009E21F2">
        <w:rPr>
          <w:rFonts w:ascii="Times New Roman" w:hAnsi="Times New Roman" w:cs="Times New Roman"/>
          <w:sz w:val="20"/>
          <w:szCs w:val="20"/>
        </w:rPr>
        <w:t xml:space="preserve"> </w:t>
      </w:r>
    </w:p>
    <w:p w:rsidR="00FF61A4" w:rsidRPr="009E21F2" w:rsidRDefault="00FF61A4" w:rsidP="00B0738D">
      <w:pPr>
        <w:spacing w:line="360" w:lineRule="auto"/>
        <w:jc w:val="both"/>
        <w:rPr>
          <w:rFonts w:ascii="Times New Roman" w:hAnsi="Times New Roman" w:cs="Times New Roman"/>
          <w:sz w:val="20"/>
          <w:szCs w:val="20"/>
        </w:rPr>
      </w:pPr>
    </w:p>
    <w:p w:rsidR="00041620" w:rsidRDefault="00FF61A4" w:rsidP="00EE6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53BC" w:rsidRPr="00B853BC">
        <w:rPr>
          <w:rFonts w:ascii="Times New Roman" w:hAnsi="Times New Roman" w:cs="Times New Roman"/>
          <w:sz w:val="24"/>
          <w:szCs w:val="24"/>
        </w:rPr>
        <w:t xml:space="preserve">A reading </w:t>
      </w:r>
      <w:r w:rsidR="00B853BC">
        <w:rPr>
          <w:rFonts w:ascii="Times New Roman" w:hAnsi="Times New Roman" w:cs="Times New Roman"/>
          <w:sz w:val="24"/>
          <w:szCs w:val="24"/>
        </w:rPr>
        <w:t>of the above provision leaves no doubt that an exception is taken to a charge and not the facts accompanying the charge.</w:t>
      </w:r>
      <w:r w:rsidR="00EA2FA2">
        <w:rPr>
          <w:rFonts w:ascii="Times New Roman" w:hAnsi="Times New Roman" w:cs="Times New Roman"/>
          <w:sz w:val="24"/>
          <w:szCs w:val="24"/>
        </w:rPr>
        <w:t xml:space="preserve"> </w:t>
      </w:r>
    </w:p>
    <w:p w:rsidR="00F31391" w:rsidRDefault="00EA2FA2" w:rsidP="00EE68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magistrate was quite correct to refer to s 146. Section 146 provides that-</w:t>
      </w:r>
    </w:p>
    <w:p w:rsidR="00EA2FA2" w:rsidRPr="00041620" w:rsidRDefault="006F3253" w:rsidP="00B0738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00EA2FA2" w:rsidRPr="00041620">
        <w:rPr>
          <w:rFonts w:ascii="Times New Roman" w:hAnsi="Times New Roman" w:cs="Times New Roman"/>
          <w:sz w:val="20"/>
          <w:szCs w:val="20"/>
        </w:rPr>
        <w:t xml:space="preserve">“(1) Subject to this Act and except as otherwise provided in any other enactment, each count of the </w:t>
      </w:r>
      <w:r>
        <w:rPr>
          <w:rFonts w:ascii="Times New Roman" w:hAnsi="Times New Roman" w:cs="Times New Roman"/>
          <w:sz w:val="20"/>
          <w:szCs w:val="20"/>
        </w:rPr>
        <w:tab/>
      </w:r>
      <w:r w:rsidR="00EA2FA2" w:rsidRPr="00041620">
        <w:rPr>
          <w:rFonts w:ascii="Times New Roman" w:hAnsi="Times New Roman" w:cs="Times New Roman"/>
          <w:sz w:val="20"/>
          <w:szCs w:val="20"/>
        </w:rPr>
        <w:t xml:space="preserve">indictment, summons or charge shall set forth the offence with which the accused is charged in such </w:t>
      </w:r>
      <w:r>
        <w:rPr>
          <w:rFonts w:ascii="Times New Roman" w:hAnsi="Times New Roman" w:cs="Times New Roman"/>
          <w:sz w:val="20"/>
          <w:szCs w:val="20"/>
        </w:rPr>
        <w:tab/>
      </w:r>
      <w:r w:rsidR="00EA2FA2" w:rsidRPr="00041620">
        <w:rPr>
          <w:rFonts w:ascii="Times New Roman" w:hAnsi="Times New Roman" w:cs="Times New Roman"/>
          <w:sz w:val="20"/>
          <w:szCs w:val="20"/>
        </w:rPr>
        <w:t xml:space="preserve">manner, and with such particulars as to the alleged time and place of committing the offence and the </w:t>
      </w:r>
      <w:r>
        <w:rPr>
          <w:rFonts w:ascii="Times New Roman" w:hAnsi="Times New Roman" w:cs="Times New Roman"/>
          <w:sz w:val="20"/>
          <w:szCs w:val="20"/>
        </w:rPr>
        <w:lastRenderedPageBreak/>
        <w:tab/>
      </w:r>
      <w:r w:rsidR="00EA2FA2" w:rsidRPr="00041620">
        <w:rPr>
          <w:rFonts w:ascii="Times New Roman" w:hAnsi="Times New Roman" w:cs="Times New Roman"/>
          <w:sz w:val="20"/>
          <w:szCs w:val="20"/>
        </w:rPr>
        <w:t xml:space="preserve">person, if any, against whom and the property, if any, in respect of which the offence is alleged to have </w:t>
      </w:r>
      <w:r>
        <w:rPr>
          <w:rFonts w:ascii="Times New Roman" w:hAnsi="Times New Roman" w:cs="Times New Roman"/>
          <w:sz w:val="20"/>
          <w:szCs w:val="20"/>
        </w:rPr>
        <w:tab/>
      </w:r>
      <w:r w:rsidR="00EA2FA2" w:rsidRPr="00041620">
        <w:rPr>
          <w:rFonts w:ascii="Times New Roman" w:hAnsi="Times New Roman" w:cs="Times New Roman"/>
          <w:sz w:val="20"/>
          <w:szCs w:val="20"/>
        </w:rPr>
        <w:t>been committed, as may be reasonably sufficient to inform the accused of the nature of the charge.</w:t>
      </w:r>
    </w:p>
    <w:p w:rsidR="00EA2FA2" w:rsidRPr="00041620" w:rsidRDefault="006F3253" w:rsidP="00B0738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00EA2FA2" w:rsidRPr="00041620">
        <w:rPr>
          <w:rFonts w:ascii="Times New Roman" w:hAnsi="Times New Roman" w:cs="Times New Roman"/>
          <w:sz w:val="20"/>
          <w:szCs w:val="20"/>
        </w:rPr>
        <w:t xml:space="preserve">(2) Subject to this Act and except as otherwise provided in any other enactment, the following </w:t>
      </w:r>
      <w:r>
        <w:rPr>
          <w:rFonts w:ascii="Times New Roman" w:hAnsi="Times New Roman" w:cs="Times New Roman"/>
          <w:sz w:val="20"/>
          <w:szCs w:val="20"/>
        </w:rPr>
        <w:tab/>
      </w:r>
      <w:r w:rsidR="00EA2FA2" w:rsidRPr="00041620">
        <w:rPr>
          <w:rFonts w:ascii="Times New Roman" w:hAnsi="Times New Roman" w:cs="Times New Roman"/>
          <w:sz w:val="20"/>
          <w:szCs w:val="20"/>
        </w:rPr>
        <w:t>provisions</w:t>
      </w:r>
      <w:r>
        <w:rPr>
          <w:rFonts w:ascii="Times New Roman" w:hAnsi="Times New Roman" w:cs="Times New Roman"/>
          <w:sz w:val="20"/>
          <w:szCs w:val="20"/>
        </w:rPr>
        <w:t xml:space="preserve"> </w:t>
      </w:r>
      <w:r w:rsidR="00EA2FA2" w:rsidRPr="00041620">
        <w:rPr>
          <w:rFonts w:ascii="Times New Roman" w:hAnsi="Times New Roman" w:cs="Times New Roman"/>
          <w:sz w:val="20"/>
          <w:szCs w:val="20"/>
        </w:rPr>
        <w:t>shall apply to criminal proceedings in any court, that is to say—</w:t>
      </w:r>
    </w:p>
    <w:p w:rsidR="00EA2FA2" w:rsidRPr="00041620" w:rsidRDefault="006F3253" w:rsidP="00B0738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EA2FA2" w:rsidRPr="00041620">
        <w:rPr>
          <w:rFonts w:ascii="Times New Roman" w:hAnsi="Times New Roman" w:cs="Times New Roman"/>
          <w:sz w:val="20"/>
          <w:szCs w:val="20"/>
        </w:rPr>
        <w:t>(</w:t>
      </w:r>
      <w:r w:rsidR="00EA2FA2" w:rsidRPr="00041620">
        <w:rPr>
          <w:rFonts w:ascii="Times New Roman" w:hAnsi="Times New Roman" w:cs="Times New Roman"/>
          <w:i/>
          <w:iCs/>
          <w:sz w:val="20"/>
          <w:szCs w:val="20"/>
        </w:rPr>
        <w:t>a</w:t>
      </w:r>
      <w:r w:rsidR="00EA2FA2" w:rsidRPr="00041620">
        <w:rPr>
          <w:rFonts w:ascii="Times New Roman" w:hAnsi="Times New Roman" w:cs="Times New Roman"/>
          <w:sz w:val="20"/>
          <w:szCs w:val="20"/>
        </w:rPr>
        <w:t xml:space="preserve">) the description of any offence in the words of any enactment creating the offence, or in </w:t>
      </w:r>
      <w:r>
        <w:rPr>
          <w:rFonts w:ascii="Times New Roman" w:hAnsi="Times New Roman" w:cs="Times New Roman"/>
          <w:sz w:val="20"/>
          <w:szCs w:val="20"/>
        </w:rPr>
        <w:tab/>
      </w:r>
      <w:r>
        <w:rPr>
          <w:rFonts w:ascii="Times New Roman" w:hAnsi="Times New Roman" w:cs="Times New Roman"/>
          <w:sz w:val="20"/>
          <w:szCs w:val="20"/>
        </w:rPr>
        <w:tab/>
      </w:r>
      <w:r w:rsidR="00EA2FA2" w:rsidRPr="00041620">
        <w:rPr>
          <w:rFonts w:ascii="Times New Roman" w:hAnsi="Times New Roman" w:cs="Times New Roman"/>
          <w:sz w:val="20"/>
          <w:szCs w:val="20"/>
        </w:rPr>
        <w:t xml:space="preserve">similar </w:t>
      </w:r>
      <w:r>
        <w:rPr>
          <w:rFonts w:ascii="Times New Roman" w:hAnsi="Times New Roman" w:cs="Times New Roman"/>
          <w:sz w:val="20"/>
          <w:szCs w:val="20"/>
        </w:rPr>
        <w:tab/>
      </w:r>
      <w:r w:rsidR="00EA2FA2" w:rsidRPr="00041620">
        <w:rPr>
          <w:rFonts w:ascii="Times New Roman" w:hAnsi="Times New Roman" w:cs="Times New Roman"/>
          <w:sz w:val="20"/>
          <w:szCs w:val="20"/>
        </w:rPr>
        <w:t>words,</w:t>
      </w:r>
      <w:r>
        <w:rPr>
          <w:rFonts w:ascii="Times New Roman" w:hAnsi="Times New Roman" w:cs="Times New Roman"/>
          <w:sz w:val="20"/>
          <w:szCs w:val="20"/>
        </w:rPr>
        <w:t xml:space="preserve"> </w:t>
      </w:r>
      <w:r w:rsidR="00EA2FA2" w:rsidRPr="00041620">
        <w:rPr>
          <w:rFonts w:ascii="Times New Roman" w:hAnsi="Times New Roman" w:cs="Times New Roman"/>
          <w:sz w:val="20"/>
          <w:szCs w:val="20"/>
        </w:rPr>
        <w:t>shall be sufficient; and</w:t>
      </w:r>
    </w:p>
    <w:p w:rsidR="00EA2FA2" w:rsidRPr="00041620" w:rsidRDefault="006F3253" w:rsidP="00B0738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EA2FA2" w:rsidRPr="00041620">
        <w:rPr>
          <w:rFonts w:ascii="Times New Roman" w:hAnsi="Times New Roman" w:cs="Times New Roman"/>
          <w:sz w:val="20"/>
          <w:szCs w:val="20"/>
        </w:rPr>
        <w:t>(</w:t>
      </w:r>
      <w:r w:rsidR="00EA2FA2" w:rsidRPr="00041620">
        <w:rPr>
          <w:rFonts w:ascii="Times New Roman" w:hAnsi="Times New Roman" w:cs="Times New Roman"/>
          <w:i/>
          <w:iCs/>
          <w:sz w:val="20"/>
          <w:szCs w:val="20"/>
        </w:rPr>
        <w:t>b</w:t>
      </w:r>
      <w:r w:rsidR="00EA2FA2" w:rsidRPr="00041620">
        <w:rPr>
          <w:rFonts w:ascii="Times New Roman" w:hAnsi="Times New Roman" w:cs="Times New Roman"/>
          <w:sz w:val="20"/>
          <w:szCs w:val="20"/>
        </w:rPr>
        <w:t xml:space="preserve">) any exception, exemption, proviso, excuse or qualification, whether it does or does not </w:t>
      </w:r>
      <w:r>
        <w:rPr>
          <w:rFonts w:ascii="Times New Roman" w:hAnsi="Times New Roman" w:cs="Times New Roman"/>
          <w:sz w:val="20"/>
          <w:szCs w:val="20"/>
        </w:rPr>
        <w:tab/>
      </w:r>
      <w:r>
        <w:rPr>
          <w:rFonts w:ascii="Times New Roman" w:hAnsi="Times New Roman" w:cs="Times New Roman"/>
          <w:sz w:val="20"/>
          <w:szCs w:val="20"/>
        </w:rPr>
        <w:tab/>
      </w:r>
      <w:r w:rsidR="00EA2FA2" w:rsidRPr="00041620">
        <w:rPr>
          <w:rFonts w:ascii="Times New Roman" w:hAnsi="Times New Roman" w:cs="Times New Roman"/>
          <w:sz w:val="20"/>
          <w:szCs w:val="20"/>
        </w:rPr>
        <w:t>accompany in</w:t>
      </w:r>
      <w:r>
        <w:rPr>
          <w:rFonts w:ascii="Times New Roman" w:hAnsi="Times New Roman" w:cs="Times New Roman"/>
          <w:sz w:val="20"/>
          <w:szCs w:val="20"/>
        </w:rPr>
        <w:t xml:space="preserve"> </w:t>
      </w:r>
      <w:r w:rsidR="00EA2FA2" w:rsidRPr="00041620">
        <w:rPr>
          <w:rFonts w:ascii="Times New Roman" w:hAnsi="Times New Roman" w:cs="Times New Roman"/>
          <w:sz w:val="20"/>
          <w:szCs w:val="20"/>
        </w:rPr>
        <w:t xml:space="preserve">the same section the description of the offence in the enactment creating the </w:t>
      </w:r>
      <w:r>
        <w:rPr>
          <w:rFonts w:ascii="Times New Roman" w:hAnsi="Times New Roman" w:cs="Times New Roman"/>
          <w:sz w:val="20"/>
          <w:szCs w:val="20"/>
        </w:rPr>
        <w:tab/>
      </w:r>
      <w:r>
        <w:rPr>
          <w:rFonts w:ascii="Times New Roman" w:hAnsi="Times New Roman" w:cs="Times New Roman"/>
          <w:sz w:val="20"/>
          <w:szCs w:val="20"/>
        </w:rPr>
        <w:tab/>
      </w:r>
      <w:r w:rsidR="00EA2FA2" w:rsidRPr="00041620">
        <w:rPr>
          <w:rFonts w:ascii="Times New Roman" w:hAnsi="Times New Roman" w:cs="Times New Roman"/>
          <w:sz w:val="20"/>
          <w:szCs w:val="20"/>
        </w:rPr>
        <w:t>offence, may be proved by</w:t>
      </w:r>
      <w:r>
        <w:rPr>
          <w:rFonts w:ascii="Times New Roman" w:hAnsi="Times New Roman" w:cs="Times New Roman"/>
          <w:sz w:val="20"/>
          <w:szCs w:val="20"/>
        </w:rPr>
        <w:t xml:space="preserve"> </w:t>
      </w:r>
      <w:r w:rsidR="00EA2FA2" w:rsidRPr="00041620">
        <w:rPr>
          <w:rFonts w:ascii="Times New Roman" w:hAnsi="Times New Roman" w:cs="Times New Roman"/>
          <w:sz w:val="20"/>
          <w:szCs w:val="20"/>
        </w:rPr>
        <w:t xml:space="preserve">the accused, but need not be specified or negatived in the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EA2FA2" w:rsidRPr="00041620">
        <w:rPr>
          <w:rFonts w:ascii="Times New Roman" w:hAnsi="Times New Roman" w:cs="Times New Roman"/>
          <w:sz w:val="20"/>
          <w:szCs w:val="20"/>
        </w:rPr>
        <w:t>indictment, summons or charge, and, if so</w:t>
      </w:r>
      <w:r>
        <w:rPr>
          <w:rFonts w:ascii="Times New Roman" w:hAnsi="Times New Roman" w:cs="Times New Roman"/>
          <w:sz w:val="20"/>
          <w:szCs w:val="20"/>
        </w:rPr>
        <w:t xml:space="preserve"> </w:t>
      </w:r>
      <w:r w:rsidR="00EA2FA2" w:rsidRPr="00041620">
        <w:rPr>
          <w:rFonts w:ascii="Times New Roman" w:hAnsi="Times New Roman" w:cs="Times New Roman"/>
          <w:sz w:val="20"/>
          <w:szCs w:val="20"/>
        </w:rPr>
        <w:t xml:space="preserve">specified or negatived, no proof in relation to the </w:t>
      </w:r>
      <w:r>
        <w:rPr>
          <w:rFonts w:ascii="Times New Roman" w:hAnsi="Times New Roman" w:cs="Times New Roman"/>
          <w:sz w:val="20"/>
          <w:szCs w:val="20"/>
        </w:rPr>
        <w:tab/>
      </w:r>
      <w:r>
        <w:rPr>
          <w:rFonts w:ascii="Times New Roman" w:hAnsi="Times New Roman" w:cs="Times New Roman"/>
          <w:sz w:val="20"/>
          <w:szCs w:val="20"/>
        </w:rPr>
        <w:tab/>
      </w:r>
      <w:r w:rsidR="00EA2FA2" w:rsidRPr="00041620">
        <w:rPr>
          <w:rFonts w:ascii="Times New Roman" w:hAnsi="Times New Roman" w:cs="Times New Roman"/>
          <w:sz w:val="20"/>
          <w:szCs w:val="20"/>
        </w:rPr>
        <w:t>matter so specified or negatived shall be required on</w:t>
      </w:r>
      <w:r>
        <w:rPr>
          <w:rFonts w:ascii="Times New Roman" w:hAnsi="Times New Roman" w:cs="Times New Roman"/>
          <w:sz w:val="20"/>
          <w:szCs w:val="20"/>
        </w:rPr>
        <w:t xml:space="preserve"> </w:t>
      </w:r>
      <w:r w:rsidR="00EA2FA2" w:rsidRPr="00041620">
        <w:rPr>
          <w:rFonts w:ascii="Times New Roman" w:hAnsi="Times New Roman" w:cs="Times New Roman"/>
          <w:sz w:val="20"/>
          <w:szCs w:val="20"/>
        </w:rPr>
        <w:t>the part of the prosecution.</w:t>
      </w:r>
    </w:p>
    <w:p w:rsidR="00EA2FA2" w:rsidRPr="00041620" w:rsidRDefault="006F3253" w:rsidP="00B0738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00EA2FA2" w:rsidRPr="00041620">
        <w:rPr>
          <w:rFonts w:ascii="Times New Roman" w:hAnsi="Times New Roman" w:cs="Times New Roman"/>
          <w:sz w:val="20"/>
          <w:szCs w:val="20"/>
        </w:rPr>
        <w:t xml:space="preserve">(3) Where any of the particulars referred to in this section are unknown to the prosecutor, it shall be </w:t>
      </w:r>
      <w:r>
        <w:rPr>
          <w:rFonts w:ascii="Times New Roman" w:hAnsi="Times New Roman" w:cs="Times New Roman"/>
          <w:sz w:val="20"/>
          <w:szCs w:val="20"/>
        </w:rPr>
        <w:tab/>
      </w:r>
      <w:r w:rsidR="00EA2FA2" w:rsidRPr="00041620">
        <w:rPr>
          <w:rFonts w:ascii="Times New Roman" w:hAnsi="Times New Roman" w:cs="Times New Roman"/>
          <w:sz w:val="20"/>
          <w:szCs w:val="20"/>
        </w:rPr>
        <w:t>sufficient to state that fact in the indictment, summons or charge.</w:t>
      </w:r>
    </w:p>
    <w:p w:rsidR="00EA2FA2" w:rsidRPr="00041620" w:rsidRDefault="006F3253" w:rsidP="00B0738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00EA2FA2" w:rsidRPr="00041620">
        <w:rPr>
          <w:rFonts w:ascii="Times New Roman" w:hAnsi="Times New Roman" w:cs="Times New Roman"/>
          <w:sz w:val="20"/>
          <w:szCs w:val="20"/>
        </w:rPr>
        <w:t xml:space="preserve">(4) Where a person is charged with a crime listed in the first column of the Second Schedule to the </w:t>
      </w:r>
      <w:r>
        <w:rPr>
          <w:rFonts w:ascii="Times New Roman" w:hAnsi="Times New Roman" w:cs="Times New Roman"/>
          <w:sz w:val="20"/>
          <w:szCs w:val="20"/>
        </w:rPr>
        <w:tab/>
      </w:r>
      <w:r w:rsidR="00EA2FA2" w:rsidRPr="00041620">
        <w:rPr>
          <w:rFonts w:ascii="Times New Roman" w:hAnsi="Times New Roman" w:cs="Times New Roman"/>
          <w:sz w:val="20"/>
          <w:szCs w:val="20"/>
        </w:rPr>
        <w:t>Criminal Law Code, it shall be sufficient to charge him or her with that crime by its name only.</w:t>
      </w:r>
    </w:p>
    <w:p w:rsidR="00641753" w:rsidRPr="00041620" w:rsidRDefault="006F3253" w:rsidP="00B0738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00041620" w:rsidRPr="00041620">
        <w:rPr>
          <w:rFonts w:ascii="Times New Roman" w:hAnsi="Times New Roman" w:cs="Times New Roman"/>
          <w:sz w:val="20"/>
          <w:szCs w:val="20"/>
        </w:rPr>
        <w:t xml:space="preserve"> </w:t>
      </w:r>
      <w:r w:rsidR="00EA2FA2" w:rsidRPr="00041620">
        <w:rPr>
          <w:rFonts w:ascii="Times New Roman" w:hAnsi="Times New Roman" w:cs="Times New Roman"/>
          <w:sz w:val="20"/>
          <w:szCs w:val="20"/>
        </w:rPr>
        <w:t xml:space="preserve">(5) No indictment, summons or charge alleging the commission of a crime mentioned in subsection (4) </w:t>
      </w:r>
      <w:r>
        <w:rPr>
          <w:rFonts w:ascii="Times New Roman" w:hAnsi="Times New Roman" w:cs="Times New Roman"/>
          <w:sz w:val="20"/>
          <w:szCs w:val="20"/>
        </w:rPr>
        <w:tab/>
      </w:r>
      <w:r w:rsidR="00EA2FA2" w:rsidRPr="00041620">
        <w:rPr>
          <w:rFonts w:ascii="Times New Roman" w:hAnsi="Times New Roman" w:cs="Times New Roman"/>
          <w:sz w:val="20"/>
          <w:szCs w:val="20"/>
        </w:rPr>
        <w:t xml:space="preserve">shall be held to be defective on account of a failure to mention the section of the Criminal Law Code </w:t>
      </w:r>
      <w:r>
        <w:rPr>
          <w:rFonts w:ascii="Times New Roman" w:hAnsi="Times New Roman" w:cs="Times New Roman"/>
          <w:sz w:val="20"/>
          <w:szCs w:val="20"/>
        </w:rPr>
        <w:tab/>
      </w:r>
      <w:r w:rsidR="00EA2FA2" w:rsidRPr="00041620">
        <w:rPr>
          <w:rFonts w:ascii="Times New Roman" w:hAnsi="Times New Roman" w:cs="Times New Roman"/>
          <w:sz w:val="20"/>
          <w:szCs w:val="20"/>
        </w:rPr>
        <w:t>under which the crime is set forth.”</w:t>
      </w:r>
    </w:p>
    <w:p w:rsidR="000A772C" w:rsidRDefault="00641753" w:rsidP="00B0738D">
      <w:pPr>
        <w:spacing w:line="360" w:lineRule="auto"/>
        <w:ind w:firstLine="720"/>
        <w:jc w:val="both"/>
        <w:rPr>
          <w:rFonts w:ascii="Times New Roman" w:hAnsi="Times New Roman" w:cs="Times New Roman"/>
          <w:sz w:val="24"/>
          <w:szCs w:val="24"/>
        </w:rPr>
      </w:pPr>
      <w:r w:rsidRPr="00641753">
        <w:rPr>
          <w:rFonts w:ascii="Times New Roman" w:hAnsi="Times New Roman" w:cs="Times New Roman"/>
          <w:sz w:val="24"/>
          <w:szCs w:val="24"/>
        </w:rPr>
        <w:t xml:space="preserve">Commenting </w:t>
      </w:r>
      <w:r>
        <w:rPr>
          <w:rFonts w:ascii="Times New Roman" w:hAnsi="Times New Roman" w:cs="Times New Roman"/>
          <w:sz w:val="24"/>
          <w:szCs w:val="24"/>
        </w:rPr>
        <w:t>on s 133 (1) of the then</w:t>
      </w:r>
      <w:r w:rsidRPr="00641753">
        <w:rPr>
          <w:rFonts w:ascii="Times New Roman" w:hAnsi="Times New Roman" w:cs="Times New Roman"/>
          <w:sz w:val="24"/>
          <w:szCs w:val="24"/>
        </w:rPr>
        <w:t xml:space="preserve"> </w:t>
      </w:r>
      <w:r>
        <w:rPr>
          <w:rFonts w:ascii="Times New Roman" w:hAnsi="Times New Roman" w:cs="Times New Roman"/>
          <w:sz w:val="24"/>
          <w:szCs w:val="24"/>
        </w:rPr>
        <w:t>Criminal Procedure and Evidence Act [</w:t>
      </w:r>
      <w:r w:rsidRPr="00041620">
        <w:rPr>
          <w:rFonts w:ascii="Times New Roman" w:hAnsi="Times New Roman" w:cs="Times New Roman"/>
          <w:i/>
          <w:sz w:val="24"/>
          <w:szCs w:val="24"/>
        </w:rPr>
        <w:t>Chapter 59</w:t>
      </w:r>
      <w:r>
        <w:rPr>
          <w:rFonts w:ascii="Times New Roman" w:hAnsi="Times New Roman" w:cs="Times New Roman"/>
          <w:sz w:val="24"/>
          <w:szCs w:val="24"/>
        </w:rPr>
        <w:t xml:space="preserve">] </w:t>
      </w:r>
      <w:r w:rsidRPr="006F3253">
        <w:rPr>
          <w:rFonts w:ascii="Times New Roman" w:hAnsi="Times New Roman" w:cs="Times New Roman"/>
          <w:smallCaps/>
          <w:sz w:val="24"/>
          <w:szCs w:val="24"/>
        </w:rPr>
        <w:t>Reynolds</w:t>
      </w:r>
      <w:r>
        <w:rPr>
          <w:rFonts w:ascii="Times New Roman" w:hAnsi="Times New Roman" w:cs="Times New Roman"/>
          <w:sz w:val="24"/>
          <w:szCs w:val="24"/>
        </w:rPr>
        <w:t xml:space="preserve"> J had this to say</w:t>
      </w:r>
      <w:r w:rsidR="000A772C">
        <w:rPr>
          <w:rFonts w:ascii="Times New Roman" w:hAnsi="Times New Roman" w:cs="Times New Roman"/>
          <w:sz w:val="24"/>
          <w:szCs w:val="24"/>
        </w:rPr>
        <w:t xml:space="preserve"> in </w:t>
      </w:r>
      <w:r w:rsidR="000A772C" w:rsidRPr="00041620">
        <w:rPr>
          <w:rFonts w:ascii="Times New Roman" w:hAnsi="Times New Roman" w:cs="Times New Roman"/>
          <w:i/>
          <w:sz w:val="24"/>
          <w:szCs w:val="24"/>
        </w:rPr>
        <w:t xml:space="preserve">S </w:t>
      </w:r>
      <w:r w:rsidR="000A772C" w:rsidRPr="006F3253">
        <w:rPr>
          <w:rFonts w:ascii="Times New Roman" w:hAnsi="Times New Roman" w:cs="Times New Roman"/>
          <w:sz w:val="24"/>
          <w:szCs w:val="24"/>
        </w:rPr>
        <w:t>v</w:t>
      </w:r>
      <w:r w:rsidR="000A772C" w:rsidRPr="00041620">
        <w:rPr>
          <w:rFonts w:ascii="Times New Roman" w:hAnsi="Times New Roman" w:cs="Times New Roman"/>
          <w:i/>
          <w:sz w:val="24"/>
          <w:szCs w:val="24"/>
        </w:rPr>
        <w:t xml:space="preserve"> Sikarama and Another</w:t>
      </w:r>
      <w:r w:rsidR="000A772C">
        <w:rPr>
          <w:rFonts w:ascii="Times New Roman" w:hAnsi="Times New Roman" w:cs="Times New Roman"/>
          <w:sz w:val="24"/>
          <w:szCs w:val="24"/>
        </w:rPr>
        <w:t xml:space="preserve"> 1984 (1) ZLR 170 </w:t>
      </w:r>
      <w:r>
        <w:rPr>
          <w:rFonts w:ascii="Times New Roman" w:hAnsi="Times New Roman" w:cs="Times New Roman"/>
          <w:sz w:val="24"/>
          <w:szCs w:val="24"/>
        </w:rPr>
        <w:t>at 171</w:t>
      </w:r>
      <w:r w:rsidR="000A772C">
        <w:rPr>
          <w:rFonts w:ascii="Times New Roman" w:hAnsi="Times New Roman" w:cs="Times New Roman"/>
          <w:sz w:val="24"/>
          <w:szCs w:val="24"/>
        </w:rPr>
        <w:t>-</w:t>
      </w:r>
    </w:p>
    <w:p w:rsidR="000A772C" w:rsidRPr="006F3253" w:rsidRDefault="006F3253" w:rsidP="006F3253">
      <w:pPr>
        <w:spacing w:line="240" w:lineRule="auto"/>
        <w:jc w:val="both"/>
        <w:rPr>
          <w:rFonts w:ascii="Times New Roman" w:hAnsi="Times New Roman" w:cs="Times New Roman"/>
        </w:rPr>
      </w:pPr>
      <w:r>
        <w:rPr>
          <w:rFonts w:ascii="Times New Roman" w:hAnsi="Times New Roman" w:cs="Times New Roman"/>
          <w:sz w:val="24"/>
          <w:szCs w:val="24"/>
        </w:rPr>
        <w:tab/>
      </w:r>
      <w:r w:rsidR="000A772C" w:rsidRPr="006F3253">
        <w:rPr>
          <w:rFonts w:ascii="Times New Roman" w:hAnsi="Times New Roman" w:cs="Times New Roman"/>
        </w:rPr>
        <w:t xml:space="preserve">“The requirements embodied in this provision are, in essence, that (a) the offence with </w:t>
      </w:r>
      <w:r w:rsidRPr="006F3253">
        <w:rPr>
          <w:rFonts w:ascii="Times New Roman" w:hAnsi="Times New Roman" w:cs="Times New Roman"/>
        </w:rPr>
        <w:tab/>
      </w:r>
      <w:r w:rsidR="000A772C" w:rsidRPr="006F3253">
        <w:rPr>
          <w:rFonts w:ascii="Times New Roman" w:hAnsi="Times New Roman" w:cs="Times New Roman"/>
        </w:rPr>
        <w:t xml:space="preserve">which the accused is charged, and (b) the material facts constituting the offence, are </w:t>
      </w:r>
      <w:r w:rsidRPr="006F3253">
        <w:rPr>
          <w:rFonts w:ascii="Times New Roman" w:hAnsi="Times New Roman" w:cs="Times New Roman"/>
        </w:rPr>
        <w:tab/>
      </w:r>
      <w:r w:rsidR="000A772C" w:rsidRPr="006F3253">
        <w:rPr>
          <w:rFonts w:ascii="Times New Roman" w:hAnsi="Times New Roman" w:cs="Times New Roman"/>
        </w:rPr>
        <w:t xml:space="preserve">both set out with sufficient clarity for the accused to be properly informed of the case </w:t>
      </w:r>
      <w:r w:rsidRPr="006F3253">
        <w:rPr>
          <w:rFonts w:ascii="Times New Roman" w:hAnsi="Times New Roman" w:cs="Times New Roman"/>
        </w:rPr>
        <w:tab/>
      </w:r>
      <w:r w:rsidR="000A772C" w:rsidRPr="006F3253">
        <w:rPr>
          <w:rFonts w:ascii="Times New Roman" w:hAnsi="Times New Roman" w:cs="Times New Roman"/>
        </w:rPr>
        <w:t xml:space="preserve">which he has to meet (Ex p Minister of Justice: in re </w:t>
      </w:r>
      <w:r w:rsidR="000A772C" w:rsidRPr="006F3253">
        <w:rPr>
          <w:rFonts w:ascii="Times New Roman" w:hAnsi="Times New Roman" w:cs="Times New Roman"/>
          <w:i/>
        </w:rPr>
        <w:t>R</w:t>
      </w:r>
      <w:r w:rsidR="000A772C" w:rsidRPr="006F3253">
        <w:rPr>
          <w:rFonts w:ascii="Times New Roman" w:hAnsi="Times New Roman" w:cs="Times New Roman"/>
        </w:rPr>
        <w:t xml:space="preserve"> v</w:t>
      </w:r>
      <w:r w:rsidR="000A772C" w:rsidRPr="006F3253">
        <w:rPr>
          <w:rFonts w:ascii="Times New Roman" w:hAnsi="Times New Roman" w:cs="Times New Roman"/>
          <w:i/>
        </w:rPr>
        <w:t xml:space="preserve"> Masow and Another</w:t>
      </w:r>
      <w:r w:rsidR="00041620" w:rsidRPr="006F3253">
        <w:rPr>
          <w:rFonts w:ascii="Times New Roman" w:hAnsi="Times New Roman" w:cs="Times New Roman"/>
        </w:rPr>
        <w:t xml:space="preserve">, 1940 </w:t>
      </w:r>
      <w:r w:rsidRPr="006F3253">
        <w:rPr>
          <w:rFonts w:ascii="Times New Roman" w:hAnsi="Times New Roman" w:cs="Times New Roman"/>
        </w:rPr>
        <w:tab/>
      </w:r>
      <w:r w:rsidR="00041620" w:rsidRPr="006F3253">
        <w:rPr>
          <w:rFonts w:ascii="Times New Roman" w:hAnsi="Times New Roman" w:cs="Times New Roman"/>
        </w:rPr>
        <w:t xml:space="preserve">AD </w:t>
      </w:r>
      <w:r>
        <w:rPr>
          <w:rFonts w:ascii="Times New Roman" w:hAnsi="Times New Roman" w:cs="Times New Roman"/>
        </w:rPr>
        <w:tab/>
      </w:r>
      <w:r w:rsidR="00041620" w:rsidRPr="006F3253">
        <w:rPr>
          <w:rFonts w:ascii="Times New Roman" w:hAnsi="Times New Roman" w:cs="Times New Roman"/>
        </w:rPr>
        <w:t xml:space="preserve">75; </w:t>
      </w:r>
      <w:r w:rsidR="00041620" w:rsidRPr="006F3253">
        <w:rPr>
          <w:rFonts w:ascii="Times New Roman" w:hAnsi="Times New Roman" w:cs="Times New Roman"/>
          <w:i/>
        </w:rPr>
        <w:t xml:space="preserve">R </w:t>
      </w:r>
      <w:r w:rsidR="000A772C" w:rsidRPr="006F3253">
        <w:rPr>
          <w:rFonts w:ascii="Times New Roman" w:hAnsi="Times New Roman" w:cs="Times New Roman"/>
        </w:rPr>
        <w:t>v</w:t>
      </w:r>
      <w:r w:rsidR="000A772C" w:rsidRPr="006F3253">
        <w:rPr>
          <w:rFonts w:ascii="Times New Roman" w:hAnsi="Times New Roman" w:cs="Times New Roman"/>
          <w:i/>
        </w:rPr>
        <w:t xml:space="preserve"> Wantenuar </w:t>
      </w:r>
      <w:r w:rsidR="000A772C" w:rsidRPr="006F3253">
        <w:rPr>
          <w:rFonts w:ascii="Times New Roman" w:hAnsi="Times New Roman" w:cs="Times New Roman"/>
        </w:rPr>
        <w:t>1940 SR 174).”</w:t>
      </w:r>
      <w:r w:rsidR="00641753" w:rsidRPr="006F3253">
        <w:rPr>
          <w:rFonts w:ascii="Times New Roman" w:hAnsi="Times New Roman" w:cs="Times New Roman"/>
        </w:rPr>
        <w:t xml:space="preserve"> </w:t>
      </w:r>
    </w:p>
    <w:p w:rsidR="00EA2FA2" w:rsidRDefault="000A772C" w:rsidP="006F3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that the applicants were not prejudiced in their defence. This is because they were able to plead and except at the same time. If the charge was so defective as not to be meaningful, the applicants would not have been able to plead.</w:t>
      </w:r>
      <w:r w:rsidR="001F6D4C">
        <w:rPr>
          <w:rFonts w:ascii="Times New Roman" w:hAnsi="Times New Roman" w:cs="Times New Roman"/>
          <w:sz w:val="24"/>
          <w:szCs w:val="24"/>
        </w:rPr>
        <w:t xml:space="preserve"> They outlined their defence as provided in s 180 (5) of the Criminal Procedure and Evidence Act.</w:t>
      </w:r>
    </w:p>
    <w:p w:rsidR="00EE4816" w:rsidRDefault="009114E8" w:rsidP="006F3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have set store on the argument about commonage. This is on account of the Ministry of Local Government, Public Works And National Housing’s Manual For The Management Of Urban Land. The document was issued by the Permanent Secretary for Local Government, Public Works And National Housing. It is meant for guidance in land management in all local authorities.</w:t>
      </w:r>
      <w:r w:rsidR="00EE4816">
        <w:rPr>
          <w:rFonts w:ascii="Times New Roman" w:hAnsi="Times New Roman" w:cs="Times New Roman"/>
          <w:sz w:val="24"/>
          <w:szCs w:val="24"/>
        </w:rPr>
        <w:t xml:space="preserve"> Paragraph H of Part 11 of the Manual provides the following on commonage.</w:t>
      </w:r>
    </w:p>
    <w:p w:rsidR="00EE4816" w:rsidRPr="00041620" w:rsidRDefault="006F3253" w:rsidP="00B0738D">
      <w:pPr>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EE4816" w:rsidRPr="00041620">
        <w:rPr>
          <w:rFonts w:ascii="Times New Roman" w:hAnsi="Times New Roman" w:cs="Times New Roman"/>
          <w:sz w:val="20"/>
          <w:szCs w:val="20"/>
        </w:rPr>
        <w:t xml:space="preserve">“In all local authority areas, Government shall retain land, known as the 10 % commonage, for its own </w:t>
      </w:r>
      <w:r>
        <w:rPr>
          <w:rFonts w:ascii="Times New Roman" w:hAnsi="Times New Roman" w:cs="Times New Roman"/>
          <w:sz w:val="20"/>
          <w:szCs w:val="20"/>
        </w:rPr>
        <w:tab/>
      </w:r>
      <w:r w:rsidR="00EE4816" w:rsidRPr="00041620">
        <w:rPr>
          <w:rFonts w:ascii="Times New Roman" w:hAnsi="Times New Roman" w:cs="Times New Roman"/>
          <w:sz w:val="20"/>
          <w:szCs w:val="20"/>
        </w:rPr>
        <w:t xml:space="preserve">use. The 10 % commonage refers to the 10 % of all vacant and undesignated Urban State land at the </w:t>
      </w:r>
      <w:r>
        <w:rPr>
          <w:rFonts w:ascii="Times New Roman" w:hAnsi="Times New Roman" w:cs="Times New Roman"/>
          <w:sz w:val="20"/>
          <w:szCs w:val="20"/>
        </w:rPr>
        <w:lastRenderedPageBreak/>
        <w:tab/>
      </w:r>
      <w:r w:rsidR="00EE4816" w:rsidRPr="00041620">
        <w:rPr>
          <w:rFonts w:ascii="Times New Roman" w:hAnsi="Times New Roman" w:cs="Times New Roman"/>
          <w:sz w:val="20"/>
          <w:szCs w:val="20"/>
        </w:rPr>
        <w:t xml:space="preserve">point of transfer. To determine the 10 % commonage, the boundary of the centre is define. Thereafter </w:t>
      </w:r>
      <w:r>
        <w:rPr>
          <w:rFonts w:ascii="Times New Roman" w:hAnsi="Times New Roman" w:cs="Times New Roman"/>
          <w:sz w:val="20"/>
          <w:szCs w:val="20"/>
        </w:rPr>
        <w:tab/>
      </w:r>
      <w:r w:rsidR="00EE4816" w:rsidRPr="00041620">
        <w:rPr>
          <w:rFonts w:ascii="Times New Roman" w:hAnsi="Times New Roman" w:cs="Times New Roman"/>
          <w:sz w:val="20"/>
          <w:szCs w:val="20"/>
        </w:rPr>
        <w:t xml:space="preserve">all the vacant/un-alienated State land is identified (excluding land previously reserved for government </w:t>
      </w:r>
      <w:r>
        <w:rPr>
          <w:rFonts w:ascii="Times New Roman" w:hAnsi="Times New Roman" w:cs="Times New Roman"/>
          <w:sz w:val="20"/>
          <w:szCs w:val="20"/>
        </w:rPr>
        <w:tab/>
      </w:r>
      <w:r w:rsidR="00EE4816" w:rsidRPr="00041620">
        <w:rPr>
          <w:rFonts w:ascii="Times New Roman" w:hAnsi="Times New Roman" w:cs="Times New Roman"/>
          <w:sz w:val="20"/>
          <w:szCs w:val="20"/>
        </w:rPr>
        <w:t xml:space="preserve">use). Ten per cent of such land is calculated and a commonage account is then opened using the format </w:t>
      </w:r>
      <w:r>
        <w:rPr>
          <w:rFonts w:ascii="Times New Roman" w:hAnsi="Times New Roman" w:cs="Times New Roman"/>
          <w:sz w:val="20"/>
          <w:szCs w:val="20"/>
        </w:rPr>
        <w:tab/>
      </w:r>
      <w:r w:rsidR="00EE4816" w:rsidRPr="00041620">
        <w:rPr>
          <w:rFonts w:ascii="Times New Roman" w:hAnsi="Times New Roman" w:cs="Times New Roman"/>
          <w:sz w:val="20"/>
          <w:szCs w:val="20"/>
        </w:rPr>
        <w:t xml:space="preserve">shown in form UL.8. The 10 % commonage account shall be signed for by the Chief Executive Officer </w:t>
      </w:r>
      <w:r>
        <w:rPr>
          <w:rFonts w:ascii="Times New Roman" w:hAnsi="Times New Roman" w:cs="Times New Roman"/>
          <w:sz w:val="20"/>
          <w:szCs w:val="20"/>
        </w:rPr>
        <w:tab/>
      </w:r>
      <w:r w:rsidR="00EE4816" w:rsidRPr="00041620">
        <w:rPr>
          <w:rFonts w:ascii="Times New Roman" w:hAnsi="Times New Roman" w:cs="Times New Roman"/>
          <w:sz w:val="20"/>
          <w:szCs w:val="20"/>
        </w:rPr>
        <w:t>and the District Administrator. The account is kept by the District Administrator.</w:t>
      </w:r>
    </w:p>
    <w:p w:rsidR="00EE4816" w:rsidRPr="00041620" w:rsidRDefault="006F3253" w:rsidP="00B0738D">
      <w:pPr>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EE4816" w:rsidRPr="00041620">
        <w:rPr>
          <w:rFonts w:ascii="Times New Roman" w:hAnsi="Times New Roman" w:cs="Times New Roman"/>
          <w:sz w:val="20"/>
          <w:szCs w:val="20"/>
        </w:rPr>
        <w:t xml:space="preserve">No local authority may allocate commonage. This is the prerogative of the Minister of Local </w:t>
      </w:r>
      <w:r>
        <w:rPr>
          <w:rFonts w:ascii="Times New Roman" w:hAnsi="Times New Roman" w:cs="Times New Roman"/>
          <w:sz w:val="20"/>
          <w:szCs w:val="20"/>
        </w:rPr>
        <w:tab/>
      </w:r>
      <w:r w:rsidR="00EE4816" w:rsidRPr="00041620">
        <w:rPr>
          <w:rFonts w:ascii="Times New Roman" w:hAnsi="Times New Roman" w:cs="Times New Roman"/>
          <w:sz w:val="20"/>
          <w:szCs w:val="20"/>
        </w:rPr>
        <w:t>Government, Public Works And National Housing.</w:t>
      </w:r>
    </w:p>
    <w:p w:rsidR="00AD1FA7" w:rsidRPr="00041620" w:rsidRDefault="006F3253" w:rsidP="00B0738D">
      <w:pPr>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EE4816" w:rsidRPr="00041620">
        <w:rPr>
          <w:rFonts w:ascii="Times New Roman" w:hAnsi="Times New Roman" w:cs="Times New Roman"/>
          <w:sz w:val="20"/>
          <w:szCs w:val="20"/>
        </w:rPr>
        <w:t xml:space="preserve">When a council acquires additional land using funds from the State or the National Housing Fund, 10 </w:t>
      </w:r>
      <w:r>
        <w:rPr>
          <w:rFonts w:ascii="Times New Roman" w:hAnsi="Times New Roman" w:cs="Times New Roman"/>
          <w:sz w:val="20"/>
          <w:szCs w:val="20"/>
        </w:rPr>
        <w:tab/>
      </w:r>
      <w:r w:rsidR="00EE4816" w:rsidRPr="00041620">
        <w:rPr>
          <w:rFonts w:ascii="Times New Roman" w:hAnsi="Times New Roman" w:cs="Times New Roman"/>
          <w:sz w:val="20"/>
          <w:szCs w:val="20"/>
        </w:rPr>
        <w:t>% of the acquired land shall be added to the commonage register.”</w:t>
      </w:r>
    </w:p>
    <w:p w:rsidR="00092586" w:rsidRDefault="00AD1FA7" w:rsidP="006F3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Minutes of the Gokwe Town Council Works and Services Committee meeting held on 21 May 2013 show that a request for 100</w:t>
      </w:r>
      <w:r w:rsidR="00721591">
        <w:rPr>
          <w:rFonts w:ascii="Times New Roman" w:hAnsi="Times New Roman" w:cs="Times New Roman"/>
          <w:sz w:val="24"/>
          <w:szCs w:val="24"/>
        </w:rPr>
        <w:t>0</w:t>
      </w:r>
      <w:r>
        <w:rPr>
          <w:rFonts w:ascii="Times New Roman" w:hAnsi="Times New Roman" w:cs="Times New Roman"/>
          <w:sz w:val="24"/>
          <w:szCs w:val="24"/>
        </w:rPr>
        <w:t xml:space="preserve"> stands by the Provincial Governor was discussed. It was resolved to allocate the stands to the</w:t>
      </w:r>
      <w:r w:rsidRPr="00AD1FA7">
        <w:rPr>
          <w:rFonts w:ascii="Times New Roman" w:hAnsi="Times New Roman" w:cs="Times New Roman"/>
          <w:sz w:val="24"/>
          <w:szCs w:val="24"/>
        </w:rPr>
        <w:t xml:space="preserve"> </w:t>
      </w:r>
      <w:r>
        <w:rPr>
          <w:rFonts w:ascii="Times New Roman" w:hAnsi="Times New Roman" w:cs="Times New Roman"/>
          <w:sz w:val="24"/>
          <w:szCs w:val="24"/>
        </w:rPr>
        <w:t>Ministry of</w:t>
      </w:r>
      <w:r w:rsidRPr="00EE4816">
        <w:rPr>
          <w:rFonts w:ascii="Times New Roman" w:hAnsi="Times New Roman" w:cs="Times New Roman"/>
          <w:sz w:val="24"/>
          <w:szCs w:val="24"/>
        </w:rPr>
        <w:t xml:space="preserve"> </w:t>
      </w:r>
      <w:r>
        <w:rPr>
          <w:rFonts w:ascii="Times New Roman" w:hAnsi="Times New Roman" w:cs="Times New Roman"/>
          <w:sz w:val="24"/>
          <w:szCs w:val="24"/>
        </w:rPr>
        <w:t>Local Government, Public Works And National Housing in advance than to allocate to the Governor.</w:t>
      </w:r>
      <w:r w:rsidR="00E52DFB">
        <w:rPr>
          <w:rFonts w:ascii="Times New Roman" w:hAnsi="Times New Roman" w:cs="Times New Roman"/>
          <w:sz w:val="24"/>
          <w:szCs w:val="24"/>
        </w:rPr>
        <w:t xml:space="preserve"> During the same month Gokwe Town Council addressed a letter to the Department of Physical Planning</w:t>
      </w:r>
      <w:r>
        <w:rPr>
          <w:rFonts w:ascii="Times New Roman" w:hAnsi="Times New Roman" w:cs="Times New Roman"/>
          <w:sz w:val="24"/>
          <w:szCs w:val="24"/>
        </w:rPr>
        <w:t xml:space="preserve"> </w:t>
      </w:r>
      <w:r w:rsidR="00E52DFB">
        <w:rPr>
          <w:rFonts w:ascii="Times New Roman" w:hAnsi="Times New Roman" w:cs="Times New Roman"/>
          <w:sz w:val="24"/>
          <w:szCs w:val="24"/>
        </w:rPr>
        <w:t>in which the allocation of 1000 stands to the Ministry was confirmed. The allocation was described as commonage. Reference was made to stands 7117-8117 from which was culled the 1000 stands.</w:t>
      </w:r>
    </w:p>
    <w:p w:rsidR="008A03C5" w:rsidRDefault="00092586" w:rsidP="006F3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applicants’ contention is that the land in question was not commonage bu</w:t>
      </w:r>
      <w:r w:rsidR="008947DC">
        <w:rPr>
          <w:rFonts w:ascii="Times New Roman" w:hAnsi="Times New Roman" w:cs="Times New Roman"/>
          <w:sz w:val="24"/>
          <w:szCs w:val="24"/>
        </w:rPr>
        <w:t xml:space="preserve">t something else that is </w:t>
      </w:r>
      <w:r>
        <w:rPr>
          <w:rFonts w:ascii="Times New Roman" w:hAnsi="Times New Roman" w:cs="Times New Roman"/>
          <w:sz w:val="24"/>
          <w:szCs w:val="24"/>
        </w:rPr>
        <w:t>for the trial court</w:t>
      </w:r>
      <w:r w:rsidR="008947DC">
        <w:rPr>
          <w:rFonts w:ascii="Times New Roman" w:hAnsi="Times New Roman" w:cs="Times New Roman"/>
          <w:sz w:val="24"/>
          <w:szCs w:val="24"/>
        </w:rPr>
        <w:t xml:space="preserve"> to determine</w:t>
      </w:r>
      <w:r>
        <w:rPr>
          <w:rFonts w:ascii="Times New Roman" w:hAnsi="Times New Roman" w:cs="Times New Roman"/>
          <w:sz w:val="24"/>
          <w:szCs w:val="24"/>
        </w:rPr>
        <w:t xml:space="preserve">. That issue cannot be determined at this stage. A criminal matter cannot be determined on the strength of papers placed before the court as happens in motion proceedings. The applicants have a defence which they want disposed of by way of exception. With all due respect, that is not the purpose of an </w:t>
      </w:r>
      <w:r w:rsidR="00910E9B">
        <w:rPr>
          <w:rFonts w:ascii="Times New Roman" w:hAnsi="Times New Roman" w:cs="Times New Roman"/>
          <w:sz w:val="24"/>
          <w:szCs w:val="24"/>
        </w:rPr>
        <w:t>exception</w:t>
      </w:r>
      <w:r w:rsidR="00F02BCE">
        <w:rPr>
          <w:rFonts w:ascii="Times New Roman" w:hAnsi="Times New Roman" w:cs="Times New Roman"/>
          <w:sz w:val="24"/>
          <w:szCs w:val="24"/>
        </w:rPr>
        <w:t>.</w:t>
      </w:r>
    </w:p>
    <w:p w:rsidR="00A86DC3" w:rsidRPr="006F3253" w:rsidRDefault="008A03C5" w:rsidP="00B073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essence of the charge is that the applicants abused their authority as public officers by diverting to a private company, 1000 stands that had been allocated to the</w:t>
      </w:r>
      <w:r w:rsidRPr="008A03C5">
        <w:rPr>
          <w:rFonts w:ascii="Times New Roman" w:hAnsi="Times New Roman" w:cs="Times New Roman"/>
          <w:sz w:val="24"/>
          <w:szCs w:val="24"/>
        </w:rPr>
        <w:t xml:space="preserve"> </w:t>
      </w:r>
      <w:r>
        <w:rPr>
          <w:rFonts w:ascii="Times New Roman" w:hAnsi="Times New Roman" w:cs="Times New Roman"/>
          <w:sz w:val="24"/>
          <w:szCs w:val="24"/>
        </w:rPr>
        <w:t>Ministry of</w:t>
      </w:r>
      <w:r w:rsidRPr="00EE4816">
        <w:rPr>
          <w:rFonts w:ascii="Times New Roman" w:hAnsi="Times New Roman" w:cs="Times New Roman"/>
          <w:sz w:val="24"/>
          <w:szCs w:val="24"/>
        </w:rPr>
        <w:t xml:space="preserve"> </w:t>
      </w:r>
      <w:r>
        <w:rPr>
          <w:rFonts w:ascii="Times New Roman" w:hAnsi="Times New Roman" w:cs="Times New Roman"/>
          <w:sz w:val="24"/>
          <w:szCs w:val="24"/>
        </w:rPr>
        <w:t xml:space="preserve">Local Government, Public Works And National Housing. </w:t>
      </w:r>
      <w:r w:rsidR="00A86DC3">
        <w:rPr>
          <w:rFonts w:ascii="Times New Roman" w:hAnsi="Times New Roman" w:cs="Times New Roman"/>
          <w:sz w:val="24"/>
          <w:szCs w:val="24"/>
        </w:rPr>
        <w:t xml:space="preserve">The charge alleges that the applicants were public officers. </w:t>
      </w:r>
      <w:r w:rsidR="00A20EB8">
        <w:rPr>
          <w:rFonts w:ascii="Times New Roman" w:hAnsi="Times New Roman" w:cs="Times New Roman"/>
          <w:sz w:val="24"/>
          <w:szCs w:val="24"/>
        </w:rPr>
        <w:t xml:space="preserve">As part of the exception it was contended that the post of Provincial Governor or Resident Minister was abolished by the present Constitution. Therefore the continued holding of such post by the applicant after the coming into operation of the Constitution was illegal. I am not persuaded by that argument. </w:t>
      </w:r>
      <w:r w:rsidR="00A86DC3">
        <w:rPr>
          <w:rFonts w:ascii="Times New Roman" w:hAnsi="Times New Roman" w:cs="Times New Roman"/>
          <w:sz w:val="24"/>
          <w:szCs w:val="24"/>
        </w:rPr>
        <w:t>It is irrelevant whether the first applicant was a Governor or not. What will need to be proved is whether he held a paid office</w:t>
      </w:r>
      <w:r>
        <w:rPr>
          <w:rFonts w:ascii="Times New Roman" w:hAnsi="Times New Roman" w:cs="Times New Roman"/>
          <w:sz w:val="24"/>
          <w:szCs w:val="24"/>
        </w:rPr>
        <w:t xml:space="preserve"> </w:t>
      </w:r>
      <w:r w:rsidR="00A20EB8">
        <w:rPr>
          <w:rFonts w:ascii="Times New Roman" w:hAnsi="Times New Roman" w:cs="Times New Roman"/>
          <w:sz w:val="24"/>
          <w:szCs w:val="24"/>
        </w:rPr>
        <w:t>in the service of S</w:t>
      </w:r>
      <w:r w:rsidR="00A86DC3">
        <w:rPr>
          <w:rFonts w:ascii="Times New Roman" w:hAnsi="Times New Roman" w:cs="Times New Roman"/>
          <w:sz w:val="24"/>
          <w:szCs w:val="24"/>
        </w:rPr>
        <w:t xml:space="preserve">tate. </w:t>
      </w:r>
      <w:r w:rsidR="00041620">
        <w:rPr>
          <w:rFonts w:ascii="Times New Roman" w:hAnsi="Times New Roman" w:cs="Times New Roman"/>
          <w:sz w:val="24"/>
          <w:szCs w:val="24"/>
        </w:rPr>
        <w:t>This accords</w:t>
      </w:r>
      <w:r w:rsidR="00A86DC3">
        <w:rPr>
          <w:rFonts w:ascii="Times New Roman" w:hAnsi="Times New Roman" w:cs="Times New Roman"/>
          <w:sz w:val="24"/>
          <w:szCs w:val="24"/>
        </w:rPr>
        <w:t xml:space="preserve"> with the definition of public officer </w:t>
      </w:r>
      <w:r w:rsidR="00A86DC3" w:rsidRPr="006F3253">
        <w:rPr>
          <w:rFonts w:ascii="Times New Roman" w:hAnsi="Times New Roman" w:cs="Times New Roman"/>
          <w:sz w:val="24"/>
          <w:szCs w:val="24"/>
        </w:rPr>
        <w:t>as provided in s 169 of the Code which reads as follows-</w:t>
      </w:r>
    </w:p>
    <w:p w:rsidR="00A20EB8" w:rsidRPr="00041620" w:rsidRDefault="006F3253" w:rsidP="00B0738D">
      <w:pPr>
        <w:autoSpaceDE w:val="0"/>
        <w:autoSpaceDN w:val="0"/>
        <w:adjustRightInd w:val="0"/>
        <w:spacing w:after="0" w:line="360" w:lineRule="auto"/>
        <w:jc w:val="both"/>
        <w:rPr>
          <w:rFonts w:ascii="Symbol" w:hAnsi="Symbol" w:cs="Symbol"/>
          <w:sz w:val="20"/>
          <w:szCs w:val="20"/>
        </w:rPr>
      </w:pPr>
      <w:r>
        <w:rPr>
          <w:rFonts w:ascii="Times New Roman" w:hAnsi="Times New Roman" w:cs="Times New Roman"/>
          <w:sz w:val="20"/>
          <w:szCs w:val="20"/>
        </w:rPr>
        <w:lastRenderedPageBreak/>
        <w:tab/>
      </w:r>
      <w:r w:rsidR="00A86DC3" w:rsidRPr="00041620">
        <w:rPr>
          <w:rFonts w:ascii="Times New Roman" w:hAnsi="Times New Roman" w:cs="Times New Roman"/>
          <w:sz w:val="20"/>
          <w:szCs w:val="20"/>
        </w:rPr>
        <w:t>“</w:t>
      </w:r>
      <w:r w:rsidR="00A20EB8" w:rsidRPr="00041620">
        <w:rPr>
          <w:rFonts w:ascii="Times New Roman" w:hAnsi="Times New Roman" w:cs="Times New Roman"/>
          <w:sz w:val="20"/>
          <w:szCs w:val="20"/>
        </w:rPr>
        <w:t>public officer” means</w:t>
      </w:r>
      <w:r w:rsidR="00A20EB8" w:rsidRPr="00041620">
        <w:rPr>
          <w:rFonts w:ascii="Symbol" w:hAnsi="Symbol" w:cs="Symbol"/>
          <w:sz w:val="20"/>
          <w:szCs w:val="20"/>
        </w:rPr>
        <w:t></w:t>
      </w:r>
    </w:p>
    <w:p w:rsidR="00A20EB8" w:rsidRPr="00041620" w:rsidRDefault="006F3253" w:rsidP="00B0738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00A20EB8" w:rsidRPr="00041620">
        <w:rPr>
          <w:rFonts w:ascii="Times New Roman" w:hAnsi="Times New Roman" w:cs="Times New Roman"/>
          <w:sz w:val="20"/>
          <w:szCs w:val="20"/>
        </w:rPr>
        <w:t>(</w:t>
      </w:r>
      <w:r w:rsidR="00A20EB8" w:rsidRPr="00041620">
        <w:rPr>
          <w:rFonts w:ascii="Times New Roman" w:hAnsi="Times New Roman" w:cs="Times New Roman"/>
          <w:i/>
          <w:iCs/>
          <w:sz w:val="20"/>
          <w:szCs w:val="20"/>
        </w:rPr>
        <w:t>a</w:t>
      </w:r>
      <w:r w:rsidR="00A20EB8" w:rsidRPr="00041620">
        <w:rPr>
          <w:rFonts w:ascii="Times New Roman" w:hAnsi="Times New Roman" w:cs="Times New Roman"/>
          <w:sz w:val="20"/>
          <w:szCs w:val="20"/>
        </w:rPr>
        <w:t>) a Vice-President, Minister or Deputy Minister; or</w:t>
      </w:r>
    </w:p>
    <w:p w:rsidR="00A20EB8" w:rsidRPr="00041620" w:rsidRDefault="006F3253" w:rsidP="00B0738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00A20EB8" w:rsidRPr="00041620">
        <w:rPr>
          <w:rFonts w:ascii="Times New Roman" w:hAnsi="Times New Roman" w:cs="Times New Roman"/>
          <w:sz w:val="20"/>
          <w:szCs w:val="20"/>
        </w:rPr>
        <w:t>(</w:t>
      </w:r>
      <w:r w:rsidR="00A20EB8" w:rsidRPr="00041620">
        <w:rPr>
          <w:rFonts w:ascii="Times New Roman" w:hAnsi="Times New Roman" w:cs="Times New Roman"/>
          <w:i/>
          <w:iCs/>
          <w:sz w:val="20"/>
          <w:szCs w:val="20"/>
        </w:rPr>
        <w:t>b</w:t>
      </w:r>
      <w:r w:rsidR="00A20EB8" w:rsidRPr="00041620">
        <w:rPr>
          <w:rFonts w:ascii="Times New Roman" w:hAnsi="Times New Roman" w:cs="Times New Roman"/>
          <w:sz w:val="20"/>
          <w:szCs w:val="20"/>
        </w:rPr>
        <w:t>) a Chairperson of a Provincial Council elected in terms of section 272 of the Constitution; or</w:t>
      </w:r>
    </w:p>
    <w:p w:rsidR="00A20EB8" w:rsidRPr="00041620" w:rsidRDefault="006F3253" w:rsidP="00B0738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00E911AE" w:rsidRPr="00041620">
        <w:rPr>
          <w:rFonts w:ascii="Times New Roman" w:hAnsi="Times New Roman" w:cs="Times New Roman"/>
          <w:sz w:val="20"/>
          <w:szCs w:val="20"/>
        </w:rPr>
        <w:t xml:space="preserve"> </w:t>
      </w:r>
      <w:r w:rsidR="00A20EB8" w:rsidRPr="00041620">
        <w:rPr>
          <w:rFonts w:ascii="Times New Roman" w:hAnsi="Times New Roman" w:cs="Times New Roman"/>
          <w:sz w:val="20"/>
          <w:szCs w:val="20"/>
        </w:rPr>
        <w:t>(</w:t>
      </w:r>
      <w:r w:rsidR="00A20EB8" w:rsidRPr="00041620">
        <w:rPr>
          <w:rFonts w:ascii="Times New Roman" w:hAnsi="Times New Roman" w:cs="Times New Roman"/>
          <w:i/>
          <w:iCs/>
          <w:sz w:val="20"/>
          <w:szCs w:val="20"/>
        </w:rPr>
        <w:t>c</w:t>
      </w:r>
      <w:r w:rsidR="00A20EB8" w:rsidRPr="00041620">
        <w:rPr>
          <w:rFonts w:ascii="Times New Roman" w:hAnsi="Times New Roman" w:cs="Times New Roman"/>
          <w:sz w:val="20"/>
          <w:szCs w:val="20"/>
        </w:rPr>
        <w:t>) a member of a council, board, committee or other authority which is a statutory body or local</w:t>
      </w:r>
    </w:p>
    <w:p w:rsidR="00A20EB8" w:rsidRPr="00041620" w:rsidRDefault="006F3253" w:rsidP="00B0738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00A20EB8" w:rsidRPr="00041620">
        <w:rPr>
          <w:rFonts w:ascii="Times New Roman" w:hAnsi="Times New Roman" w:cs="Times New Roman"/>
          <w:sz w:val="20"/>
          <w:szCs w:val="20"/>
        </w:rPr>
        <w:t>authority or which is responsible for administering the affairs or business of a statutory body or</w:t>
      </w:r>
    </w:p>
    <w:p w:rsidR="00A20EB8" w:rsidRPr="00041620" w:rsidRDefault="006F3253" w:rsidP="00B0738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00A20EB8" w:rsidRPr="00041620">
        <w:rPr>
          <w:rFonts w:ascii="Times New Roman" w:hAnsi="Times New Roman" w:cs="Times New Roman"/>
          <w:sz w:val="20"/>
          <w:szCs w:val="20"/>
        </w:rPr>
        <w:t>local authority; or</w:t>
      </w:r>
    </w:p>
    <w:p w:rsidR="00A20EB8" w:rsidRPr="00041620" w:rsidRDefault="006F3253" w:rsidP="00B0738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00A20EB8" w:rsidRPr="00041620">
        <w:rPr>
          <w:rFonts w:ascii="Times New Roman" w:hAnsi="Times New Roman" w:cs="Times New Roman"/>
          <w:sz w:val="20"/>
          <w:szCs w:val="20"/>
        </w:rPr>
        <w:t>(</w:t>
      </w:r>
      <w:r w:rsidR="00A20EB8" w:rsidRPr="00041620">
        <w:rPr>
          <w:rFonts w:ascii="Times New Roman" w:hAnsi="Times New Roman" w:cs="Times New Roman"/>
          <w:i/>
          <w:iCs/>
          <w:sz w:val="20"/>
          <w:szCs w:val="20"/>
        </w:rPr>
        <w:t>d</w:t>
      </w:r>
      <w:r w:rsidR="00A20EB8" w:rsidRPr="00041620">
        <w:rPr>
          <w:rFonts w:ascii="Times New Roman" w:hAnsi="Times New Roman" w:cs="Times New Roman"/>
          <w:sz w:val="20"/>
          <w:szCs w:val="20"/>
        </w:rPr>
        <w:t>) a person holding or acting in a paid office in the service of the State, a statutory body or a local</w:t>
      </w:r>
    </w:p>
    <w:p w:rsidR="00A20EB8" w:rsidRPr="00041620" w:rsidRDefault="006F3253" w:rsidP="00B0738D">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r w:rsidR="00A20EB8" w:rsidRPr="00041620">
        <w:rPr>
          <w:rFonts w:ascii="Times New Roman" w:hAnsi="Times New Roman" w:cs="Times New Roman"/>
          <w:sz w:val="20"/>
          <w:szCs w:val="20"/>
        </w:rPr>
        <w:t>authority; or</w:t>
      </w:r>
    </w:p>
    <w:p w:rsidR="00A20EB8" w:rsidRPr="00041620" w:rsidRDefault="006F3253" w:rsidP="00B0738D">
      <w:pPr>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A20EB8" w:rsidRPr="00041620">
        <w:rPr>
          <w:rFonts w:ascii="Times New Roman" w:hAnsi="Times New Roman" w:cs="Times New Roman"/>
          <w:sz w:val="20"/>
          <w:szCs w:val="20"/>
        </w:rPr>
        <w:t>(</w:t>
      </w:r>
      <w:r w:rsidR="00A20EB8" w:rsidRPr="00041620">
        <w:rPr>
          <w:rFonts w:ascii="Times New Roman" w:hAnsi="Times New Roman" w:cs="Times New Roman"/>
          <w:i/>
          <w:iCs/>
          <w:sz w:val="20"/>
          <w:szCs w:val="20"/>
        </w:rPr>
        <w:t>e</w:t>
      </w:r>
      <w:r w:rsidR="00A20EB8" w:rsidRPr="00041620">
        <w:rPr>
          <w:rFonts w:ascii="Times New Roman" w:hAnsi="Times New Roman" w:cs="Times New Roman"/>
          <w:sz w:val="20"/>
          <w:szCs w:val="20"/>
        </w:rPr>
        <w:t>) a judicial officer;”</w:t>
      </w:r>
      <w:r w:rsidR="00EE4816" w:rsidRPr="00041620">
        <w:rPr>
          <w:rFonts w:ascii="Times New Roman" w:hAnsi="Times New Roman" w:cs="Times New Roman"/>
          <w:sz w:val="20"/>
          <w:szCs w:val="20"/>
        </w:rPr>
        <w:t xml:space="preserve"> </w:t>
      </w:r>
      <w:r w:rsidR="009114E8" w:rsidRPr="00041620">
        <w:rPr>
          <w:rFonts w:ascii="Times New Roman" w:hAnsi="Times New Roman" w:cs="Times New Roman"/>
          <w:sz w:val="20"/>
          <w:szCs w:val="20"/>
        </w:rPr>
        <w:t xml:space="preserve"> </w:t>
      </w:r>
    </w:p>
    <w:p w:rsidR="00F23A38" w:rsidRDefault="000308DF" w:rsidP="006F3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been held that superior courts intervene in uncompleted proceedings sparingly. They only do so in rare cases where there is miscarriage of justice. In this respect see </w:t>
      </w:r>
      <w:r w:rsidRPr="002856C9">
        <w:rPr>
          <w:rFonts w:ascii="Times New Roman" w:hAnsi="Times New Roman" w:cs="Times New Roman"/>
          <w:i/>
          <w:sz w:val="24"/>
          <w:szCs w:val="24"/>
        </w:rPr>
        <w:t xml:space="preserve">Attorney-General </w:t>
      </w:r>
      <w:r w:rsidRPr="006F3253">
        <w:rPr>
          <w:rFonts w:ascii="Times New Roman" w:hAnsi="Times New Roman" w:cs="Times New Roman"/>
          <w:sz w:val="24"/>
          <w:szCs w:val="24"/>
        </w:rPr>
        <w:t>v</w:t>
      </w:r>
      <w:r w:rsidRPr="002856C9">
        <w:rPr>
          <w:rFonts w:ascii="Times New Roman" w:hAnsi="Times New Roman" w:cs="Times New Roman"/>
          <w:i/>
          <w:sz w:val="24"/>
          <w:szCs w:val="24"/>
        </w:rPr>
        <w:t xml:space="preserve"> Makamba</w:t>
      </w:r>
      <w:r>
        <w:rPr>
          <w:rFonts w:ascii="Times New Roman" w:hAnsi="Times New Roman" w:cs="Times New Roman"/>
          <w:sz w:val="24"/>
          <w:szCs w:val="24"/>
        </w:rPr>
        <w:t xml:space="preserve"> 2005 (2) ZLR 54 (S).</w:t>
      </w:r>
    </w:p>
    <w:p w:rsidR="006879D8" w:rsidRDefault="000308DF" w:rsidP="006F3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mindful that I am not dealing with the actual review. However, I must be satisfied that the intended review enjoys some prospects of success.</w:t>
      </w:r>
      <w:r w:rsidR="006879D8">
        <w:rPr>
          <w:rFonts w:ascii="Times New Roman" w:hAnsi="Times New Roman" w:cs="Times New Roman"/>
          <w:sz w:val="24"/>
          <w:szCs w:val="24"/>
        </w:rPr>
        <w:t xml:space="preserve"> It looks like the applicants are not happy with the decision to dismiss the exception and not necessarily how that decision was arrived at. The remedy would have been an appeal but the applicants must have found that mounting an appeal at this stage of the proceedings is untenable. Hence the resolve to prosecute this as a review. As was held by </w:t>
      </w:r>
      <w:r w:rsidR="006F3253" w:rsidRPr="006F3253">
        <w:rPr>
          <w:rFonts w:ascii="Times New Roman" w:hAnsi="Times New Roman" w:cs="Times New Roman"/>
          <w:smallCaps/>
          <w:sz w:val="24"/>
          <w:szCs w:val="24"/>
        </w:rPr>
        <w:t>makarau</w:t>
      </w:r>
      <w:r w:rsidR="006879D8">
        <w:rPr>
          <w:rFonts w:ascii="Times New Roman" w:hAnsi="Times New Roman" w:cs="Times New Roman"/>
          <w:sz w:val="24"/>
          <w:szCs w:val="24"/>
        </w:rPr>
        <w:t xml:space="preserve"> J (as she then was) in </w:t>
      </w:r>
      <w:r w:rsidR="006879D8" w:rsidRPr="002856C9">
        <w:rPr>
          <w:rFonts w:ascii="Times New Roman" w:hAnsi="Times New Roman" w:cs="Times New Roman"/>
          <w:i/>
          <w:sz w:val="24"/>
          <w:szCs w:val="24"/>
        </w:rPr>
        <w:t xml:space="preserve">Dombodzvuku </w:t>
      </w:r>
      <w:r w:rsidR="006879D8" w:rsidRPr="006F3253">
        <w:rPr>
          <w:rFonts w:ascii="Times New Roman" w:hAnsi="Times New Roman" w:cs="Times New Roman"/>
          <w:sz w:val="24"/>
          <w:szCs w:val="24"/>
        </w:rPr>
        <w:t>v</w:t>
      </w:r>
      <w:r w:rsidR="006879D8" w:rsidRPr="002856C9">
        <w:rPr>
          <w:rFonts w:ascii="Times New Roman" w:hAnsi="Times New Roman" w:cs="Times New Roman"/>
          <w:i/>
          <w:sz w:val="24"/>
          <w:szCs w:val="24"/>
        </w:rPr>
        <w:t xml:space="preserve"> Sithole  NO and Another</w:t>
      </w:r>
      <w:r w:rsidR="006879D8">
        <w:rPr>
          <w:rFonts w:ascii="Times New Roman" w:hAnsi="Times New Roman" w:cs="Times New Roman"/>
          <w:sz w:val="24"/>
          <w:szCs w:val="24"/>
        </w:rPr>
        <w:t xml:space="preserve"> 2004 (2) ZLR 242 (H) and at 246-</w:t>
      </w:r>
    </w:p>
    <w:p w:rsidR="0092429A" w:rsidRPr="002856C9" w:rsidRDefault="008E3F76" w:rsidP="00B0738D">
      <w:pPr>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6879D8" w:rsidRPr="002856C9">
        <w:rPr>
          <w:rFonts w:ascii="Times New Roman" w:hAnsi="Times New Roman" w:cs="Times New Roman"/>
          <w:sz w:val="20"/>
          <w:szCs w:val="20"/>
        </w:rPr>
        <w:t xml:space="preserve">“A decision is said to be grossly unreasonable if it is completely </w:t>
      </w:r>
      <w:r w:rsidR="005636D7" w:rsidRPr="002856C9">
        <w:rPr>
          <w:rFonts w:ascii="Times New Roman" w:hAnsi="Times New Roman" w:cs="Times New Roman"/>
          <w:sz w:val="20"/>
          <w:szCs w:val="20"/>
        </w:rPr>
        <w:t xml:space="preserve">wrong and is not merely a different </w:t>
      </w:r>
      <w:r>
        <w:rPr>
          <w:rFonts w:ascii="Times New Roman" w:hAnsi="Times New Roman" w:cs="Times New Roman"/>
          <w:sz w:val="20"/>
          <w:szCs w:val="20"/>
        </w:rPr>
        <w:tab/>
      </w:r>
      <w:r w:rsidR="005636D7" w:rsidRPr="002856C9">
        <w:rPr>
          <w:rFonts w:ascii="Times New Roman" w:hAnsi="Times New Roman" w:cs="Times New Roman"/>
          <w:sz w:val="20"/>
          <w:szCs w:val="20"/>
        </w:rPr>
        <w:t xml:space="preserve">way of looking at the issue: see </w:t>
      </w:r>
      <w:r w:rsidR="005636D7" w:rsidRPr="008E3F76">
        <w:rPr>
          <w:rFonts w:ascii="Times New Roman" w:hAnsi="Times New Roman" w:cs="Times New Roman"/>
          <w:i/>
          <w:sz w:val="20"/>
          <w:szCs w:val="20"/>
        </w:rPr>
        <w:t xml:space="preserve">Tenesi </w:t>
      </w:r>
      <w:r w:rsidR="005636D7" w:rsidRPr="002856C9">
        <w:rPr>
          <w:rFonts w:ascii="Times New Roman" w:hAnsi="Times New Roman" w:cs="Times New Roman"/>
          <w:sz w:val="20"/>
          <w:szCs w:val="20"/>
        </w:rPr>
        <w:t xml:space="preserve">v </w:t>
      </w:r>
      <w:r w:rsidR="005636D7" w:rsidRPr="008E3F76">
        <w:rPr>
          <w:rFonts w:ascii="Times New Roman" w:hAnsi="Times New Roman" w:cs="Times New Roman"/>
          <w:i/>
          <w:sz w:val="20"/>
          <w:szCs w:val="20"/>
        </w:rPr>
        <w:t>Public Service Commission</w:t>
      </w:r>
      <w:r w:rsidR="005636D7" w:rsidRPr="002856C9">
        <w:rPr>
          <w:rFonts w:ascii="Times New Roman" w:hAnsi="Times New Roman" w:cs="Times New Roman"/>
          <w:sz w:val="20"/>
          <w:szCs w:val="20"/>
        </w:rPr>
        <w:t xml:space="preserve"> 1996 (1) ZLR 196 (H).”</w:t>
      </w:r>
    </w:p>
    <w:p w:rsidR="000308DF" w:rsidRPr="002856C9" w:rsidRDefault="008E3F76" w:rsidP="00B0738D">
      <w:pPr>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5636D7" w:rsidRPr="002856C9">
        <w:rPr>
          <w:rFonts w:ascii="Times New Roman" w:hAnsi="Times New Roman" w:cs="Times New Roman"/>
          <w:sz w:val="20"/>
          <w:szCs w:val="20"/>
        </w:rPr>
        <w:t xml:space="preserve">As observed in Oskill Properties v Chrmn, Rent Control Board 1985 (2) SA 234 (SEC), the onus </w:t>
      </w:r>
      <w:r>
        <w:rPr>
          <w:rFonts w:ascii="Times New Roman" w:hAnsi="Times New Roman" w:cs="Times New Roman"/>
          <w:sz w:val="20"/>
          <w:szCs w:val="20"/>
        </w:rPr>
        <w:tab/>
      </w:r>
      <w:r w:rsidR="005636D7" w:rsidRPr="002856C9">
        <w:rPr>
          <w:rFonts w:ascii="Times New Roman" w:hAnsi="Times New Roman" w:cs="Times New Roman"/>
          <w:sz w:val="20"/>
          <w:szCs w:val="20"/>
        </w:rPr>
        <w:t xml:space="preserve">resting upon a litigant seeking to set aside the exercise of a discretion on grounds of unreasonableness </w:t>
      </w:r>
      <w:r>
        <w:rPr>
          <w:rFonts w:ascii="Times New Roman" w:hAnsi="Times New Roman" w:cs="Times New Roman"/>
          <w:sz w:val="20"/>
          <w:szCs w:val="20"/>
        </w:rPr>
        <w:tab/>
      </w:r>
      <w:r w:rsidR="005636D7" w:rsidRPr="002856C9">
        <w:rPr>
          <w:rFonts w:ascii="Times New Roman" w:hAnsi="Times New Roman" w:cs="Times New Roman"/>
          <w:sz w:val="20"/>
          <w:szCs w:val="20"/>
        </w:rPr>
        <w:t xml:space="preserve">is considerable. In my view the task is Herculean if it is an interpretation of the law by the judicial </w:t>
      </w:r>
      <w:r>
        <w:rPr>
          <w:rFonts w:ascii="Times New Roman" w:hAnsi="Times New Roman" w:cs="Times New Roman"/>
          <w:sz w:val="20"/>
          <w:szCs w:val="20"/>
        </w:rPr>
        <w:tab/>
      </w:r>
      <w:r w:rsidR="005636D7" w:rsidRPr="002856C9">
        <w:rPr>
          <w:rFonts w:ascii="Times New Roman" w:hAnsi="Times New Roman" w:cs="Times New Roman"/>
          <w:sz w:val="20"/>
          <w:szCs w:val="20"/>
        </w:rPr>
        <w:t xml:space="preserve">officer that is sought to be impugned as being unreasonable. An incorrect rendition of the law cannot </w:t>
      </w:r>
      <w:r>
        <w:rPr>
          <w:rFonts w:ascii="Times New Roman" w:hAnsi="Times New Roman" w:cs="Times New Roman"/>
          <w:sz w:val="20"/>
          <w:szCs w:val="20"/>
        </w:rPr>
        <w:tab/>
      </w:r>
      <w:r w:rsidR="005636D7" w:rsidRPr="002856C9">
        <w:rPr>
          <w:rFonts w:ascii="Times New Roman" w:hAnsi="Times New Roman" w:cs="Times New Roman"/>
          <w:sz w:val="20"/>
          <w:szCs w:val="20"/>
        </w:rPr>
        <w:t xml:space="preserve">be grossly unreasonable merely because it does not find favour with its attacker. The person attacking it </w:t>
      </w:r>
      <w:r>
        <w:rPr>
          <w:rFonts w:ascii="Times New Roman" w:hAnsi="Times New Roman" w:cs="Times New Roman"/>
          <w:sz w:val="20"/>
          <w:szCs w:val="20"/>
        </w:rPr>
        <w:tab/>
      </w:r>
      <w:r w:rsidR="005636D7" w:rsidRPr="002856C9">
        <w:rPr>
          <w:rFonts w:ascii="Times New Roman" w:hAnsi="Times New Roman" w:cs="Times New Roman"/>
          <w:sz w:val="20"/>
          <w:szCs w:val="20"/>
        </w:rPr>
        <w:t>must go further and show that</w:t>
      </w:r>
      <w:r w:rsidR="00E93FC6" w:rsidRPr="002856C9">
        <w:rPr>
          <w:rFonts w:ascii="Times New Roman" w:hAnsi="Times New Roman" w:cs="Times New Roman"/>
          <w:sz w:val="20"/>
          <w:szCs w:val="20"/>
        </w:rPr>
        <w:t xml:space="preserve"> on the facts before the court, the decision reached defies all logic and is </w:t>
      </w:r>
      <w:r>
        <w:rPr>
          <w:rFonts w:ascii="Times New Roman" w:hAnsi="Times New Roman" w:cs="Times New Roman"/>
          <w:sz w:val="20"/>
          <w:szCs w:val="20"/>
        </w:rPr>
        <w:tab/>
      </w:r>
      <w:r w:rsidR="00E93FC6" w:rsidRPr="002856C9">
        <w:rPr>
          <w:rFonts w:ascii="Times New Roman" w:hAnsi="Times New Roman" w:cs="Times New Roman"/>
          <w:sz w:val="20"/>
          <w:szCs w:val="20"/>
        </w:rPr>
        <w:t xml:space="preserve">completely wrong. A different opinion of the law, clearly showing how it was arrived at, cannot be said </w:t>
      </w:r>
      <w:r>
        <w:rPr>
          <w:rFonts w:ascii="Times New Roman" w:hAnsi="Times New Roman" w:cs="Times New Roman"/>
          <w:sz w:val="20"/>
          <w:szCs w:val="20"/>
        </w:rPr>
        <w:tab/>
      </w:r>
      <w:r w:rsidR="00E93FC6" w:rsidRPr="002856C9">
        <w:rPr>
          <w:rFonts w:ascii="Times New Roman" w:hAnsi="Times New Roman" w:cs="Times New Roman"/>
          <w:sz w:val="20"/>
          <w:szCs w:val="20"/>
        </w:rPr>
        <w:t xml:space="preserve">to defy logic. It may be wrong but may not necessarily be unreasonable. GARWE J, as he then was, </w:t>
      </w:r>
      <w:r>
        <w:rPr>
          <w:rFonts w:ascii="Times New Roman" w:hAnsi="Times New Roman" w:cs="Times New Roman"/>
          <w:sz w:val="20"/>
          <w:szCs w:val="20"/>
        </w:rPr>
        <w:tab/>
      </w:r>
      <w:r w:rsidR="00E93FC6" w:rsidRPr="002856C9">
        <w:rPr>
          <w:rFonts w:ascii="Times New Roman" w:hAnsi="Times New Roman" w:cs="Times New Roman"/>
          <w:sz w:val="20"/>
          <w:szCs w:val="20"/>
        </w:rPr>
        <w:t xml:space="preserve">observed in </w:t>
      </w:r>
      <w:r w:rsidR="00E93FC6" w:rsidRPr="008E3F76">
        <w:rPr>
          <w:rFonts w:ascii="Times New Roman" w:hAnsi="Times New Roman" w:cs="Times New Roman"/>
          <w:i/>
          <w:sz w:val="20"/>
          <w:szCs w:val="20"/>
        </w:rPr>
        <w:t>Zambezi Proteins (Pvt) Ltd &amp; Ors</w:t>
      </w:r>
      <w:r w:rsidR="00E93FC6" w:rsidRPr="002856C9">
        <w:rPr>
          <w:rFonts w:ascii="Times New Roman" w:hAnsi="Times New Roman" w:cs="Times New Roman"/>
          <w:sz w:val="20"/>
          <w:szCs w:val="20"/>
        </w:rPr>
        <w:t xml:space="preserve"> v </w:t>
      </w:r>
      <w:r w:rsidR="00E93FC6" w:rsidRPr="008E3F76">
        <w:rPr>
          <w:rFonts w:ascii="Times New Roman" w:hAnsi="Times New Roman" w:cs="Times New Roman"/>
          <w:i/>
          <w:sz w:val="20"/>
          <w:szCs w:val="20"/>
        </w:rPr>
        <w:t>Minister of Environment &amp; Tourism &amp; Anor</w:t>
      </w:r>
      <w:r w:rsidR="00E93FC6" w:rsidRPr="002856C9">
        <w:rPr>
          <w:rFonts w:ascii="Times New Roman" w:hAnsi="Times New Roman" w:cs="Times New Roman"/>
          <w:sz w:val="20"/>
          <w:szCs w:val="20"/>
        </w:rPr>
        <w:t xml:space="preserve"> 1996 (1) </w:t>
      </w:r>
      <w:r>
        <w:rPr>
          <w:rFonts w:ascii="Times New Roman" w:hAnsi="Times New Roman" w:cs="Times New Roman"/>
          <w:sz w:val="20"/>
          <w:szCs w:val="20"/>
        </w:rPr>
        <w:tab/>
      </w:r>
      <w:r w:rsidR="00E93FC6" w:rsidRPr="002856C9">
        <w:rPr>
          <w:rFonts w:ascii="Times New Roman" w:hAnsi="Times New Roman" w:cs="Times New Roman"/>
          <w:sz w:val="20"/>
          <w:szCs w:val="20"/>
        </w:rPr>
        <w:t xml:space="preserve">ZLR 378 (H), not every mistaken exercise of judgment is unreasonable and not </w:t>
      </w:r>
      <w:r w:rsidR="00880AB8" w:rsidRPr="002856C9">
        <w:rPr>
          <w:rFonts w:ascii="Times New Roman" w:hAnsi="Times New Roman" w:cs="Times New Roman"/>
          <w:sz w:val="20"/>
          <w:szCs w:val="20"/>
        </w:rPr>
        <w:t>every</w:t>
      </w:r>
      <w:r w:rsidR="00E93FC6" w:rsidRPr="002856C9">
        <w:rPr>
          <w:rFonts w:ascii="Times New Roman" w:hAnsi="Times New Roman" w:cs="Times New Roman"/>
          <w:sz w:val="20"/>
          <w:szCs w:val="20"/>
        </w:rPr>
        <w:t xml:space="preserve"> reasonable </w:t>
      </w:r>
      <w:r>
        <w:rPr>
          <w:rFonts w:ascii="Times New Roman" w:hAnsi="Times New Roman" w:cs="Times New Roman"/>
          <w:sz w:val="20"/>
          <w:szCs w:val="20"/>
        </w:rPr>
        <w:tab/>
      </w:r>
      <w:r w:rsidR="00E93FC6" w:rsidRPr="002856C9">
        <w:rPr>
          <w:rFonts w:ascii="Times New Roman" w:hAnsi="Times New Roman" w:cs="Times New Roman"/>
          <w:sz w:val="20"/>
          <w:szCs w:val="20"/>
        </w:rPr>
        <w:t>exercise of judgment is right.”</w:t>
      </w:r>
      <w:r w:rsidR="005636D7" w:rsidRPr="002856C9">
        <w:rPr>
          <w:rFonts w:ascii="Times New Roman" w:hAnsi="Times New Roman" w:cs="Times New Roman"/>
          <w:sz w:val="20"/>
          <w:szCs w:val="20"/>
        </w:rPr>
        <w:t xml:space="preserve"> </w:t>
      </w:r>
      <w:r w:rsidR="000308DF" w:rsidRPr="002856C9">
        <w:rPr>
          <w:rFonts w:ascii="Times New Roman" w:hAnsi="Times New Roman" w:cs="Times New Roman"/>
          <w:sz w:val="20"/>
          <w:szCs w:val="20"/>
        </w:rPr>
        <w:t xml:space="preserve"> </w:t>
      </w:r>
    </w:p>
    <w:p w:rsidR="0092429A" w:rsidRDefault="0092429A" w:rsidP="00B073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above analysis, I do not see the applicants succeeding in their quest to set aside the dismissal of their exception by way of review. It has become fashionable to </w:t>
      </w:r>
      <w:r>
        <w:rPr>
          <w:rFonts w:ascii="Times New Roman" w:hAnsi="Times New Roman" w:cs="Times New Roman"/>
          <w:sz w:val="24"/>
          <w:szCs w:val="24"/>
        </w:rPr>
        <w:lastRenderedPageBreak/>
        <w:t>challenge the dismissal of exceptions by way of review even where as in this case, it is evident that the applicants have not demonstrated how they were prejudiced in their defence.</w:t>
      </w:r>
    </w:p>
    <w:p w:rsidR="005B7CE8" w:rsidRDefault="00F23A38" w:rsidP="00B073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 then that the application for stay of proceedings be and is hereby dismissed.</w:t>
      </w:r>
    </w:p>
    <w:p w:rsidR="005B7CE8" w:rsidRDefault="005B7CE8" w:rsidP="00B0738D">
      <w:pPr>
        <w:spacing w:line="360" w:lineRule="auto"/>
        <w:jc w:val="both"/>
        <w:rPr>
          <w:rFonts w:ascii="Times New Roman" w:hAnsi="Times New Roman" w:cs="Times New Roman"/>
          <w:sz w:val="24"/>
          <w:szCs w:val="24"/>
        </w:rPr>
      </w:pPr>
    </w:p>
    <w:p w:rsidR="005B7CE8" w:rsidRDefault="005B7CE8" w:rsidP="00880AB8">
      <w:pPr>
        <w:spacing w:after="0" w:line="240" w:lineRule="auto"/>
        <w:jc w:val="both"/>
        <w:rPr>
          <w:rFonts w:ascii="Times New Roman" w:hAnsi="Times New Roman" w:cs="Times New Roman"/>
          <w:sz w:val="24"/>
          <w:szCs w:val="24"/>
        </w:rPr>
      </w:pPr>
      <w:r w:rsidRPr="002856C9">
        <w:rPr>
          <w:rFonts w:ascii="Times New Roman" w:hAnsi="Times New Roman" w:cs="Times New Roman"/>
          <w:i/>
          <w:sz w:val="24"/>
          <w:szCs w:val="24"/>
        </w:rPr>
        <w:t>Mbidzo Muchadehama &amp; Makoni</w:t>
      </w:r>
      <w:r>
        <w:rPr>
          <w:rFonts w:ascii="Times New Roman" w:hAnsi="Times New Roman" w:cs="Times New Roman"/>
          <w:sz w:val="24"/>
          <w:szCs w:val="24"/>
        </w:rPr>
        <w:t>, applicants’ legal practi</w:t>
      </w:r>
      <w:r w:rsidR="00D74F5D">
        <w:rPr>
          <w:rFonts w:ascii="Times New Roman" w:hAnsi="Times New Roman" w:cs="Times New Roman"/>
          <w:sz w:val="24"/>
          <w:szCs w:val="24"/>
        </w:rPr>
        <w:t>ti</w:t>
      </w:r>
      <w:r>
        <w:rPr>
          <w:rFonts w:ascii="Times New Roman" w:hAnsi="Times New Roman" w:cs="Times New Roman"/>
          <w:sz w:val="24"/>
          <w:szCs w:val="24"/>
        </w:rPr>
        <w:t>oners</w:t>
      </w:r>
    </w:p>
    <w:p w:rsidR="00D74F5D" w:rsidRDefault="00D74F5D" w:rsidP="00880AB8">
      <w:pPr>
        <w:spacing w:after="0" w:line="240" w:lineRule="auto"/>
        <w:jc w:val="both"/>
        <w:rPr>
          <w:rFonts w:ascii="Times New Roman" w:hAnsi="Times New Roman" w:cs="Times New Roman"/>
          <w:sz w:val="24"/>
          <w:szCs w:val="24"/>
        </w:rPr>
      </w:pPr>
      <w:r w:rsidRPr="002856C9">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880AB8">
        <w:rPr>
          <w:rFonts w:ascii="Times New Roman" w:hAnsi="Times New Roman" w:cs="Times New Roman"/>
          <w:sz w:val="24"/>
          <w:szCs w:val="24"/>
        </w:rPr>
        <w:t>1</w:t>
      </w:r>
      <w:r w:rsidR="00880AB8" w:rsidRPr="00880AB8">
        <w:rPr>
          <w:rFonts w:ascii="Times New Roman" w:hAnsi="Times New Roman" w:cs="Times New Roman"/>
          <w:sz w:val="24"/>
          <w:szCs w:val="24"/>
          <w:vertAlign w:val="superscript"/>
        </w:rPr>
        <w:t>st</w:t>
      </w:r>
      <w:r w:rsidR="00880AB8">
        <w:rPr>
          <w:rFonts w:ascii="Times New Roman" w:hAnsi="Times New Roman" w:cs="Times New Roman"/>
          <w:sz w:val="24"/>
          <w:szCs w:val="24"/>
        </w:rPr>
        <w:t xml:space="preserve"> </w:t>
      </w:r>
      <w:r>
        <w:rPr>
          <w:rFonts w:ascii="Times New Roman" w:hAnsi="Times New Roman" w:cs="Times New Roman"/>
          <w:sz w:val="24"/>
          <w:szCs w:val="24"/>
        </w:rPr>
        <w:t>respondent’s legal practitioners</w:t>
      </w:r>
    </w:p>
    <w:p w:rsidR="009114E8" w:rsidRPr="00A20EB8" w:rsidRDefault="00F23A38" w:rsidP="00880A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9114E8" w:rsidRPr="00A20EB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394" w:rsidRDefault="00376394" w:rsidP="00CE233C">
      <w:pPr>
        <w:spacing w:after="0" w:line="240" w:lineRule="auto"/>
      </w:pPr>
      <w:r>
        <w:separator/>
      </w:r>
    </w:p>
  </w:endnote>
  <w:endnote w:type="continuationSeparator" w:id="0">
    <w:p w:rsidR="00376394" w:rsidRDefault="00376394" w:rsidP="00CE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394" w:rsidRDefault="00376394" w:rsidP="00CE233C">
      <w:pPr>
        <w:spacing w:after="0" w:line="240" w:lineRule="auto"/>
      </w:pPr>
      <w:r>
        <w:separator/>
      </w:r>
    </w:p>
  </w:footnote>
  <w:footnote w:type="continuationSeparator" w:id="0">
    <w:p w:rsidR="00376394" w:rsidRDefault="00376394" w:rsidP="00CE2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54418"/>
      <w:docPartObj>
        <w:docPartGallery w:val="Page Numbers (Top of Page)"/>
        <w:docPartUnique/>
      </w:docPartObj>
    </w:sdtPr>
    <w:sdtEndPr>
      <w:rPr>
        <w:noProof/>
      </w:rPr>
    </w:sdtEndPr>
    <w:sdtContent>
      <w:p w:rsidR="00CE233C" w:rsidRDefault="00CE233C">
        <w:pPr>
          <w:pStyle w:val="Header"/>
          <w:jc w:val="right"/>
          <w:rPr>
            <w:noProof/>
          </w:rPr>
        </w:pPr>
        <w:r>
          <w:fldChar w:fldCharType="begin"/>
        </w:r>
        <w:r>
          <w:instrText xml:space="preserve"> PAGE   \* MERGEFORMAT </w:instrText>
        </w:r>
        <w:r>
          <w:fldChar w:fldCharType="separate"/>
        </w:r>
        <w:r w:rsidR="00BB7C79">
          <w:rPr>
            <w:noProof/>
          </w:rPr>
          <w:t>1</w:t>
        </w:r>
        <w:r>
          <w:rPr>
            <w:noProof/>
          </w:rPr>
          <w:fldChar w:fldCharType="end"/>
        </w:r>
      </w:p>
      <w:p w:rsidR="00CE233C" w:rsidRDefault="00CE233C">
        <w:pPr>
          <w:pStyle w:val="Header"/>
          <w:jc w:val="right"/>
          <w:rPr>
            <w:noProof/>
          </w:rPr>
        </w:pPr>
        <w:r>
          <w:rPr>
            <w:noProof/>
          </w:rPr>
          <w:t>HH</w:t>
        </w:r>
        <w:r w:rsidR="009A58CC">
          <w:rPr>
            <w:noProof/>
          </w:rPr>
          <w:t xml:space="preserve"> 835-18</w:t>
        </w:r>
      </w:p>
      <w:p w:rsidR="00CE233C" w:rsidRDefault="00CE233C">
        <w:pPr>
          <w:pStyle w:val="Header"/>
          <w:jc w:val="right"/>
        </w:pPr>
        <w:r>
          <w:rPr>
            <w:noProof/>
          </w:rPr>
          <w:t>HC 11076/18</w:t>
        </w:r>
      </w:p>
    </w:sdtContent>
  </w:sdt>
  <w:p w:rsidR="00CE233C" w:rsidRDefault="00CE23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31937"/>
    <w:multiLevelType w:val="hybridMultilevel"/>
    <w:tmpl w:val="0134731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70"/>
    <w:rsid w:val="000308DF"/>
    <w:rsid w:val="00041620"/>
    <w:rsid w:val="00092586"/>
    <w:rsid w:val="000A772C"/>
    <w:rsid w:val="000B0783"/>
    <w:rsid w:val="0013503E"/>
    <w:rsid w:val="001A586D"/>
    <w:rsid w:val="001F6D4C"/>
    <w:rsid w:val="00216484"/>
    <w:rsid w:val="002856C9"/>
    <w:rsid w:val="003247A9"/>
    <w:rsid w:val="00376394"/>
    <w:rsid w:val="003D1391"/>
    <w:rsid w:val="00430DDD"/>
    <w:rsid w:val="004433CB"/>
    <w:rsid w:val="00510F6C"/>
    <w:rsid w:val="005636D7"/>
    <w:rsid w:val="005A1C5E"/>
    <w:rsid w:val="005B7CE8"/>
    <w:rsid w:val="005D188A"/>
    <w:rsid w:val="00603AAF"/>
    <w:rsid w:val="006310CE"/>
    <w:rsid w:val="00641753"/>
    <w:rsid w:val="006879D8"/>
    <w:rsid w:val="006F3253"/>
    <w:rsid w:val="00721591"/>
    <w:rsid w:val="00755B55"/>
    <w:rsid w:val="007B7C34"/>
    <w:rsid w:val="00880AB8"/>
    <w:rsid w:val="008947DC"/>
    <w:rsid w:val="008A03C5"/>
    <w:rsid w:val="008A30ED"/>
    <w:rsid w:val="008E0E0B"/>
    <w:rsid w:val="008E3F76"/>
    <w:rsid w:val="00910E9B"/>
    <w:rsid w:val="009114E8"/>
    <w:rsid w:val="0092429A"/>
    <w:rsid w:val="009A58CC"/>
    <w:rsid w:val="009E1A45"/>
    <w:rsid w:val="009E21F2"/>
    <w:rsid w:val="009F1283"/>
    <w:rsid w:val="00A00645"/>
    <w:rsid w:val="00A20EB8"/>
    <w:rsid w:val="00A86DC3"/>
    <w:rsid w:val="00AA1865"/>
    <w:rsid w:val="00AD1FA7"/>
    <w:rsid w:val="00B0738D"/>
    <w:rsid w:val="00B73CAA"/>
    <w:rsid w:val="00B853BC"/>
    <w:rsid w:val="00BB7C79"/>
    <w:rsid w:val="00CE233C"/>
    <w:rsid w:val="00D74F5D"/>
    <w:rsid w:val="00DB3F4C"/>
    <w:rsid w:val="00DD2D70"/>
    <w:rsid w:val="00E52DFB"/>
    <w:rsid w:val="00E911AE"/>
    <w:rsid w:val="00E93FC6"/>
    <w:rsid w:val="00EA2FA2"/>
    <w:rsid w:val="00EC53E6"/>
    <w:rsid w:val="00EE4816"/>
    <w:rsid w:val="00EE68D8"/>
    <w:rsid w:val="00F02BCE"/>
    <w:rsid w:val="00F23A38"/>
    <w:rsid w:val="00F31391"/>
    <w:rsid w:val="00FA5ED6"/>
    <w:rsid w:val="00FF3D93"/>
    <w:rsid w:val="00FF61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DC8BE-90AF-478C-B034-6D7C6A6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F4C"/>
    <w:pPr>
      <w:ind w:left="720"/>
      <w:contextualSpacing/>
    </w:pPr>
  </w:style>
  <w:style w:type="paragraph" w:styleId="Header">
    <w:name w:val="header"/>
    <w:basedOn w:val="Normal"/>
    <w:link w:val="HeaderChar"/>
    <w:uiPriority w:val="99"/>
    <w:unhideWhenUsed/>
    <w:rsid w:val="00CE2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33C"/>
  </w:style>
  <w:style w:type="paragraph" w:styleId="Footer">
    <w:name w:val="footer"/>
    <w:basedOn w:val="Normal"/>
    <w:link w:val="FooterChar"/>
    <w:uiPriority w:val="99"/>
    <w:unhideWhenUsed/>
    <w:rsid w:val="00CE2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33C"/>
  </w:style>
  <w:style w:type="paragraph" w:styleId="BalloonText">
    <w:name w:val="Balloon Text"/>
    <w:basedOn w:val="Normal"/>
    <w:link w:val="BalloonTextChar"/>
    <w:uiPriority w:val="99"/>
    <w:semiHidden/>
    <w:unhideWhenUsed/>
    <w:rsid w:val="005D1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8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2484</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2018-12-19T12:45:00Z</cp:lastPrinted>
  <dcterms:created xsi:type="dcterms:W3CDTF">2019-01-02T10:46:00Z</dcterms:created>
  <dcterms:modified xsi:type="dcterms:W3CDTF">2019-01-02T10:46:00Z</dcterms:modified>
</cp:coreProperties>
</file>