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46" w:rsidRDefault="00F51946" w:rsidP="00F5194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FA5FF3">
        <w:rPr>
          <w:b/>
          <w:sz w:val="22"/>
          <w:szCs w:val="22"/>
        </w:rPr>
        <w:t>761</w:t>
      </w:r>
      <w:r>
        <w:rPr>
          <w:b/>
          <w:sz w:val="22"/>
          <w:szCs w:val="22"/>
        </w:rPr>
        <w:t>/2016</w:t>
      </w:r>
    </w:p>
    <w:p w:rsidR="00F51946" w:rsidRDefault="00F51946" w:rsidP="00F51946">
      <w:pPr>
        <w:spacing w:line="360" w:lineRule="auto"/>
        <w:jc w:val="both"/>
        <w:rPr>
          <w:b/>
          <w:sz w:val="22"/>
          <w:szCs w:val="22"/>
        </w:rPr>
      </w:pPr>
    </w:p>
    <w:p w:rsidR="00F51946" w:rsidRDefault="00F51946" w:rsidP="00F5194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13 OCTOBER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CASE NO. LC/H/APP/693/16</w:t>
      </w:r>
    </w:p>
    <w:p w:rsidR="00F51946" w:rsidRDefault="00F51946" w:rsidP="00F5194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FA5FF3">
        <w:rPr>
          <w:b/>
          <w:sz w:val="22"/>
          <w:szCs w:val="22"/>
        </w:rPr>
        <w:t xml:space="preserve">2 </w:t>
      </w:r>
      <w:r w:rsidR="00FB3E8A">
        <w:rPr>
          <w:b/>
          <w:sz w:val="22"/>
          <w:szCs w:val="22"/>
        </w:rPr>
        <w:t>DECEMBER</w:t>
      </w:r>
      <w:bookmarkStart w:id="0" w:name="_GoBack"/>
      <w:bookmarkEnd w:id="0"/>
      <w:r>
        <w:rPr>
          <w:b/>
          <w:sz w:val="22"/>
          <w:szCs w:val="22"/>
        </w:rPr>
        <w:t xml:space="preserve"> 2016</w:t>
      </w:r>
    </w:p>
    <w:p w:rsidR="00F51946" w:rsidRDefault="00F51946" w:rsidP="00F51946">
      <w:pPr>
        <w:spacing w:line="360" w:lineRule="auto"/>
        <w:jc w:val="both"/>
        <w:rPr>
          <w:b/>
          <w:sz w:val="22"/>
          <w:szCs w:val="22"/>
        </w:rPr>
      </w:pPr>
    </w:p>
    <w:p w:rsidR="00F51946" w:rsidRDefault="00F51946" w:rsidP="00F51946">
      <w:pPr>
        <w:spacing w:line="360" w:lineRule="auto"/>
        <w:jc w:val="both"/>
      </w:pPr>
    </w:p>
    <w:p w:rsidR="00F51946" w:rsidRDefault="00B3180D" w:rsidP="00F51946">
      <w:pPr>
        <w:spacing w:line="360" w:lineRule="auto"/>
        <w:jc w:val="both"/>
        <w:rPr>
          <w:b/>
        </w:rPr>
      </w:pPr>
      <w:r>
        <w:rPr>
          <w:b/>
        </w:rPr>
        <w:t>JAIROS SARANGIKA</w:t>
      </w:r>
      <w:r>
        <w:rPr>
          <w:b/>
        </w:rPr>
        <w:tab/>
      </w:r>
      <w:r w:rsidR="00F51946">
        <w:rPr>
          <w:b/>
        </w:rPr>
        <w:tab/>
      </w:r>
      <w:r w:rsidR="00F51946">
        <w:rPr>
          <w:b/>
        </w:rPr>
        <w:tab/>
      </w:r>
      <w:r w:rsidR="00F51946">
        <w:rPr>
          <w:b/>
        </w:rPr>
        <w:tab/>
      </w:r>
      <w:r w:rsidR="00F51946">
        <w:rPr>
          <w:b/>
        </w:rPr>
        <w:tab/>
      </w:r>
      <w:r w:rsidR="00F51946">
        <w:rPr>
          <w:b/>
        </w:rPr>
        <w:tab/>
        <w:t>Applicant</w:t>
      </w:r>
    </w:p>
    <w:p w:rsidR="00F51946" w:rsidRDefault="00F51946" w:rsidP="00F51946">
      <w:pPr>
        <w:spacing w:line="360" w:lineRule="auto"/>
        <w:jc w:val="both"/>
        <w:rPr>
          <w:b/>
        </w:rPr>
      </w:pPr>
    </w:p>
    <w:p w:rsidR="00B3180D" w:rsidRDefault="00B3180D" w:rsidP="00F51946">
      <w:pPr>
        <w:spacing w:line="360" w:lineRule="auto"/>
        <w:jc w:val="both"/>
        <w:rPr>
          <w:b/>
        </w:rPr>
      </w:pPr>
      <w:r>
        <w:rPr>
          <w:b/>
        </w:rPr>
        <w:t>MARTIN MILLERS ENGINEERS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1946">
        <w:rPr>
          <w:b/>
        </w:rPr>
        <w:t xml:space="preserve">Respondent </w:t>
      </w:r>
    </w:p>
    <w:p w:rsidR="00F51946" w:rsidRDefault="00B3180D" w:rsidP="00F51946">
      <w:pPr>
        <w:spacing w:line="360" w:lineRule="auto"/>
        <w:jc w:val="both"/>
        <w:rPr>
          <w:b/>
        </w:rPr>
      </w:pPr>
      <w:r>
        <w:rPr>
          <w:b/>
        </w:rPr>
        <w:t>(PRIVATE) LIMITED)</w:t>
      </w:r>
      <w:r w:rsidR="00F51946">
        <w:rPr>
          <w:b/>
        </w:rPr>
        <w:tab/>
      </w:r>
    </w:p>
    <w:p w:rsidR="00F51946" w:rsidRDefault="00F51946" w:rsidP="00F51946">
      <w:pPr>
        <w:spacing w:line="360" w:lineRule="auto"/>
        <w:jc w:val="both"/>
        <w:rPr>
          <w:b/>
        </w:rPr>
      </w:pPr>
    </w:p>
    <w:p w:rsidR="00F51946" w:rsidRDefault="00F51946" w:rsidP="00F51946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F51946" w:rsidRDefault="00F51946" w:rsidP="00F51946">
      <w:pPr>
        <w:spacing w:line="360" w:lineRule="auto"/>
        <w:jc w:val="both"/>
      </w:pPr>
    </w:p>
    <w:p w:rsidR="00F51946" w:rsidRDefault="00214A80" w:rsidP="00F51946">
      <w:pPr>
        <w:spacing w:line="360" w:lineRule="auto"/>
        <w:jc w:val="both"/>
        <w:rPr>
          <w:b/>
        </w:rPr>
      </w:pPr>
      <w:r>
        <w:rPr>
          <w:b/>
        </w:rPr>
        <w:t>For Applicant</w:t>
      </w:r>
      <w:r>
        <w:rPr>
          <w:b/>
        </w:rPr>
        <w:tab/>
      </w:r>
      <w:r>
        <w:rPr>
          <w:b/>
        </w:rPr>
        <w:tab/>
        <w:t>Ms T. Manhanzva, Attorney</w:t>
      </w:r>
      <w:r w:rsidR="00F51946">
        <w:rPr>
          <w:b/>
        </w:rPr>
        <w:t xml:space="preserve"> </w:t>
      </w:r>
      <w:r w:rsidR="00F51946">
        <w:rPr>
          <w:b/>
        </w:rPr>
        <w:tab/>
      </w:r>
      <w:r w:rsidR="00F51946">
        <w:rPr>
          <w:b/>
        </w:rPr>
        <w:tab/>
      </w:r>
    </w:p>
    <w:p w:rsidR="00F51946" w:rsidRDefault="00F51946" w:rsidP="00F51946">
      <w:pPr>
        <w:jc w:val="both"/>
        <w:rPr>
          <w:b/>
        </w:rPr>
      </w:pPr>
      <w:r>
        <w:rPr>
          <w:b/>
        </w:rPr>
        <w:tab/>
      </w:r>
    </w:p>
    <w:p w:rsidR="00F51946" w:rsidRDefault="00F51946" w:rsidP="00F51946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214A80">
        <w:rPr>
          <w:b/>
        </w:rPr>
        <w:tab/>
      </w:r>
      <w:r w:rsidR="00214A80">
        <w:rPr>
          <w:b/>
        </w:rPr>
        <w:tab/>
        <w:t>Mr B. Makururu, Attorney</w:t>
      </w:r>
      <w:r>
        <w:rPr>
          <w:b/>
        </w:rPr>
        <w:tab/>
      </w:r>
      <w:r>
        <w:rPr>
          <w:b/>
        </w:rPr>
        <w:tab/>
      </w:r>
    </w:p>
    <w:p w:rsidR="00F51946" w:rsidRDefault="00F51946" w:rsidP="00F51946">
      <w:pPr>
        <w:spacing w:line="360" w:lineRule="auto"/>
        <w:jc w:val="both"/>
        <w:rPr>
          <w:b/>
          <w:sz w:val="28"/>
          <w:szCs w:val="28"/>
        </w:rPr>
      </w:pPr>
    </w:p>
    <w:p w:rsidR="00F51946" w:rsidRDefault="00F51946" w:rsidP="00F51946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F51946" w:rsidRDefault="00F51946" w:rsidP="00F51946"/>
    <w:p w:rsidR="00762997" w:rsidRDefault="00762997" w:rsidP="00C631FE">
      <w:pPr>
        <w:jc w:val="both"/>
      </w:pPr>
    </w:p>
    <w:p w:rsidR="009F6A6C" w:rsidRDefault="009F6A6C" w:rsidP="009F6A6C">
      <w:pPr>
        <w:spacing w:line="360" w:lineRule="auto"/>
        <w:jc w:val="both"/>
      </w:pPr>
      <w:r>
        <w:t>On 11</w:t>
      </w:r>
      <w:r w:rsidRPr="009F6A6C">
        <w:rPr>
          <w:vertAlign w:val="superscript"/>
        </w:rPr>
        <w:t>th</w:t>
      </w:r>
      <w:r>
        <w:t xml:space="preserve"> July 2016 Applicant filed in this Court an application “for</w:t>
      </w:r>
      <w:r w:rsidR="00F66089">
        <w:t xml:space="preserve"> quantification of damages”. Respondent opposed the application.  The basis of the opposition was set out in the affidavit of Ms Virginia Nyaungwa as follows,</w:t>
      </w:r>
    </w:p>
    <w:p w:rsidR="006C579E" w:rsidRDefault="006C579E" w:rsidP="00083DAA">
      <w:pPr>
        <w:jc w:val="both"/>
      </w:pPr>
    </w:p>
    <w:p w:rsidR="006C579E" w:rsidRPr="00C631FE" w:rsidRDefault="006C579E" w:rsidP="00C631FE">
      <w:pPr>
        <w:spacing w:line="276" w:lineRule="auto"/>
        <w:jc w:val="both"/>
        <w:rPr>
          <w:sz w:val="22"/>
          <w:szCs w:val="22"/>
        </w:rPr>
      </w:pPr>
      <w:r>
        <w:tab/>
      </w:r>
      <w:r w:rsidRPr="00C631FE">
        <w:rPr>
          <w:sz w:val="22"/>
          <w:szCs w:val="22"/>
        </w:rPr>
        <w:t>“</w:t>
      </w:r>
      <w:r w:rsidRPr="00C631FE">
        <w:rPr>
          <w:i/>
          <w:sz w:val="22"/>
          <w:szCs w:val="22"/>
        </w:rPr>
        <w:t>In Limine</w:t>
      </w:r>
    </w:p>
    <w:p w:rsidR="006C579E" w:rsidRPr="00C631FE" w:rsidRDefault="006C579E" w:rsidP="00C631FE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631FE">
        <w:rPr>
          <w:sz w:val="22"/>
          <w:szCs w:val="22"/>
        </w:rPr>
        <w:t>This honourable (sic) no longer has jurisdiction to hear and determine the issue of quantification</w:t>
      </w:r>
      <w:r w:rsidR="009D7C0E">
        <w:rPr>
          <w:sz w:val="22"/>
          <w:szCs w:val="22"/>
        </w:rPr>
        <w:t xml:space="preserve"> on</w:t>
      </w:r>
      <w:r w:rsidRPr="00C631FE">
        <w:rPr>
          <w:sz w:val="22"/>
          <w:szCs w:val="22"/>
        </w:rPr>
        <w:t xml:space="preserve"> the </w:t>
      </w:r>
      <w:r w:rsidR="00F873AB" w:rsidRPr="00C631FE">
        <w:rPr>
          <w:sz w:val="22"/>
          <w:szCs w:val="22"/>
        </w:rPr>
        <w:t>basis of the fact that it has already quantified the damages in the sum of Z$11,147,379,156-13. The court has accordingly become functus</w:t>
      </w:r>
      <w:r w:rsidR="00014C15" w:rsidRPr="00C631FE">
        <w:rPr>
          <w:sz w:val="22"/>
          <w:szCs w:val="22"/>
        </w:rPr>
        <w:t xml:space="preserve"> officio.  Applicant ought to have amended his claim in 2010 to reflect the currency he now wants to be </w:t>
      </w:r>
      <w:r w:rsidR="00500EC5" w:rsidRPr="00C631FE">
        <w:rPr>
          <w:sz w:val="22"/>
          <w:szCs w:val="22"/>
        </w:rPr>
        <w:t>employed.</w:t>
      </w:r>
    </w:p>
    <w:p w:rsidR="00F80C3A" w:rsidRPr="00C631FE" w:rsidRDefault="00500EC5" w:rsidP="00C631FE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631FE">
        <w:rPr>
          <w:sz w:val="22"/>
          <w:szCs w:val="22"/>
        </w:rPr>
        <w:t>The Applicant ought to have appealed against the order which is brutum fulmen in order to pave way for a proper quantification</w:t>
      </w:r>
      <w:r w:rsidR="00F80C3A" w:rsidRPr="00C631FE">
        <w:rPr>
          <w:sz w:val="22"/>
          <w:szCs w:val="22"/>
        </w:rPr>
        <w:t>.</w:t>
      </w:r>
      <w:r w:rsidR="00C631FE">
        <w:rPr>
          <w:sz w:val="22"/>
          <w:szCs w:val="22"/>
        </w:rPr>
        <w:t>”</w:t>
      </w:r>
    </w:p>
    <w:p w:rsidR="00F80C3A" w:rsidRDefault="00F80C3A" w:rsidP="00C631FE">
      <w:pPr>
        <w:jc w:val="both"/>
      </w:pPr>
    </w:p>
    <w:p w:rsidR="00F80C3A" w:rsidRDefault="00F80C3A" w:rsidP="00F80C3A">
      <w:pPr>
        <w:spacing w:line="360" w:lineRule="auto"/>
        <w:jc w:val="both"/>
      </w:pPr>
      <w:r>
        <w:t xml:space="preserve">Indeed this Court quantified Application’s damages in lieu of reinstatement by </w:t>
      </w:r>
      <w:r w:rsidR="00594527">
        <w:t>Respondent</w:t>
      </w:r>
      <w:r w:rsidR="00E53D32">
        <w:t xml:space="preserve"> in a judgment date-stamped 5</w:t>
      </w:r>
      <w:r w:rsidR="00E53D32" w:rsidRPr="00E53D32">
        <w:rPr>
          <w:vertAlign w:val="superscript"/>
        </w:rPr>
        <w:t>th</w:t>
      </w:r>
      <w:r w:rsidR="00E53D32">
        <w:t xml:space="preserve"> November 2010 and referenced LC/H/</w:t>
      </w:r>
      <w:r w:rsidR="00B33B86">
        <w:t xml:space="preserve">327/10. </w:t>
      </w:r>
      <w:r>
        <w:t xml:space="preserve"> </w:t>
      </w:r>
      <w:r w:rsidR="00332754">
        <w:t xml:space="preserve">Apparently the judgment was not appealed to the Supreme Court.  It </w:t>
      </w:r>
      <w:r w:rsidR="00332754">
        <w:lastRenderedPageBreak/>
        <w:t>remains extant and binding upon t</w:t>
      </w:r>
      <w:r w:rsidR="00C33CBE">
        <w:t>h</w:t>
      </w:r>
      <w:r w:rsidR="00332754">
        <w:t>e parties</w:t>
      </w:r>
      <w:r w:rsidR="00C33CBE">
        <w:t>.  According</w:t>
      </w:r>
      <w:r w:rsidR="009D7C0E">
        <w:t>ly</w:t>
      </w:r>
      <w:r w:rsidR="00C33CBE">
        <w:t xml:space="preserve"> the issue </w:t>
      </w:r>
      <w:r w:rsidR="00AE0324">
        <w:t xml:space="preserve">of quantification is </w:t>
      </w:r>
      <w:r w:rsidR="00AE0324" w:rsidRPr="00D10F24">
        <w:rPr>
          <w:u w:val="single"/>
        </w:rPr>
        <w:t>res judicata</w:t>
      </w:r>
      <w:r w:rsidR="00AE0324">
        <w:t>. It cannot be resuscitated certainly not in this Court.</w:t>
      </w:r>
    </w:p>
    <w:p w:rsidR="00BA02AD" w:rsidRDefault="00BA02AD" w:rsidP="00083DAA">
      <w:pPr>
        <w:jc w:val="both"/>
      </w:pPr>
    </w:p>
    <w:p w:rsidR="00BA02AD" w:rsidRDefault="00BA02AD" w:rsidP="00F80C3A">
      <w:pPr>
        <w:spacing w:line="360" w:lineRule="auto"/>
        <w:jc w:val="both"/>
      </w:pPr>
      <w:r>
        <w:t xml:space="preserve">Applicant cited the case of </w:t>
      </w:r>
      <w:r w:rsidRPr="00C22A3D">
        <w:rPr>
          <w:i/>
        </w:rPr>
        <w:t>Fleximail</w:t>
      </w:r>
      <w:r>
        <w:t xml:space="preserve"> v </w:t>
      </w:r>
      <w:r w:rsidRPr="00C22A3D">
        <w:rPr>
          <w:i/>
        </w:rPr>
        <w:t>Samanyau</w:t>
      </w:r>
      <w:r>
        <w:t xml:space="preserve"> SC 21/14</w:t>
      </w:r>
      <w:r w:rsidR="005B3AFA">
        <w:t>.  He argued that the case is authority allowing him to approach this Court for a second</w:t>
      </w:r>
      <w:r w:rsidR="00007106">
        <w:t xml:space="preserve"> time seeking quantification this time</w:t>
      </w:r>
      <w:r w:rsidR="00027BC3">
        <w:t xml:space="preserve"> in US dollars.  I respectfully disagree.  In that matter the Supreme Court was </w:t>
      </w:r>
      <w:r w:rsidR="00027BC3" w:rsidRPr="004E3E3E">
        <w:rPr>
          <w:u w:val="single"/>
        </w:rPr>
        <w:t>seized</w:t>
      </w:r>
      <w:r w:rsidR="00027BC3">
        <w:t xml:space="preserve"> with an </w:t>
      </w:r>
      <w:r w:rsidR="00027BC3" w:rsidRPr="004E3E3E">
        <w:rPr>
          <w:u w:val="single"/>
        </w:rPr>
        <w:t>appeal</w:t>
      </w:r>
      <w:r w:rsidR="00027BC3">
        <w:t>.</w:t>
      </w:r>
      <w:r w:rsidR="004E3E3E">
        <w:t xml:space="preserve"> In the exercise</w:t>
      </w:r>
      <w:r w:rsidR="002A6FD2">
        <w:t xml:space="preserve"> of its powers </w:t>
      </w:r>
      <w:r w:rsidR="008F740B">
        <w:t xml:space="preserve">as an appellate court, it </w:t>
      </w:r>
      <w:r w:rsidR="008F740B" w:rsidRPr="008F740B">
        <w:rPr>
          <w:u w:val="single"/>
        </w:rPr>
        <w:t>remitted</w:t>
      </w:r>
      <w:r w:rsidR="008F740B">
        <w:t xml:space="preserve"> the matter to this Court for quantification.  The present application was brought by Applicant.  It was </w:t>
      </w:r>
      <w:r w:rsidR="00E36750">
        <w:t xml:space="preserve">not remitted to the court by the Supreme Court. Thus the </w:t>
      </w:r>
      <w:r w:rsidR="00E36750" w:rsidRPr="000B4946">
        <w:rPr>
          <w:i/>
        </w:rPr>
        <w:t xml:space="preserve">Fleximail </w:t>
      </w:r>
      <w:r w:rsidR="00E36750">
        <w:t>authority does not apply herein.  Perhaps, in order to save the day for both parties</w:t>
      </w:r>
      <w:r w:rsidR="00E83865">
        <w:t xml:space="preserve">, Respondent opted to abandon its point </w:t>
      </w:r>
      <w:r w:rsidR="00E83865" w:rsidRPr="000B4946">
        <w:rPr>
          <w:i/>
        </w:rPr>
        <w:t>in limine</w:t>
      </w:r>
      <w:r w:rsidR="00E83865">
        <w:t>.  However the gracious move was misguided.  The</w:t>
      </w:r>
      <w:r w:rsidR="00C40134">
        <w:t xml:space="preserve"> point</w:t>
      </w:r>
      <w:r w:rsidR="00E83865">
        <w:t xml:space="preserve"> r</w:t>
      </w:r>
      <w:r w:rsidR="00514D26">
        <w:t xml:space="preserve">aises the question of the Court’s jurisdiction.  Such </w:t>
      </w:r>
      <w:r w:rsidR="000B4946">
        <w:t>cannot be conferred on the Court by a concession from a party.  The Court either has jurisdiction or it does</w:t>
      </w:r>
      <w:r w:rsidR="005E35F2">
        <w:t>n’t.  The Court has already pronounced on the same subject in a matter involving the same parties.  The matter is simply</w:t>
      </w:r>
      <w:r w:rsidR="005576CD">
        <w:t xml:space="preserve"> </w:t>
      </w:r>
      <w:r w:rsidR="005576CD" w:rsidRPr="00C40134">
        <w:rPr>
          <w:u w:val="single"/>
        </w:rPr>
        <w:t>res</w:t>
      </w:r>
      <w:r w:rsidR="005576CD">
        <w:t xml:space="preserve"> </w:t>
      </w:r>
      <w:r w:rsidR="005576CD" w:rsidRPr="00C40134">
        <w:rPr>
          <w:u w:val="single"/>
        </w:rPr>
        <w:t>judicata</w:t>
      </w:r>
      <w:r w:rsidR="005576CD">
        <w:t xml:space="preserve">. The Court is </w:t>
      </w:r>
      <w:r w:rsidR="00C40134">
        <w:t>now</w:t>
      </w:r>
      <w:r w:rsidR="005576CD">
        <w:t xml:space="preserve"> </w:t>
      </w:r>
      <w:r w:rsidR="005576CD" w:rsidRPr="00C40134">
        <w:rPr>
          <w:u w:val="single"/>
        </w:rPr>
        <w:t>functus</w:t>
      </w:r>
      <w:r w:rsidR="005576CD">
        <w:t xml:space="preserve"> </w:t>
      </w:r>
      <w:r w:rsidR="005576CD" w:rsidRPr="00C40134">
        <w:rPr>
          <w:u w:val="single"/>
        </w:rPr>
        <w:t>officio</w:t>
      </w:r>
      <w:r w:rsidR="005576CD">
        <w:t xml:space="preserve">.  It has no way of getting around the </w:t>
      </w:r>
      <w:r w:rsidR="00D9330D">
        <w:t>extant</w:t>
      </w:r>
      <w:r w:rsidR="005576CD">
        <w:t xml:space="preserve"> </w:t>
      </w:r>
      <w:r w:rsidR="00D9330D">
        <w:t>judgment unless same is reversed by the Supreme Court.</w:t>
      </w:r>
    </w:p>
    <w:p w:rsidR="004A611E" w:rsidRDefault="004A611E" w:rsidP="00F80C3A">
      <w:pPr>
        <w:spacing w:line="360" w:lineRule="auto"/>
        <w:jc w:val="both"/>
      </w:pPr>
    </w:p>
    <w:p w:rsidR="008E01A9" w:rsidRDefault="008E01A9" w:rsidP="00F80C3A">
      <w:pPr>
        <w:spacing w:line="360" w:lineRule="auto"/>
        <w:jc w:val="both"/>
      </w:pPr>
    </w:p>
    <w:p w:rsidR="004A611E" w:rsidRDefault="004A611E" w:rsidP="008E01A9">
      <w:pPr>
        <w:spacing w:line="48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4A611E" w:rsidRDefault="004A611E" w:rsidP="008E01A9">
      <w:pPr>
        <w:spacing w:line="480" w:lineRule="auto"/>
        <w:jc w:val="both"/>
        <w:rPr>
          <w:b/>
        </w:rPr>
      </w:pPr>
    </w:p>
    <w:p w:rsidR="004A611E" w:rsidRDefault="004A611E" w:rsidP="008E01A9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b/>
        </w:rPr>
        <w:t>The application for quantification of damages is hereby dismissed;</w:t>
      </w:r>
      <w:r w:rsidR="00083DAA">
        <w:rPr>
          <w:b/>
        </w:rPr>
        <w:t xml:space="preserve"> and</w:t>
      </w:r>
    </w:p>
    <w:p w:rsidR="004A611E" w:rsidRDefault="00083DAA" w:rsidP="008E01A9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b/>
        </w:rPr>
        <w:t>Each party shall bear its own costs.</w:t>
      </w:r>
    </w:p>
    <w:p w:rsidR="004A611E" w:rsidRDefault="004A611E" w:rsidP="004A611E">
      <w:pPr>
        <w:spacing w:line="360" w:lineRule="auto"/>
        <w:jc w:val="both"/>
        <w:rPr>
          <w:b/>
        </w:rPr>
      </w:pPr>
    </w:p>
    <w:p w:rsidR="004A611E" w:rsidRPr="00EA44A5" w:rsidRDefault="004A611E" w:rsidP="004A611E">
      <w:pPr>
        <w:spacing w:line="360" w:lineRule="auto"/>
        <w:jc w:val="both"/>
        <w:rPr>
          <w:b/>
        </w:rPr>
      </w:pPr>
    </w:p>
    <w:p w:rsidR="004A611E" w:rsidRPr="008C1574" w:rsidRDefault="004A611E" w:rsidP="004A611E">
      <w:pPr>
        <w:pStyle w:val="ListParagraph"/>
        <w:spacing w:line="360" w:lineRule="auto"/>
        <w:jc w:val="both"/>
        <w:rPr>
          <w:b/>
        </w:rPr>
      </w:pPr>
    </w:p>
    <w:p w:rsidR="004A611E" w:rsidRDefault="004A611E" w:rsidP="004A611E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4A611E" w:rsidRDefault="004A611E" w:rsidP="004A611E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4A611E" w:rsidRDefault="004A611E" w:rsidP="00F80C3A">
      <w:pPr>
        <w:spacing w:line="360" w:lineRule="auto"/>
        <w:jc w:val="both"/>
      </w:pPr>
    </w:p>
    <w:sectPr w:rsidR="004A611E" w:rsidSect="00A7287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C9" w:rsidRDefault="00257CC9" w:rsidP="00A72871">
      <w:r>
        <w:separator/>
      </w:r>
    </w:p>
  </w:endnote>
  <w:endnote w:type="continuationSeparator" w:id="0">
    <w:p w:rsidR="00257CC9" w:rsidRDefault="00257CC9" w:rsidP="00A7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1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750" w:rsidRDefault="00E36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750" w:rsidRDefault="00E36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C9" w:rsidRDefault="00257CC9" w:rsidP="00A72871">
      <w:r>
        <w:separator/>
      </w:r>
    </w:p>
  </w:footnote>
  <w:footnote w:type="continuationSeparator" w:id="0">
    <w:p w:rsidR="00257CC9" w:rsidRDefault="00257CC9" w:rsidP="00A72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50" w:rsidRPr="00A72871" w:rsidRDefault="00E3675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F1283F">
      <w:rPr>
        <w:lang w:val="en-ZW"/>
      </w:rPr>
      <w:t>761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C92"/>
    <w:multiLevelType w:val="hybridMultilevel"/>
    <w:tmpl w:val="70E6B1A2"/>
    <w:lvl w:ilvl="0" w:tplc="9AF4F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46"/>
    <w:rsid w:val="00007106"/>
    <w:rsid w:val="00014C15"/>
    <w:rsid w:val="00027BC3"/>
    <w:rsid w:val="00083DAA"/>
    <w:rsid w:val="000B4946"/>
    <w:rsid w:val="00214A80"/>
    <w:rsid w:val="00257CC9"/>
    <w:rsid w:val="002A6FD2"/>
    <w:rsid w:val="00332754"/>
    <w:rsid w:val="004A611E"/>
    <w:rsid w:val="004E3E3E"/>
    <w:rsid w:val="00500EC5"/>
    <w:rsid w:val="00514D26"/>
    <w:rsid w:val="005576CD"/>
    <w:rsid w:val="00594527"/>
    <w:rsid w:val="005B3AFA"/>
    <w:rsid w:val="005E35F2"/>
    <w:rsid w:val="006C579E"/>
    <w:rsid w:val="00762997"/>
    <w:rsid w:val="008E01A9"/>
    <w:rsid w:val="008F740B"/>
    <w:rsid w:val="009D7C0E"/>
    <w:rsid w:val="009F6A6C"/>
    <w:rsid w:val="00A72871"/>
    <w:rsid w:val="00AE0324"/>
    <w:rsid w:val="00B3180D"/>
    <w:rsid w:val="00B32DBA"/>
    <w:rsid w:val="00B33B86"/>
    <w:rsid w:val="00BA02AD"/>
    <w:rsid w:val="00C22A3D"/>
    <w:rsid w:val="00C33CBE"/>
    <w:rsid w:val="00C40134"/>
    <w:rsid w:val="00C631FE"/>
    <w:rsid w:val="00C95C4F"/>
    <w:rsid w:val="00D10F24"/>
    <w:rsid w:val="00D46DD2"/>
    <w:rsid w:val="00D71A48"/>
    <w:rsid w:val="00D9330D"/>
    <w:rsid w:val="00E36750"/>
    <w:rsid w:val="00E53D32"/>
    <w:rsid w:val="00E83865"/>
    <w:rsid w:val="00F1283F"/>
    <w:rsid w:val="00F51946"/>
    <w:rsid w:val="00F66089"/>
    <w:rsid w:val="00F80C3A"/>
    <w:rsid w:val="00F81713"/>
    <w:rsid w:val="00F873AB"/>
    <w:rsid w:val="00FA5FF3"/>
    <w:rsid w:val="00F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4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87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871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4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87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871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2016-11-23T06:50:00Z</dcterms:created>
  <dcterms:modified xsi:type="dcterms:W3CDTF">2016-11-29T08:53:00Z</dcterms:modified>
</cp:coreProperties>
</file>