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B6" w:rsidRDefault="0092025C" w:rsidP="00136C72">
      <w:pPr>
        <w:spacing w:line="360" w:lineRule="auto"/>
        <w:jc w:val="both"/>
        <w:rPr>
          <w:b/>
          <w:sz w:val="28"/>
          <w:szCs w:val="28"/>
        </w:rPr>
      </w:pPr>
      <w:r w:rsidRPr="0092025C">
        <w:rPr>
          <w:b/>
          <w:sz w:val="28"/>
          <w:szCs w:val="28"/>
        </w:rPr>
        <w:t xml:space="preserve">IN THE </w:t>
      </w:r>
      <w:r>
        <w:rPr>
          <w:b/>
          <w:sz w:val="28"/>
          <w:szCs w:val="28"/>
        </w:rPr>
        <w:t>LABOUR OF ZIMBABWE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JUDGMENT NO LC/H/273/13</w:t>
      </w:r>
    </w:p>
    <w:p w:rsidR="0092025C" w:rsidRDefault="0092025C" w:rsidP="00136C7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</w:t>
      </w:r>
      <w:r w:rsidR="00136C72">
        <w:rPr>
          <w:b/>
          <w:sz w:val="28"/>
          <w:szCs w:val="28"/>
        </w:rPr>
        <w:t xml:space="preserve"> 20</w:t>
      </w:r>
      <w:r w:rsidR="00136C72" w:rsidRPr="00136C72">
        <w:rPr>
          <w:b/>
          <w:sz w:val="28"/>
          <w:szCs w:val="28"/>
          <w:vertAlign w:val="superscript"/>
        </w:rPr>
        <w:t>TH</w:t>
      </w:r>
      <w:r w:rsidR="00136C72">
        <w:rPr>
          <w:b/>
          <w:sz w:val="28"/>
          <w:szCs w:val="28"/>
        </w:rPr>
        <w:t xml:space="preserve"> JUNE 2013</w:t>
      </w:r>
      <w:r w:rsidR="00136C72">
        <w:rPr>
          <w:b/>
          <w:sz w:val="28"/>
          <w:szCs w:val="28"/>
        </w:rPr>
        <w:tab/>
      </w:r>
      <w:r w:rsidR="00136C72">
        <w:rPr>
          <w:b/>
          <w:sz w:val="28"/>
          <w:szCs w:val="28"/>
        </w:rPr>
        <w:tab/>
        <w:t>CASE NO LC/H/198/12</w:t>
      </w:r>
    </w:p>
    <w:p w:rsidR="00136C72" w:rsidRDefault="00136C72" w:rsidP="00136C72">
      <w:pPr>
        <w:spacing w:line="360" w:lineRule="auto"/>
        <w:jc w:val="both"/>
        <w:rPr>
          <w:b/>
          <w:sz w:val="28"/>
          <w:szCs w:val="28"/>
        </w:rPr>
      </w:pPr>
    </w:p>
    <w:p w:rsidR="00136C72" w:rsidRDefault="00136C72" w:rsidP="00136C7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JACOB DZAUNDA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Appellants</w:t>
      </w:r>
    </w:p>
    <w:p w:rsidR="00136C72" w:rsidRDefault="00136C72" w:rsidP="00136C72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&amp; 10 OTHERS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36C72" w:rsidRDefault="00136C72" w:rsidP="00136C72">
      <w:pPr>
        <w:spacing w:after="0" w:line="360" w:lineRule="auto"/>
        <w:jc w:val="both"/>
        <w:rPr>
          <w:b/>
          <w:sz w:val="28"/>
          <w:szCs w:val="28"/>
        </w:rPr>
      </w:pPr>
    </w:p>
    <w:p w:rsidR="00136C72" w:rsidRDefault="00136C72" w:rsidP="00136C72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FIDELITY PRINTERS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136C72" w:rsidRDefault="00136C72" w:rsidP="00136C72">
      <w:pPr>
        <w:spacing w:after="0"/>
        <w:jc w:val="both"/>
        <w:rPr>
          <w:b/>
          <w:sz w:val="28"/>
          <w:szCs w:val="28"/>
        </w:rPr>
      </w:pPr>
    </w:p>
    <w:p w:rsidR="00136C72" w:rsidRDefault="00136C72" w:rsidP="00136C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&amp; REFINERS (PVT) LTD</w:t>
      </w:r>
    </w:p>
    <w:p w:rsidR="00136C72" w:rsidRDefault="00136C72" w:rsidP="00136C72">
      <w:pPr>
        <w:jc w:val="both"/>
        <w:rPr>
          <w:sz w:val="28"/>
          <w:szCs w:val="28"/>
        </w:rPr>
      </w:pPr>
    </w:p>
    <w:p w:rsidR="00136C72" w:rsidRDefault="00136C72" w:rsidP="00136C72">
      <w:pPr>
        <w:jc w:val="both"/>
        <w:rPr>
          <w:sz w:val="28"/>
          <w:szCs w:val="28"/>
        </w:rPr>
      </w:pPr>
      <w:r>
        <w:rPr>
          <w:sz w:val="28"/>
          <w:szCs w:val="28"/>
        </w:rPr>
        <w:t>Before The Honourable G Musariri, President</w:t>
      </w:r>
    </w:p>
    <w:p w:rsidR="00136C72" w:rsidRDefault="00136C72" w:rsidP="00136C72">
      <w:pPr>
        <w:jc w:val="both"/>
        <w:rPr>
          <w:sz w:val="28"/>
          <w:szCs w:val="28"/>
        </w:rPr>
      </w:pPr>
    </w:p>
    <w:p w:rsidR="00136C72" w:rsidRDefault="00136C72" w:rsidP="00136C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Applicant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P </w:t>
      </w:r>
      <w:proofErr w:type="spellStart"/>
      <w:r>
        <w:rPr>
          <w:b/>
          <w:sz w:val="28"/>
          <w:szCs w:val="28"/>
        </w:rPr>
        <w:t>Mabundu</w:t>
      </w:r>
      <w:proofErr w:type="spellEnd"/>
      <w:r>
        <w:rPr>
          <w:b/>
          <w:sz w:val="28"/>
          <w:szCs w:val="28"/>
        </w:rPr>
        <w:t>, Attorney</w:t>
      </w:r>
    </w:p>
    <w:p w:rsidR="00136C72" w:rsidRDefault="00136C72" w:rsidP="00136C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W </w:t>
      </w:r>
      <w:proofErr w:type="spellStart"/>
      <w:r>
        <w:rPr>
          <w:b/>
          <w:sz w:val="28"/>
          <w:szCs w:val="28"/>
        </w:rPr>
        <w:t>Magaya</w:t>
      </w:r>
      <w:proofErr w:type="spellEnd"/>
      <w:r>
        <w:rPr>
          <w:b/>
          <w:sz w:val="28"/>
          <w:szCs w:val="28"/>
        </w:rPr>
        <w:t>, Attorney</w:t>
      </w:r>
    </w:p>
    <w:p w:rsidR="00136C72" w:rsidRDefault="00136C72" w:rsidP="00136C72">
      <w:pPr>
        <w:jc w:val="both"/>
        <w:rPr>
          <w:b/>
          <w:sz w:val="28"/>
          <w:szCs w:val="28"/>
        </w:rPr>
      </w:pPr>
    </w:p>
    <w:p w:rsidR="00136C72" w:rsidRDefault="00136C72" w:rsidP="00136C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136C72" w:rsidRDefault="00136C72" w:rsidP="00136C72">
      <w:pPr>
        <w:jc w:val="both"/>
        <w:rPr>
          <w:b/>
          <w:sz w:val="28"/>
          <w:szCs w:val="28"/>
        </w:rPr>
      </w:pPr>
    </w:p>
    <w:p w:rsidR="00136C72" w:rsidRDefault="00136C72" w:rsidP="00136C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Appellants appealed to this Court against their dismissal from employment by Respondent.  Their attorney amended the grounds by deleting some and hearing two namely,</w:t>
      </w:r>
    </w:p>
    <w:p w:rsidR="00136C72" w:rsidRDefault="00136C72" w:rsidP="00136C72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Respondent erred by substituting the penalty of a final warning with dismissal; and</w:t>
      </w:r>
    </w:p>
    <w:p w:rsidR="00136C72" w:rsidRDefault="00136C72" w:rsidP="00136C72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Respondent erred in dismissing some employees whilst warning others for the same offence.</w:t>
      </w:r>
    </w:p>
    <w:p w:rsidR="00136C72" w:rsidRDefault="008C6F37" w:rsidP="008C6F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 am satisfied that Appellant</w:t>
      </w:r>
      <w:r w:rsidR="006D739B">
        <w:rPr>
          <w:sz w:val="28"/>
          <w:szCs w:val="28"/>
        </w:rPr>
        <w:t>s</w:t>
      </w:r>
      <w:r>
        <w:rPr>
          <w:sz w:val="28"/>
          <w:szCs w:val="28"/>
        </w:rPr>
        <w:t xml:space="preserve"> failed to substantiate the second ground.  All the employees involved were dismissed from employment.  Thus one cannot really talk of discrimination or differential treatment.  The only difference pertained to one T </w:t>
      </w:r>
      <w:proofErr w:type="spellStart"/>
      <w:r>
        <w:rPr>
          <w:sz w:val="28"/>
          <w:szCs w:val="28"/>
        </w:rPr>
        <w:t>Chakuvinga</w:t>
      </w:r>
      <w:proofErr w:type="spellEnd"/>
      <w:r>
        <w:rPr>
          <w:sz w:val="28"/>
          <w:szCs w:val="28"/>
        </w:rPr>
        <w:t xml:space="preserve">.  The Disciplinary Committee (DC) recommended demotions and warnings for all but </w:t>
      </w:r>
      <w:proofErr w:type="spellStart"/>
      <w:r>
        <w:rPr>
          <w:sz w:val="28"/>
          <w:szCs w:val="28"/>
        </w:rPr>
        <w:t>Chakuvinga</w:t>
      </w:r>
      <w:proofErr w:type="spellEnd"/>
      <w:r>
        <w:rPr>
          <w:sz w:val="28"/>
          <w:szCs w:val="28"/>
        </w:rPr>
        <w:t>.  Respondent’s General Manager (GM) nevertheless imposed dismissals on all the employees.  Therefore they were effectively dealt with in the same manner.  Thus the plaint of discrimination cannot be sustained.</w:t>
      </w:r>
    </w:p>
    <w:p w:rsidR="008C6F37" w:rsidRDefault="008C6F37" w:rsidP="008C6F37">
      <w:pPr>
        <w:spacing w:line="360" w:lineRule="auto"/>
        <w:jc w:val="both"/>
        <w:rPr>
          <w:sz w:val="28"/>
          <w:szCs w:val="28"/>
        </w:rPr>
      </w:pPr>
    </w:p>
    <w:p w:rsidR="008C6F37" w:rsidRDefault="008C6F37" w:rsidP="008C6F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That leaves the first ground of appeal.  As noted above the General Manager substituted the Disciplinary Committee’s penalty with his own.  Appellants argued that the D</w:t>
      </w:r>
      <w:r w:rsidR="00204C08">
        <w:rPr>
          <w:sz w:val="28"/>
          <w:szCs w:val="28"/>
        </w:rPr>
        <w:t xml:space="preserve">isciplinary </w:t>
      </w:r>
      <w:r>
        <w:rPr>
          <w:sz w:val="28"/>
          <w:szCs w:val="28"/>
        </w:rPr>
        <w:t>C</w:t>
      </w:r>
      <w:r w:rsidR="00204C08">
        <w:rPr>
          <w:sz w:val="28"/>
          <w:szCs w:val="28"/>
        </w:rPr>
        <w:t>ommittee</w:t>
      </w:r>
      <w:r>
        <w:rPr>
          <w:sz w:val="28"/>
          <w:szCs w:val="28"/>
        </w:rPr>
        <w:t xml:space="preserve"> </w:t>
      </w:r>
      <w:r w:rsidR="00204C08">
        <w:rPr>
          <w:sz w:val="28"/>
          <w:szCs w:val="28"/>
        </w:rPr>
        <w:t>m</w:t>
      </w:r>
      <w:r>
        <w:rPr>
          <w:sz w:val="28"/>
          <w:szCs w:val="28"/>
        </w:rPr>
        <w:t xml:space="preserve">ade a decision which was improperly overturned by the General Manager. These </w:t>
      </w:r>
      <w:r w:rsidR="00204C08">
        <w:rPr>
          <w:sz w:val="28"/>
          <w:szCs w:val="28"/>
        </w:rPr>
        <w:t xml:space="preserve">matters </w:t>
      </w:r>
      <w:r>
        <w:rPr>
          <w:sz w:val="28"/>
          <w:szCs w:val="28"/>
        </w:rPr>
        <w:t xml:space="preserve">are regulated by Respondent’s Code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Conduct.</w:t>
      </w:r>
      <w:r w:rsidR="006D739B">
        <w:rPr>
          <w:sz w:val="28"/>
          <w:szCs w:val="28"/>
        </w:rPr>
        <w:t xml:space="preserve">  </w:t>
      </w:r>
      <w:r>
        <w:rPr>
          <w:sz w:val="28"/>
          <w:szCs w:val="28"/>
        </w:rPr>
        <w:t>Appendix III of the Code sets</w:t>
      </w:r>
      <w:r w:rsidR="006D739B">
        <w:rPr>
          <w:sz w:val="28"/>
          <w:szCs w:val="28"/>
        </w:rPr>
        <w:t xml:space="preserve"> out</w:t>
      </w:r>
      <w:r>
        <w:rPr>
          <w:sz w:val="28"/>
          <w:szCs w:val="28"/>
        </w:rPr>
        <w:t xml:space="preserve"> the procedure to be followed on allegations of serious or major misconduct.  Such allegations are initially investigated by the Head of Office.  If he is convinced that disciplinary proceedings are</w:t>
      </w:r>
      <w:r w:rsidR="006D739B">
        <w:rPr>
          <w:sz w:val="28"/>
          <w:szCs w:val="28"/>
        </w:rPr>
        <w:t xml:space="preserve"> required he</w:t>
      </w:r>
      <w:r>
        <w:rPr>
          <w:sz w:val="28"/>
          <w:szCs w:val="28"/>
        </w:rPr>
        <w:t xml:space="preserve"> re</w:t>
      </w:r>
      <w:r w:rsidR="00204C08">
        <w:rPr>
          <w:sz w:val="28"/>
          <w:szCs w:val="28"/>
        </w:rPr>
        <w:t xml:space="preserve">fers the matter to the Head of Personnel.  The latter conducts further investigations which in this case included a disciplinary hearing.  He is then required to submit a report to the General Manager together with his </w:t>
      </w:r>
      <w:r w:rsidR="00204C08">
        <w:rPr>
          <w:sz w:val="28"/>
          <w:szCs w:val="28"/>
          <w:u w:val="single"/>
        </w:rPr>
        <w:t>comments</w:t>
      </w:r>
      <w:r w:rsidR="00204C08" w:rsidRPr="00204C08">
        <w:rPr>
          <w:sz w:val="28"/>
          <w:szCs w:val="28"/>
        </w:rPr>
        <w:t xml:space="preserve"> </w:t>
      </w:r>
      <w:r w:rsidR="00204C08">
        <w:rPr>
          <w:sz w:val="28"/>
          <w:szCs w:val="28"/>
        </w:rPr>
        <w:t xml:space="preserve">and </w:t>
      </w:r>
      <w:r w:rsidR="00204C08">
        <w:rPr>
          <w:sz w:val="28"/>
          <w:szCs w:val="28"/>
          <w:u w:val="single"/>
        </w:rPr>
        <w:t>recommendations</w:t>
      </w:r>
      <w:r w:rsidR="00204C08">
        <w:rPr>
          <w:sz w:val="28"/>
          <w:szCs w:val="28"/>
        </w:rPr>
        <w:t>.  Clause 4 provides that,</w:t>
      </w:r>
    </w:p>
    <w:p w:rsidR="00204C08" w:rsidRDefault="00204C08" w:rsidP="00204C08">
      <w:pPr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“The </w:t>
      </w:r>
      <w:r>
        <w:rPr>
          <w:i/>
          <w:sz w:val="28"/>
          <w:szCs w:val="28"/>
          <w:u w:val="single"/>
        </w:rPr>
        <w:t>General Manager shall</w:t>
      </w:r>
      <w:r>
        <w:rPr>
          <w:i/>
          <w:sz w:val="28"/>
          <w:szCs w:val="28"/>
        </w:rPr>
        <w:t xml:space="preserve"> as soon as possible thereafter consider the </w:t>
      </w:r>
    </w:p>
    <w:p w:rsidR="006D739B" w:rsidRDefault="00204C08" w:rsidP="006D739B">
      <w:pPr>
        <w:spacing w:after="0" w:line="360" w:lineRule="auto"/>
        <w:ind w:left="72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contents  of</w:t>
      </w:r>
      <w:proofErr w:type="gramEnd"/>
      <w:r>
        <w:rPr>
          <w:i/>
          <w:sz w:val="28"/>
          <w:szCs w:val="28"/>
        </w:rPr>
        <w:t xml:space="preserve"> the misconduct report and consult with any other members </w:t>
      </w:r>
      <w:r w:rsidR="006D739B">
        <w:rPr>
          <w:i/>
          <w:sz w:val="28"/>
          <w:szCs w:val="28"/>
        </w:rPr>
        <w:t xml:space="preserve"> </w:t>
      </w:r>
    </w:p>
    <w:p w:rsidR="006D739B" w:rsidRDefault="006D739B" w:rsidP="006D739B">
      <w:pPr>
        <w:spacing w:after="0" w:line="360" w:lineRule="auto"/>
        <w:ind w:left="720"/>
        <w:jc w:val="both"/>
        <w:rPr>
          <w:i/>
          <w:sz w:val="28"/>
          <w:szCs w:val="28"/>
        </w:rPr>
      </w:pPr>
    </w:p>
    <w:p w:rsidR="00204C08" w:rsidRDefault="006D739B" w:rsidP="006D739B">
      <w:pPr>
        <w:spacing w:after="0" w:line="360" w:lineRule="auto"/>
        <w:ind w:left="72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>of</w:t>
      </w:r>
      <w:proofErr w:type="gramEnd"/>
      <w:r>
        <w:rPr>
          <w:i/>
          <w:sz w:val="28"/>
          <w:szCs w:val="28"/>
        </w:rPr>
        <w:t xml:space="preserve"> </w:t>
      </w:r>
      <w:r w:rsidR="00204C08">
        <w:rPr>
          <w:i/>
          <w:sz w:val="28"/>
          <w:szCs w:val="28"/>
        </w:rPr>
        <w:t xml:space="preserve">Management  and/or Workers Committee before </w:t>
      </w:r>
      <w:r w:rsidR="00204C08">
        <w:rPr>
          <w:i/>
          <w:sz w:val="28"/>
          <w:szCs w:val="28"/>
          <w:u w:val="single"/>
        </w:rPr>
        <w:t>pronouncing a decision</w:t>
      </w:r>
      <w:r w:rsidR="00204C08">
        <w:rPr>
          <w:i/>
          <w:sz w:val="28"/>
          <w:szCs w:val="28"/>
        </w:rPr>
        <w:t xml:space="preserve"> on the matter.”</w:t>
      </w:r>
    </w:p>
    <w:p w:rsidR="00273E2D" w:rsidRDefault="00273E2D" w:rsidP="00204C08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(The underlining for emphasis is mine.)</w:t>
      </w:r>
    </w:p>
    <w:p w:rsidR="00273E2D" w:rsidRDefault="00273E2D" w:rsidP="00273E2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It follows that the Disciplinary Committee </w:t>
      </w:r>
      <w:r w:rsidR="006D739B">
        <w:rPr>
          <w:sz w:val="28"/>
          <w:szCs w:val="28"/>
        </w:rPr>
        <w:t>is not empowered to</w:t>
      </w:r>
      <w:r>
        <w:rPr>
          <w:sz w:val="28"/>
          <w:szCs w:val="28"/>
        </w:rPr>
        <w:t xml:space="preserve"> make a determination.  Rather it is permitted to make recommendations to the decision-maker.  These were made.  Whether</w:t>
      </w:r>
      <w:r w:rsidR="006D739B">
        <w:rPr>
          <w:sz w:val="28"/>
          <w:szCs w:val="28"/>
        </w:rPr>
        <w:t xml:space="preserve"> or </w:t>
      </w:r>
      <w:proofErr w:type="gramStart"/>
      <w:r w:rsidR="006D739B">
        <w:rPr>
          <w:sz w:val="28"/>
          <w:szCs w:val="28"/>
        </w:rPr>
        <w:t xml:space="preserve">not </w:t>
      </w:r>
      <w:r>
        <w:rPr>
          <w:sz w:val="28"/>
          <w:szCs w:val="28"/>
        </w:rPr>
        <w:t xml:space="preserve"> they</w:t>
      </w:r>
      <w:proofErr w:type="gramEnd"/>
      <w:r>
        <w:rPr>
          <w:sz w:val="28"/>
          <w:szCs w:val="28"/>
        </w:rPr>
        <w:t xml:space="preserve"> were considered is unclear on the papers.  If the recommendations were not considered that might found grounds for review.  Such is not available by way of an appeal</w:t>
      </w:r>
      <w:r w:rsidR="0057155E">
        <w:rPr>
          <w:sz w:val="28"/>
          <w:szCs w:val="28"/>
        </w:rPr>
        <w:t>.</w:t>
      </w:r>
      <w:r>
        <w:rPr>
          <w:sz w:val="28"/>
          <w:szCs w:val="28"/>
        </w:rPr>
        <w:t xml:space="preserve">  Appellants chose to access this Court </w:t>
      </w:r>
      <w:r w:rsidR="006D739B">
        <w:rPr>
          <w:sz w:val="28"/>
          <w:szCs w:val="28"/>
        </w:rPr>
        <w:t>via</w:t>
      </w:r>
      <w:r>
        <w:rPr>
          <w:sz w:val="28"/>
          <w:szCs w:val="28"/>
        </w:rPr>
        <w:t xml:space="preserve"> an appeal rather than review.  Recommendations by their nature are not binding.  They may be considered and discounted.  That might well be the position taken by the General Manager.</w:t>
      </w:r>
    </w:p>
    <w:p w:rsidR="00273E2D" w:rsidRDefault="00273E2D" w:rsidP="00273E2D">
      <w:pPr>
        <w:spacing w:after="0" w:line="360" w:lineRule="auto"/>
        <w:jc w:val="both"/>
        <w:rPr>
          <w:sz w:val="28"/>
          <w:szCs w:val="28"/>
        </w:rPr>
      </w:pPr>
    </w:p>
    <w:p w:rsidR="00273E2D" w:rsidRDefault="00273E2D" w:rsidP="00273E2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Wherefore it is ordered that</w:t>
      </w:r>
      <w:r w:rsidR="006D739B">
        <w:rPr>
          <w:sz w:val="28"/>
          <w:szCs w:val="28"/>
        </w:rPr>
        <w:t>,</w:t>
      </w:r>
      <w:bookmarkStart w:id="0" w:name="_GoBack"/>
      <w:bookmarkEnd w:id="0"/>
    </w:p>
    <w:p w:rsidR="00273E2D" w:rsidRDefault="00273E2D" w:rsidP="00273E2D">
      <w:pPr>
        <w:spacing w:after="0" w:line="360" w:lineRule="auto"/>
        <w:jc w:val="both"/>
        <w:rPr>
          <w:sz w:val="28"/>
          <w:szCs w:val="28"/>
        </w:rPr>
      </w:pPr>
    </w:p>
    <w:p w:rsidR="00273E2D" w:rsidRDefault="00273E2D" w:rsidP="00273E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appeal is hereby dismissed; and</w:t>
      </w:r>
    </w:p>
    <w:p w:rsidR="00273E2D" w:rsidRDefault="00273E2D" w:rsidP="00273E2D">
      <w:pPr>
        <w:pStyle w:val="ListParagraph"/>
        <w:spacing w:after="0" w:line="360" w:lineRule="auto"/>
        <w:jc w:val="both"/>
        <w:rPr>
          <w:sz w:val="28"/>
          <w:szCs w:val="28"/>
        </w:rPr>
      </w:pPr>
    </w:p>
    <w:p w:rsidR="00273E2D" w:rsidRDefault="00273E2D" w:rsidP="00273E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Each party shall bear its own costs.</w:t>
      </w:r>
    </w:p>
    <w:p w:rsidR="00273E2D" w:rsidRPr="00273E2D" w:rsidRDefault="00273E2D" w:rsidP="00273E2D">
      <w:pPr>
        <w:pStyle w:val="ListParagraph"/>
        <w:rPr>
          <w:sz w:val="28"/>
          <w:szCs w:val="28"/>
        </w:rPr>
      </w:pPr>
    </w:p>
    <w:p w:rsidR="00273E2D" w:rsidRDefault="00273E2D" w:rsidP="00273E2D">
      <w:pPr>
        <w:spacing w:after="0" w:line="360" w:lineRule="auto"/>
        <w:jc w:val="both"/>
        <w:rPr>
          <w:sz w:val="28"/>
          <w:szCs w:val="28"/>
        </w:rPr>
      </w:pPr>
    </w:p>
    <w:p w:rsidR="00273E2D" w:rsidRDefault="00273E2D" w:rsidP="00273E2D">
      <w:pPr>
        <w:spacing w:after="0" w:line="360" w:lineRule="auto"/>
        <w:jc w:val="both"/>
        <w:rPr>
          <w:sz w:val="28"/>
          <w:szCs w:val="28"/>
        </w:rPr>
      </w:pPr>
    </w:p>
    <w:p w:rsidR="00273E2D" w:rsidRDefault="00273E2D" w:rsidP="00273E2D">
      <w:pPr>
        <w:spacing w:after="0" w:line="360" w:lineRule="auto"/>
        <w:jc w:val="both"/>
        <w:rPr>
          <w:sz w:val="28"/>
          <w:szCs w:val="28"/>
        </w:rPr>
      </w:pPr>
    </w:p>
    <w:p w:rsidR="00273E2D" w:rsidRDefault="00273E2D" w:rsidP="00273E2D">
      <w:pPr>
        <w:spacing w:after="0" w:line="360" w:lineRule="auto"/>
        <w:ind w:left="50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G. MUSARIRI</w:t>
      </w:r>
    </w:p>
    <w:p w:rsidR="00273E2D" w:rsidRPr="00273E2D" w:rsidRDefault="00273E2D" w:rsidP="00273E2D">
      <w:pPr>
        <w:spacing w:after="0" w:line="360" w:lineRule="auto"/>
        <w:ind w:left="50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PRESIDENT</w:t>
      </w:r>
    </w:p>
    <w:p w:rsidR="00136C72" w:rsidRPr="00136C72" w:rsidRDefault="00136C72" w:rsidP="00136C72">
      <w:pPr>
        <w:spacing w:line="360" w:lineRule="auto"/>
        <w:jc w:val="both"/>
        <w:rPr>
          <w:sz w:val="28"/>
          <w:szCs w:val="28"/>
        </w:rPr>
      </w:pPr>
    </w:p>
    <w:p w:rsidR="00136C72" w:rsidRPr="00136C72" w:rsidRDefault="00136C72">
      <w:pPr>
        <w:rPr>
          <w:sz w:val="28"/>
          <w:szCs w:val="28"/>
        </w:rPr>
      </w:pPr>
    </w:p>
    <w:sectPr w:rsidR="00136C72" w:rsidRPr="00136C72" w:rsidSect="00136C72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E56" w:rsidRDefault="00FE4E56" w:rsidP="00136C72">
      <w:pPr>
        <w:spacing w:after="0" w:line="240" w:lineRule="auto"/>
      </w:pPr>
      <w:r>
        <w:separator/>
      </w:r>
    </w:p>
  </w:endnote>
  <w:endnote w:type="continuationSeparator" w:id="0">
    <w:p w:rsidR="00FE4E56" w:rsidRDefault="00FE4E56" w:rsidP="0013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251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2D" w:rsidRDefault="00273E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3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73E2D" w:rsidRDefault="00273E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E56" w:rsidRDefault="00FE4E56" w:rsidP="00136C72">
      <w:pPr>
        <w:spacing w:after="0" w:line="240" w:lineRule="auto"/>
      </w:pPr>
      <w:r>
        <w:separator/>
      </w:r>
    </w:p>
  </w:footnote>
  <w:footnote w:type="continuationSeparator" w:id="0">
    <w:p w:rsidR="00FE4E56" w:rsidRDefault="00FE4E56" w:rsidP="0013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C72" w:rsidRDefault="00136C72" w:rsidP="00136C72">
    <w:pPr>
      <w:spacing w:line="360" w:lineRule="auto"/>
      <w:ind w:left="5040"/>
      <w:jc w:val="both"/>
      <w:rPr>
        <w:b/>
        <w:sz w:val="28"/>
        <w:szCs w:val="28"/>
      </w:rPr>
    </w:pPr>
    <w:r>
      <w:rPr>
        <w:b/>
        <w:sz w:val="28"/>
        <w:szCs w:val="28"/>
      </w:rPr>
      <w:t>JUDGMENT NO LC/H/273/13</w:t>
    </w:r>
  </w:p>
  <w:p w:rsidR="00136C72" w:rsidRPr="00136C72" w:rsidRDefault="00136C72" w:rsidP="00136C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51"/>
    <w:multiLevelType w:val="hybridMultilevel"/>
    <w:tmpl w:val="43F2E63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66BC4"/>
    <w:multiLevelType w:val="hybridMultilevel"/>
    <w:tmpl w:val="C772032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9F"/>
    <w:rsid w:val="00063DB6"/>
    <w:rsid w:val="00136C72"/>
    <w:rsid w:val="00204C08"/>
    <w:rsid w:val="00273E2D"/>
    <w:rsid w:val="0057155E"/>
    <w:rsid w:val="006D739B"/>
    <w:rsid w:val="008C6F37"/>
    <w:rsid w:val="0092025C"/>
    <w:rsid w:val="00DC2D3A"/>
    <w:rsid w:val="00F0679F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C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72"/>
  </w:style>
  <w:style w:type="paragraph" w:styleId="Footer">
    <w:name w:val="footer"/>
    <w:basedOn w:val="Normal"/>
    <w:link w:val="FooterChar"/>
    <w:uiPriority w:val="99"/>
    <w:unhideWhenUsed/>
    <w:rsid w:val="00136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C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72"/>
  </w:style>
  <w:style w:type="paragraph" w:styleId="Footer">
    <w:name w:val="footer"/>
    <w:basedOn w:val="Normal"/>
    <w:link w:val="FooterChar"/>
    <w:uiPriority w:val="99"/>
    <w:unhideWhenUsed/>
    <w:rsid w:val="00136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3</cp:revision>
  <dcterms:created xsi:type="dcterms:W3CDTF">2013-06-21T08:08:00Z</dcterms:created>
  <dcterms:modified xsi:type="dcterms:W3CDTF">2013-06-21T10:59:00Z</dcterms:modified>
</cp:coreProperties>
</file>