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B3C" w:rsidRDefault="00781B3C" w:rsidP="00641382">
      <w:pPr>
        <w:rPr>
          <w:lang w:val="en-GB"/>
        </w:rPr>
      </w:pPr>
    </w:p>
    <w:p w:rsidR="00781B3C" w:rsidRDefault="00781B3C" w:rsidP="00641382">
      <w:pPr>
        <w:rPr>
          <w:lang w:val="en-GB"/>
        </w:rPr>
      </w:pPr>
    </w:p>
    <w:p w:rsidR="008B47E8" w:rsidRDefault="004D11EE" w:rsidP="00641382">
      <w:pPr>
        <w:rPr>
          <w:lang w:val="en-GB"/>
        </w:rPr>
      </w:pPr>
      <w:r>
        <w:rPr>
          <w:lang w:val="en-GB"/>
        </w:rPr>
        <w:t>JACKSON MUGUTI</w:t>
      </w:r>
    </w:p>
    <w:p w:rsidR="004D11EE" w:rsidRDefault="004D11EE" w:rsidP="00641382">
      <w:pPr>
        <w:rPr>
          <w:lang w:val="en-GB"/>
        </w:rPr>
      </w:pPr>
      <w:proofErr w:type="gramStart"/>
      <w:r>
        <w:rPr>
          <w:lang w:val="en-GB"/>
        </w:rPr>
        <w:t>versus</w:t>
      </w:r>
      <w:proofErr w:type="gramEnd"/>
    </w:p>
    <w:p w:rsidR="004D11EE" w:rsidRDefault="004D11EE" w:rsidP="00641382">
      <w:pPr>
        <w:rPr>
          <w:lang w:val="en-GB"/>
        </w:rPr>
      </w:pPr>
      <w:r>
        <w:rPr>
          <w:lang w:val="en-GB"/>
        </w:rPr>
        <w:t>HARAMBE HOLDINGS (PVT) LTD t/a</w:t>
      </w:r>
    </w:p>
    <w:p w:rsidR="004D11EE" w:rsidRDefault="004D11EE" w:rsidP="00641382">
      <w:pPr>
        <w:rPr>
          <w:lang w:val="en-GB"/>
        </w:rPr>
      </w:pPr>
      <w:r>
        <w:rPr>
          <w:lang w:val="en-GB"/>
        </w:rPr>
        <w:t>FRESHBAKE</w:t>
      </w:r>
    </w:p>
    <w:p w:rsidR="004D11EE" w:rsidRDefault="004D11EE" w:rsidP="00641382">
      <w:pPr>
        <w:rPr>
          <w:lang w:val="en-GB"/>
        </w:rPr>
      </w:pPr>
    </w:p>
    <w:p w:rsidR="004D11EE" w:rsidRDefault="004D11EE" w:rsidP="00641382">
      <w:pPr>
        <w:rPr>
          <w:lang w:val="en-GB"/>
        </w:rPr>
      </w:pPr>
    </w:p>
    <w:p w:rsidR="004D11EE" w:rsidRDefault="004D11EE" w:rsidP="00641382">
      <w:pPr>
        <w:rPr>
          <w:lang w:val="en-GB"/>
        </w:rPr>
      </w:pPr>
      <w:r>
        <w:rPr>
          <w:lang w:val="en-GB"/>
        </w:rPr>
        <w:t>HIGH COURT OF ZIMBABWE</w:t>
      </w:r>
    </w:p>
    <w:p w:rsidR="004D11EE" w:rsidRDefault="004D11EE" w:rsidP="00641382">
      <w:pPr>
        <w:rPr>
          <w:lang w:val="en-GB"/>
        </w:rPr>
      </w:pPr>
      <w:r>
        <w:rPr>
          <w:lang w:val="en-GB"/>
        </w:rPr>
        <w:t>MATHONSI J</w:t>
      </w:r>
    </w:p>
    <w:p w:rsidR="004D11EE" w:rsidRDefault="004D11EE" w:rsidP="00641382">
      <w:pPr>
        <w:rPr>
          <w:lang w:val="en-GB"/>
        </w:rPr>
      </w:pPr>
      <w:r>
        <w:rPr>
          <w:lang w:val="en-GB"/>
        </w:rPr>
        <w:t>HARARE, 26 JUNE AND 03 JULY 2013</w:t>
      </w:r>
    </w:p>
    <w:p w:rsidR="00EB4B20" w:rsidRDefault="00EB4B20" w:rsidP="00641382">
      <w:pPr>
        <w:rPr>
          <w:lang w:val="en-GB"/>
        </w:rPr>
      </w:pPr>
    </w:p>
    <w:p w:rsidR="00EB4B20" w:rsidRDefault="00EB4B20" w:rsidP="00641382">
      <w:pPr>
        <w:rPr>
          <w:lang w:val="en-GB"/>
        </w:rPr>
      </w:pPr>
    </w:p>
    <w:p w:rsidR="00EB4B20" w:rsidRDefault="00EB4B20" w:rsidP="00641382">
      <w:pPr>
        <w:rPr>
          <w:lang w:val="en-GB"/>
        </w:rPr>
      </w:pPr>
      <w:r>
        <w:rPr>
          <w:lang w:val="en-GB"/>
        </w:rPr>
        <w:t>Applicant in person</w:t>
      </w:r>
    </w:p>
    <w:p w:rsidR="00EB4B20" w:rsidRDefault="00EB4B20" w:rsidP="00641382">
      <w:pPr>
        <w:rPr>
          <w:lang w:val="en-GB"/>
        </w:rPr>
      </w:pPr>
      <w:r>
        <w:rPr>
          <w:lang w:val="en-GB"/>
        </w:rPr>
        <w:t>Respondent in default</w:t>
      </w:r>
    </w:p>
    <w:p w:rsidR="00EB4B20" w:rsidRDefault="00EB4B20" w:rsidP="00641382">
      <w:pPr>
        <w:rPr>
          <w:lang w:val="en-GB"/>
        </w:rPr>
      </w:pPr>
    </w:p>
    <w:p w:rsidR="00EB4B20" w:rsidRDefault="00EB4B20" w:rsidP="00641382">
      <w:pPr>
        <w:rPr>
          <w:lang w:val="en-GB"/>
        </w:rPr>
      </w:pPr>
    </w:p>
    <w:p w:rsidR="00EB4B20" w:rsidRPr="00EB4B20" w:rsidRDefault="00EB4B20" w:rsidP="00641382">
      <w:pPr>
        <w:rPr>
          <w:b/>
          <w:lang w:val="en-GB"/>
        </w:rPr>
      </w:pPr>
      <w:r w:rsidRPr="00EB4B20">
        <w:rPr>
          <w:b/>
          <w:lang w:val="en-GB"/>
        </w:rPr>
        <w:t>Opposed Application</w:t>
      </w:r>
    </w:p>
    <w:p w:rsidR="00EB4B20" w:rsidRDefault="00EB4B20" w:rsidP="00641382">
      <w:pPr>
        <w:rPr>
          <w:lang w:val="en-GB"/>
        </w:rPr>
      </w:pPr>
    </w:p>
    <w:p w:rsidR="00EB4B20" w:rsidRDefault="00EB4B20" w:rsidP="00641382">
      <w:pPr>
        <w:rPr>
          <w:lang w:val="en-GB"/>
        </w:rPr>
      </w:pPr>
    </w:p>
    <w:p w:rsidR="00EB4B20" w:rsidRDefault="00EB4B20" w:rsidP="00EB4B20">
      <w:pPr>
        <w:spacing w:line="360" w:lineRule="auto"/>
        <w:jc w:val="both"/>
        <w:rPr>
          <w:lang w:val="en-GB"/>
        </w:rPr>
      </w:pPr>
      <w:r>
        <w:rPr>
          <w:lang w:val="en-GB"/>
        </w:rPr>
        <w:tab/>
        <w:t>MATHONSI J:</w:t>
      </w:r>
      <w:r>
        <w:rPr>
          <w:lang w:val="en-GB"/>
        </w:rPr>
        <w:tab/>
        <w:t>This is an application in which the applicant, a debt collector, seeks summary judgment</w:t>
      </w:r>
      <w:r w:rsidR="00D1529D">
        <w:rPr>
          <w:lang w:val="en-GB"/>
        </w:rPr>
        <w:t xml:space="preserve"> against the respondent. The applicant sued the respondent as a cessionary for payment of the sum of US$1 245-00 together with interest thereon at the prescribed rate</w:t>
      </w:r>
      <w:r w:rsidR="00904A74">
        <w:rPr>
          <w:lang w:val="en-GB"/>
        </w:rPr>
        <w:t>,</w:t>
      </w:r>
      <w:r w:rsidR="00D1529D">
        <w:rPr>
          <w:lang w:val="en-GB"/>
        </w:rPr>
        <w:t xml:space="preserve"> collection commission and costs of suit arising out of a hire agreement in which the respondent allegedly hired a motor vehicle belonging to one </w:t>
      </w:r>
      <w:proofErr w:type="spellStart"/>
      <w:r w:rsidR="00D1529D">
        <w:rPr>
          <w:lang w:val="en-GB"/>
        </w:rPr>
        <w:t>Chengetai</w:t>
      </w:r>
      <w:proofErr w:type="spellEnd"/>
      <w:r w:rsidR="00D1529D">
        <w:rPr>
          <w:lang w:val="en-GB"/>
        </w:rPr>
        <w:t xml:space="preserve"> Joseph </w:t>
      </w:r>
      <w:proofErr w:type="spellStart"/>
      <w:r w:rsidR="00D1529D">
        <w:rPr>
          <w:lang w:val="en-GB"/>
        </w:rPr>
        <w:t>Chimbo</w:t>
      </w:r>
      <w:proofErr w:type="spellEnd"/>
      <w:r w:rsidR="00162B5B">
        <w:rPr>
          <w:lang w:val="en-GB"/>
        </w:rPr>
        <w:t xml:space="preserve"> </w:t>
      </w:r>
      <w:r w:rsidR="00D1529D">
        <w:rPr>
          <w:lang w:val="en-GB"/>
        </w:rPr>
        <w:t>du</w:t>
      </w:r>
      <w:r w:rsidR="00904A74">
        <w:rPr>
          <w:lang w:val="en-GB"/>
        </w:rPr>
        <w:t xml:space="preserve">ring the period of </w:t>
      </w:r>
      <w:r w:rsidR="00904A74">
        <w:rPr>
          <w:lang w:val="en-GB"/>
        </w:rPr>
        <w:tab/>
        <w:t>1 June and 7</w:t>
      </w:r>
      <w:r w:rsidR="00D1529D">
        <w:rPr>
          <w:lang w:val="en-GB"/>
        </w:rPr>
        <w:t xml:space="preserve"> September 2010.</w:t>
      </w:r>
    </w:p>
    <w:p w:rsidR="00A07F09" w:rsidRDefault="00904A74" w:rsidP="00EB4B20">
      <w:pPr>
        <w:spacing w:line="360" w:lineRule="auto"/>
        <w:jc w:val="both"/>
        <w:rPr>
          <w:lang w:val="en-GB"/>
        </w:rPr>
      </w:pPr>
      <w:r>
        <w:rPr>
          <w:lang w:val="en-GB"/>
        </w:rPr>
        <w:tab/>
        <w:t>In its</w:t>
      </w:r>
      <w:r w:rsidR="00A07F09">
        <w:rPr>
          <w:lang w:val="en-GB"/>
        </w:rPr>
        <w:t xml:space="preserve"> declaration, the applicant alleged that </w:t>
      </w:r>
      <w:proofErr w:type="spellStart"/>
      <w:r w:rsidR="00A07F09">
        <w:rPr>
          <w:lang w:val="en-GB"/>
        </w:rPr>
        <w:t>Chimbo’s</w:t>
      </w:r>
      <w:proofErr w:type="spellEnd"/>
      <w:r w:rsidR="00A07F09">
        <w:rPr>
          <w:lang w:val="en-GB"/>
        </w:rPr>
        <w:t xml:space="preserve"> vehicle was hired to ferry the respondent’s produce to the market on a daily basis at a cost of US$25-00 per day. He further alleged that the total of US$1 245-00 remains unpaid by the respondent and that the said </w:t>
      </w:r>
      <w:proofErr w:type="spellStart"/>
      <w:r w:rsidR="00A07F09">
        <w:rPr>
          <w:lang w:val="en-GB"/>
        </w:rPr>
        <w:t>Chimbo</w:t>
      </w:r>
      <w:proofErr w:type="spellEnd"/>
      <w:r w:rsidR="00A07F09">
        <w:rPr>
          <w:lang w:val="en-GB"/>
        </w:rPr>
        <w:t xml:space="preserve"> ceded his claim to him on 20 September 2010.</w:t>
      </w:r>
    </w:p>
    <w:p w:rsidR="004441CF" w:rsidRDefault="004441CF" w:rsidP="00EB4B20">
      <w:pPr>
        <w:spacing w:line="360" w:lineRule="auto"/>
        <w:jc w:val="both"/>
        <w:rPr>
          <w:lang w:val="en-GB"/>
        </w:rPr>
      </w:pPr>
      <w:r>
        <w:rPr>
          <w:lang w:val="en-GB"/>
        </w:rPr>
        <w:tab/>
        <w:t xml:space="preserve">Upon </w:t>
      </w:r>
      <w:r w:rsidR="00904A74">
        <w:rPr>
          <w:lang w:val="en-GB"/>
        </w:rPr>
        <w:t>receipt</w:t>
      </w:r>
      <w:r>
        <w:rPr>
          <w:lang w:val="en-GB"/>
        </w:rPr>
        <w:t xml:space="preserve"> of the summ</w:t>
      </w:r>
      <w:r w:rsidR="00ED6952">
        <w:rPr>
          <w:lang w:val="en-GB"/>
        </w:rPr>
        <w:t xml:space="preserve">ons the respondent caused an </w:t>
      </w:r>
      <w:r>
        <w:rPr>
          <w:lang w:val="en-GB"/>
        </w:rPr>
        <w:t>appearance to defend to be entered necessitating</w:t>
      </w:r>
      <w:r w:rsidR="00ED6952">
        <w:rPr>
          <w:lang w:val="en-GB"/>
        </w:rPr>
        <w:t xml:space="preserve"> the filing of this summary judgment application.</w:t>
      </w:r>
      <w:r w:rsidR="0088076A">
        <w:rPr>
          <w:lang w:val="en-GB"/>
        </w:rPr>
        <w:t xml:space="preserve"> In his founding affidavit, the applicant stated that his claim is unassailable and that appearance has been entered for purposes of delay. He stated further that his claim </w:t>
      </w:r>
      <w:proofErr w:type="gramStart"/>
      <w:r w:rsidR="0088076A">
        <w:rPr>
          <w:lang w:val="en-GB"/>
        </w:rPr>
        <w:t>“ is</w:t>
      </w:r>
      <w:proofErr w:type="gramEnd"/>
      <w:r w:rsidR="0088076A">
        <w:rPr>
          <w:lang w:val="en-GB"/>
        </w:rPr>
        <w:t xml:space="preserve"> based on (a) liquidated demand” and that the respondent has not a </w:t>
      </w:r>
      <w:r w:rsidR="0088076A" w:rsidRPr="0088076A">
        <w:rPr>
          <w:i/>
          <w:lang w:val="en-GB"/>
        </w:rPr>
        <w:t>bona fide</w:t>
      </w:r>
      <w:r w:rsidR="0088076A">
        <w:rPr>
          <w:lang w:val="en-GB"/>
        </w:rPr>
        <w:t xml:space="preserve"> defence.</w:t>
      </w:r>
    </w:p>
    <w:p w:rsidR="008A387B" w:rsidRDefault="008A387B" w:rsidP="00EB4B20">
      <w:pPr>
        <w:spacing w:line="360" w:lineRule="auto"/>
        <w:jc w:val="both"/>
        <w:rPr>
          <w:lang w:val="en-GB"/>
        </w:rPr>
      </w:pPr>
      <w:r>
        <w:rPr>
          <w:lang w:val="en-GB"/>
        </w:rPr>
        <w:tab/>
        <w:t xml:space="preserve">While attaching the deed of cession executed by </w:t>
      </w:r>
      <w:proofErr w:type="spellStart"/>
      <w:r>
        <w:rPr>
          <w:lang w:val="en-GB"/>
        </w:rPr>
        <w:t>Chimbo</w:t>
      </w:r>
      <w:proofErr w:type="spellEnd"/>
      <w:r>
        <w:rPr>
          <w:lang w:val="en-GB"/>
        </w:rPr>
        <w:t xml:space="preserve">, the applicant has not attached anything else to substantiate the claim. He has not even stated how the sum claimed is arrived at. </w:t>
      </w:r>
      <w:r w:rsidR="00592581">
        <w:rPr>
          <w:lang w:val="en-GB"/>
        </w:rPr>
        <w:lastRenderedPageBreak/>
        <w:t>In its opposing affidavit</w:t>
      </w:r>
      <w:r>
        <w:rPr>
          <w:lang w:val="en-GB"/>
        </w:rPr>
        <w:t xml:space="preserve"> deposed to by its Finance Director, the respondent took the point that it has been wrongly cited given that it h</w:t>
      </w:r>
      <w:r w:rsidR="00592581">
        <w:rPr>
          <w:lang w:val="en-GB"/>
        </w:rPr>
        <w:t xml:space="preserve">as never had any dealings with </w:t>
      </w:r>
      <w:proofErr w:type="spellStart"/>
      <w:r>
        <w:rPr>
          <w:lang w:val="en-GB"/>
        </w:rPr>
        <w:t>Chimbo</w:t>
      </w:r>
      <w:proofErr w:type="spellEnd"/>
      <w:r w:rsidR="00162B5B">
        <w:rPr>
          <w:lang w:val="en-GB"/>
        </w:rPr>
        <w:t xml:space="preserve"> </w:t>
      </w:r>
      <w:r w:rsidR="00592581">
        <w:rPr>
          <w:lang w:val="en-GB"/>
        </w:rPr>
        <w:t xml:space="preserve">as it does not even trade </w:t>
      </w:r>
      <w:r>
        <w:rPr>
          <w:lang w:val="en-GB"/>
        </w:rPr>
        <w:t xml:space="preserve">in bakeries which is the business of a company known as </w:t>
      </w:r>
      <w:proofErr w:type="spellStart"/>
      <w:r>
        <w:rPr>
          <w:lang w:val="en-GB"/>
        </w:rPr>
        <w:t>Trinpac</w:t>
      </w:r>
      <w:proofErr w:type="spellEnd"/>
      <w:r>
        <w:rPr>
          <w:lang w:val="en-GB"/>
        </w:rPr>
        <w:t xml:space="preserve"> Investments (Pvt) Ltd which is now under liquidation.</w:t>
      </w:r>
    </w:p>
    <w:p w:rsidR="004A50E0" w:rsidRDefault="004A50E0" w:rsidP="00EB4B20">
      <w:pPr>
        <w:spacing w:line="360" w:lineRule="auto"/>
        <w:jc w:val="both"/>
        <w:rPr>
          <w:lang w:val="en-GB"/>
        </w:rPr>
      </w:pPr>
      <w:r>
        <w:rPr>
          <w:lang w:val="en-GB"/>
        </w:rPr>
        <w:tab/>
        <w:t>The applicant has filed an answering</w:t>
      </w:r>
      <w:r w:rsidR="00B13941">
        <w:rPr>
          <w:lang w:val="en-GB"/>
        </w:rPr>
        <w:t xml:space="preserve"> affidavit and a supplementary affidavit without the leave of the court. He is not entitled to do so. Rule 67 of the High Cou</w:t>
      </w:r>
      <w:r w:rsidR="00592581">
        <w:rPr>
          <w:lang w:val="en-GB"/>
        </w:rPr>
        <w:t>rt of Zimbabwe Rules, 1971 makes it clear that no evidence</w:t>
      </w:r>
      <w:r w:rsidR="00B13941">
        <w:rPr>
          <w:lang w:val="en-GB"/>
        </w:rPr>
        <w:t xml:space="preserve"> may be adduced by the plaintiff otherwise than by the affidavit of which a copy was delivered with the notice except with the leave of the court. As such leave has not been sought it cannot be granted. Not that the additional evidence would have made any difference. It does not advance the applicant’s case any further.</w:t>
      </w:r>
    </w:p>
    <w:p w:rsidR="004E6335" w:rsidRDefault="00592581" w:rsidP="00EB4B20">
      <w:pPr>
        <w:spacing w:line="360" w:lineRule="auto"/>
        <w:jc w:val="both"/>
        <w:rPr>
          <w:lang w:val="en-GB"/>
        </w:rPr>
      </w:pPr>
      <w:r>
        <w:rPr>
          <w:lang w:val="en-GB"/>
        </w:rPr>
        <w:t>In terms of r</w:t>
      </w:r>
      <w:r w:rsidR="004E6335">
        <w:rPr>
          <w:lang w:val="en-GB"/>
        </w:rPr>
        <w:t>64;</w:t>
      </w:r>
    </w:p>
    <w:p w:rsidR="004E6335" w:rsidRDefault="004E6335" w:rsidP="00334FCD">
      <w:pPr>
        <w:spacing w:line="360" w:lineRule="auto"/>
        <w:ind w:left="1440" w:hanging="720"/>
        <w:jc w:val="both"/>
        <w:rPr>
          <w:lang w:val="en-GB"/>
        </w:rPr>
      </w:pPr>
      <w:r>
        <w:rPr>
          <w:lang w:val="en-GB"/>
        </w:rPr>
        <w:t>“</w:t>
      </w:r>
      <w:r w:rsidR="00334FCD">
        <w:rPr>
          <w:lang w:val="en-GB"/>
        </w:rPr>
        <w:t>(1)</w:t>
      </w:r>
      <w:r w:rsidR="00334FCD">
        <w:rPr>
          <w:lang w:val="en-GB"/>
        </w:rPr>
        <w:tab/>
      </w:r>
      <w:r>
        <w:rPr>
          <w:lang w:val="en-GB"/>
        </w:rPr>
        <w:t xml:space="preserve"> Where the defendant has entered appearance to a summon, the plaintiff may at any time before a pre-trial conference is held, make a court application in terms of this rule</w:t>
      </w:r>
      <w:r w:rsidR="00334FCD">
        <w:rPr>
          <w:lang w:val="en-GB"/>
        </w:rPr>
        <w:t xml:space="preserve"> for the court to enter summary judgment for what is claimed in the summons and costs.</w:t>
      </w:r>
    </w:p>
    <w:p w:rsidR="00334FCD" w:rsidRDefault="00334FCD" w:rsidP="00334FCD">
      <w:pPr>
        <w:spacing w:line="360" w:lineRule="auto"/>
        <w:ind w:left="1440" w:hanging="720"/>
        <w:jc w:val="both"/>
        <w:rPr>
          <w:lang w:val="en-GB"/>
        </w:rPr>
      </w:pPr>
      <w:r>
        <w:rPr>
          <w:lang w:val="en-GB"/>
        </w:rPr>
        <w:t>(2)</w:t>
      </w:r>
      <w:r w:rsidR="00876732">
        <w:rPr>
          <w:lang w:val="en-GB"/>
        </w:rPr>
        <w:tab/>
        <w:t xml:space="preserve">A court application in terms of </w:t>
      </w:r>
      <w:proofErr w:type="spellStart"/>
      <w:r w:rsidR="00876732">
        <w:rPr>
          <w:lang w:val="en-GB"/>
        </w:rPr>
        <w:t>subrule</w:t>
      </w:r>
      <w:proofErr w:type="spellEnd"/>
      <w:r w:rsidR="00876732">
        <w:rPr>
          <w:lang w:val="en-GB"/>
        </w:rPr>
        <w:t xml:space="preserve"> (1) shall be supported by an affidavit made by the plaintiff or</w:t>
      </w:r>
      <w:r w:rsidR="0030561F">
        <w:rPr>
          <w:lang w:val="en-GB"/>
        </w:rPr>
        <w:t xml:space="preserve"> by any other person who can swe</w:t>
      </w:r>
      <w:r w:rsidR="00876732">
        <w:rPr>
          <w:lang w:val="en-GB"/>
        </w:rPr>
        <w:t>ar positively to the facts</w:t>
      </w:r>
      <w:r w:rsidR="00CA07D1">
        <w:rPr>
          <w:lang w:val="en-GB"/>
        </w:rPr>
        <w:t xml:space="preserve"> set out therein, verifying the cause of action and the amount claimed, if any, and stating that in his belief there is no </w:t>
      </w:r>
      <w:r w:rsidR="00CA07D1" w:rsidRPr="00CA07D1">
        <w:rPr>
          <w:i/>
          <w:lang w:val="en-GB"/>
        </w:rPr>
        <w:t>bona fide</w:t>
      </w:r>
      <w:r w:rsidR="00CA07D1">
        <w:rPr>
          <w:lang w:val="en-GB"/>
        </w:rPr>
        <w:t xml:space="preserve"> defence to the action.</w:t>
      </w:r>
    </w:p>
    <w:p w:rsidR="0059016C" w:rsidRDefault="0059016C" w:rsidP="00334FCD">
      <w:pPr>
        <w:spacing w:line="360" w:lineRule="auto"/>
        <w:ind w:left="1440" w:hanging="720"/>
        <w:jc w:val="both"/>
        <w:rPr>
          <w:lang w:val="en-GB"/>
        </w:rPr>
      </w:pPr>
      <w:r>
        <w:rPr>
          <w:lang w:val="en-GB"/>
        </w:rPr>
        <w:t>(3)</w:t>
      </w:r>
      <w:r>
        <w:rPr>
          <w:lang w:val="en-GB"/>
        </w:rPr>
        <w:tab/>
        <w:t xml:space="preserve">A deponent may attach to his affidavit filed in terms of </w:t>
      </w:r>
      <w:proofErr w:type="spellStart"/>
      <w:r>
        <w:rPr>
          <w:lang w:val="en-GB"/>
        </w:rPr>
        <w:t>subrule</w:t>
      </w:r>
      <w:proofErr w:type="spellEnd"/>
      <w:r>
        <w:rPr>
          <w:lang w:val="en-GB"/>
        </w:rPr>
        <w:t xml:space="preserve"> (2) documents which verify the plaintiff’s cause of action or his belief that there is no </w:t>
      </w:r>
      <w:r w:rsidRPr="0059016C">
        <w:rPr>
          <w:i/>
          <w:lang w:val="en-GB"/>
        </w:rPr>
        <w:t>bona fide</w:t>
      </w:r>
      <w:r>
        <w:rPr>
          <w:lang w:val="en-GB"/>
        </w:rPr>
        <w:t xml:space="preserve"> defence to the action.”</w:t>
      </w:r>
    </w:p>
    <w:p w:rsidR="008B686D" w:rsidRDefault="008B686D" w:rsidP="00017C2A">
      <w:pPr>
        <w:spacing w:line="360" w:lineRule="auto"/>
        <w:ind w:firstLine="720"/>
        <w:jc w:val="both"/>
        <w:rPr>
          <w:lang w:val="en-GB"/>
        </w:rPr>
      </w:pPr>
      <w:r>
        <w:rPr>
          <w:lang w:val="en-GB"/>
        </w:rPr>
        <w:t xml:space="preserve">The applicant is a debt collector who is the beneficiary of a cession. He did not enter into any agreement with the respondent, neither did he perform anything in terms of the agreement allegedly entered into between the respondent and </w:t>
      </w:r>
      <w:proofErr w:type="spellStart"/>
      <w:r>
        <w:rPr>
          <w:lang w:val="en-GB"/>
        </w:rPr>
        <w:t>Chimbo</w:t>
      </w:r>
      <w:proofErr w:type="spellEnd"/>
      <w:r>
        <w:rPr>
          <w:lang w:val="en-GB"/>
        </w:rPr>
        <w:t>. He does not even begin to allege that he is privy to what transpired between these parties. Clearly therefore the applicant cannot swear positively</w:t>
      </w:r>
      <w:r w:rsidR="002005BD">
        <w:rPr>
          <w:lang w:val="en-GB"/>
        </w:rPr>
        <w:t xml:space="preserve"> to the facts, cannot verify the cause of action and therefore is the wrong person to depose to the supporting affid</w:t>
      </w:r>
      <w:r w:rsidR="00592581">
        <w:rPr>
          <w:lang w:val="en-GB"/>
        </w:rPr>
        <w:t xml:space="preserve">avit in terms of </w:t>
      </w:r>
      <w:proofErr w:type="gramStart"/>
      <w:r w:rsidR="00592581">
        <w:rPr>
          <w:lang w:val="en-GB"/>
        </w:rPr>
        <w:t>r</w:t>
      </w:r>
      <w:r w:rsidR="002005BD">
        <w:rPr>
          <w:lang w:val="en-GB"/>
        </w:rPr>
        <w:t>64(</w:t>
      </w:r>
      <w:proofErr w:type="gramEnd"/>
      <w:r w:rsidR="002005BD">
        <w:rPr>
          <w:lang w:val="en-GB"/>
        </w:rPr>
        <w:t xml:space="preserve">2). The applicant should have elicited an affidavit from </w:t>
      </w:r>
      <w:proofErr w:type="spellStart"/>
      <w:r w:rsidR="002005BD">
        <w:rPr>
          <w:lang w:val="en-GB"/>
        </w:rPr>
        <w:t>Chimbo</w:t>
      </w:r>
      <w:proofErr w:type="spellEnd"/>
      <w:r w:rsidR="002005BD">
        <w:rPr>
          <w:lang w:val="en-GB"/>
        </w:rPr>
        <w:t>.</w:t>
      </w:r>
    </w:p>
    <w:p w:rsidR="00017C2A" w:rsidRDefault="00017C2A" w:rsidP="00017C2A">
      <w:pPr>
        <w:spacing w:line="360" w:lineRule="auto"/>
        <w:ind w:firstLine="720"/>
        <w:jc w:val="both"/>
        <w:rPr>
          <w:lang w:val="en-GB"/>
        </w:rPr>
      </w:pPr>
      <w:r>
        <w:rPr>
          <w:lang w:val="en-GB"/>
        </w:rPr>
        <w:lastRenderedPageBreak/>
        <w:t xml:space="preserve">What is even more important is the fact that the applicant has not even submitted documentary proof of the claim. His belated attempt to produce a letter written by </w:t>
      </w:r>
      <w:proofErr w:type="spellStart"/>
      <w:r>
        <w:rPr>
          <w:lang w:val="en-GB"/>
        </w:rPr>
        <w:t>Freshbake</w:t>
      </w:r>
      <w:proofErr w:type="spellEnd"/>
      <w:r>
        <w:rPr>
          <w:lang w:val="en-GB"/>
        </w:rPr>
        <w:t xml:space="preserve"> in which that institution admits liability to </w:t>
      </w:r>
      <w:proofErr w:type="spellStart"/>
      <w:r>
        <w:rPr>
          <w:lang w:val="en-GB"/>
        </w:rPr>
        <w:t>Chimbo</w:t>
      </w:r>
      <w:proofErr w:type="spellEnd"/>
      <w:r>
        <w:rPr>
          <w:lang w:val="en-GB"/>
        </w:rPr>
        <w:t xml:space="preserve"> does not assist the applicant’s case in any way. </w:t>
      </w:r>
      <w:proofErr w:type="gramStart"/>
      <w:r>
        <w:rPr>
          <w:lang w:val="en-GB"/>
        </w:rPr>
        <w:t>As already</w:t>
      </w:r>
      <w:r w:rsidR="0090729A">
        <w:rPr>
          <w:lang w:val="en-GB"/>
        </w:rPr>
        <w:t xml:space="preserve"> stated that additional evidence is not accepted as it was adduced without the leave</w:t>
      </w:r>
      <w:r w:rsidR="00592581">
        <w:rPr>
          <w:lang w:val="en-GB"/>
        </w:rPr>
        <w:t xml:space="preserve"> of the court and in breach of r</w:t>
      </w:r>
      <w:r w:rsidR="0090729A">
        <w:rPr>
          <w:lang w:val="en-GB"/>
        </w:rPr>
        <w:t>67.</w:t>
      </w:r>
      <w:proofErr w:type="gramEnd"/>
      <w:r w:rsidR="0090729A">
        <w:rPr>
          <w:lang w:val="en-GB"/>
        </w:rPr>
        <w:t xml:space="preserve"> More importantly, it does not show any link between the said </w:t>
      </w:r>
      <w:proofErr w:type="spellStart"/>
      <w:r w:rsidR="0090729A">
        <w:rPr>
          <w:lang w:val="en-GB"/>
        </w:rPr>
        <w:t>Freshbake</w:t>
      </w:r>
      <w:proofErr w:type="spellEnd"/>
      <w:r w:rsidR="0090729A">
        <w:rPr>
          <w:lang w:val="en-GB"/>
        </w:rPr>
        <w:t xml:space="preserve"> and the present respondent, which has categorically dissociated itself from both </w:t>
      </w:r>
      <w:proofErr w:type="spellStart"/>
      <w:r w:rsidR="0090729A">
        <w:rPr>
          <w:lang w:val="en-GB"/>
        </w:rPr>
        <w:t>Freshbake</w:t>
      </w:r>
      <w:proofErr w:type="spellEnd"/>
      <w:r w:rsidR="0090729A">
        <w:rPr>
          <w:lang w:val="en-GB"/>
        </w:rPr>
        <w:t xml:space="preserve"> and </w:t>
      </w:r>
      <w:proofErr w:type="spellStart"/>
      <w:r w:rsidR="0090729A">
        <w:rPr>
          <w:lang w:val="en-GB"/>
        </w:rPr>
        <w:t>Chimbo</w:t>
      </w:r>
      <w:proofErr w:type="spellEnd"/>
      <w:r w:rsidR="0090729A">
        <w:rPr>
          <w:lang w:val="en-GB"/>
        </w:rPr>
        <w:t>.</w:t>
      </w:r>
    </w:p>
    <w:p w:rsidR="00C225C0" w:rsidRDefault="00C225C0" w:rsidP="00017C2A">
      <w:pPr>
        <w:spacing w:line="360" w:lineRule="auto"/>
        <w:ind w:firstLine="720"/>
        <w:jc w:val="both"/>
        <w:rPr>
          <w:lang w:val="en-GB"/>
        </w:rPr>
      </w:pPr>
      <w:r>
        <w:rPr>
          <w:lang w:val="en-GB"/>
        </w:rPr>
        <w:t>In my view the applicant has not made good case for summary judgment. Accordingly, the application is hereby dismissed with costs.</w:t>
      </w:r>
    </w:p>
    <w:p w:rsidR="00967670" w:rsidRDefault="00967670" w:rsidP="00967670">
      <w:pPr>
        <w:spacing w:line="360" w:lineRule="auto"/>
        <w:jc w:val="both"/>
        <w:rPr>
          <w:lang w:val="en-GB"/>
        </w:rPr>
      </w:pPr>
    </w:p>
    <w:p w:rsidR="00967670" w:rsidRDefault="00967670" w:rsidP="00967670">
      <w:pPr>
        <w:spacing w:line="360" w:lineRule="auto"/>
        <w:jc w:val="both"/>
        <w:rPr>
          <w:lang w:val="en-GB"/>
        </w:rPr>
      </w:pPr>
    </w:p>
    <w:p w:rsidR="00967670" w:rsidRPr="004D11EE" w:rsidRDefault="00967670" w:rsidP="00967670">
      <w:pPr>
        <w:spacing w:line="360" w:lineRule="auto"/>
        <w:jc w:val="both"/>
        <w:rPr>
          <w:lang w:val="en-GB"/>
        </w:rPr>
      </w:pPr>
      <w:proofErr w:type="spellStart"/>
      <w:r w:rsidRPr="00967670">
        <w:rPr>
          <w:i/>
          <w:lang w:val="en-GB"/>
        </w:rPr>
        <w:t>Bvekwa</w:t>
      </w:r>
      <w:proofErr w:type="spellEnd"/>
      <w:r w:rsidR="00162B5B">
        <w:rPr>
          <w:i/>
          <w:lang w:val="en-GB"/>
        </w:rPr>
        <w:t xml:space="preserve"> </w:t>
      </w:r>
      <w:bookmarkStart w:id="0" w:name="_GoBack"/>
      <w:bookmarkEnd w:id="0"/>
      <w:r w:rsidRPr="00592581">
        <w:rPr>
          <w:i/>
          <w:lang w:val="en-GB"/>
        </w:rPr>
        <w:t>legal practice</w:t>
      </w:r>
      <w:r>
        <w:rPr>
          <w:lang w:val="en-GB"/>
        </w:rPr>
        <w:t>, respondent’s legal practitioners.</w:t>
      </w:r>
    </w:p>
    <w:sectPr w:rsidR="00967670" w:rsidRPr="004D11EE" w:rsidSect="00AE438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0D13" w:rsidRDefault="00D10D13" w:rsidP="00781B3C">
      <w:r>
        <w:separator/>
      </w:r>
    </w:p>
  </w:endnote>
  <w:endnote w:type="continuationSeparator" w:id="0">
    <w:p w:rsidR="00D10D13" w:rsidRDefault="00D10D13" w:rsidP="00781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0D13" w:rsidRDefault="00D10D13" w:rsidP="00781B3C">
      <w:r>
        <w:separator/>
      </w:r>
    </w:p>
  </w:footnote>
  <w:footnote w:type="continuationSeparator" w:id="0">
    <w:p w:rsidR="00D10D13" w:rsidRDefault="00D10D13" w:rsidP="00781B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41376"/>
      <w:docPartObj>
        <w:docPartGallery w:val="Page Numbers (Top of Page)"/>
        <w:docPartUnique/>
      </w:docPartObj>
    </w:sdtPr>
    <w:sdtEndPr/>
    <w:sdtContent>
      <w:p w:rsidR="00781B3C" w:rsidRDefault="00870976" w:rsidP="00781B3C">
        <w:pPr>
          <w:pStyle w:val="Header"/>
          <w:ind w:left="3960" w:firstLine="4680"/>
        </w:pPr>
        <w:r>
          <w:fldChar w:fldCharType="begin"/>
        </w:r>
        <w:r w:rsidR="00BE4FD5">
          <w:instrText xml:space="preserve"> PAGE   \* MERGEFORMAT </w:instrText>
        </w:r>
        <w:r>
          <w:fldChar w:fldCharType="separate"/>
        </w:r>
        <w:r w:rsidR="00162B5B">
          <w:rPr>
            <w:noProof/>
          </w:rPr>
          <w:t>3</w:t>
        </w:r>
        <w:r>
          <w:rPr>
            <w:noProof/>
          </w:rPr>
          <w:fldChar w:fldCharType="end"/>
        </w:r>
      </w:p>
      <w:p w:rsidR="00781B3C" w:rsidRDefault="00BE4FD5" w:rsidP="00781B3C">
        <w:pPr>
          <w:pStyle w:val="Header"/>
          <w:ind w:left="3960"/>
        </w:pPr>
        <w:r>
          <w:t xml:space="preserve">                         </w:t>
        </w:r>
        <w:r w:rsidR="005B5861">
          <w:t xml:space="preserve">                                   </w:t>
        </w:r>
        <w:r>
          <w:t>HH 210/</w:t>
        </w:r>
        <w:r w:rsidR="00781B3C">
          <w:t>2013</w:t>
        </w:r>
      </w:p>
      <w:p w:rsidR="00781B3C" w:rsidRDefault="005B5861" w:rsidP="00781B3C">
        <w:pPr>
          <w:pStyle w:val="Header"/>
          <w:ind w:left="3960"/>
        </w:pPr>
        <w:r>
          <w:tab/>
          <w:t xml:space="preserve">                                                          </w:t>
        </w:r>
        <w:r w:rsidR="00781B3C">
          <w:t>HC 7422/2010</w:t>
        </w:r>
      </w:p>
    </w:sdtContent>
  </w:sdt>
  <w:p w:rsidR="00781B3C" w:rsidRDefault="00781B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20AAD"/>
    <w:multiLevelType w:val="hybridMultilevel"/>
    <w:tmpl w:val="5C8E4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14D0E61"/>
    <w:multiLevelType w:val="hybridMultilevel"/>
    <w:tmpl w:val="64C447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55A09"/>
    <w:rsid w:val="00017C2A"/>
    <w:rsid w:val="000949E5"/>
    <w:rsid w:val="000C64FA"/>
    <w:rsid w:val="00162B5B"/>
    <w:rsid w:val="002005BD"/>
    <w:rsid w:val="0030561F"/>
    <w:rsid w:val="00334FCD"/>
    <w:rsid w:val="003951AF"/>
    <w:rsid w:val="004441CF"/>
    <w:rsid w:val="0046742B"/>
    <w:rsid w:val="004A50E0"/>
    <w:rsid w:val="004D11EE"/>
    <w:rsid w:val="004E6335"/>
    <w:rsid w:val="005747E9"/>
    <w:rsid w:val="0059016C"/>
    <w:rsid w:val="00592581"/>
    <w:rsid w:val="005B5861"/>
    <w:rsid w:val="005E055D"/>
    <w:rsid w:val="0060310C"/>
    <w:rsid w:val="00641382"/>
    <w:rsid w:val="007313FB"/>
    <w:rsid w:val="00781B3C"/>
    <w:rsid w:val="00790090"/>
    <w:rsid w:val="00861AD4"/>
    <w:rsid w:val="00870976"/>
    <w:rsid w:val="00876732"/>
    <w:rsid w:val="0088076A"/>
    <w:rsid w:val="008A387B"/>
    <w:rsid w:val="008B47E8"/>
    <w:rsid w:val="008B686D"/>
    <w:rsid w:val="008D1CB2"/>
    <w:rsid w:val="00904A74"/>
    <w:rsid w:val="0090729A"/>
    <w:rsid w:val="00921DF4"/>
    <w:rsid w:val="00967670"/>
    <w:rsid w:val="00995374"/>
    <w:rsid w:val="00997C2F"/>
    <w:rsid w:val="009E1118"/>
    <w:rsid w:val="00A07F09"/>
    <w:rsid w:val="00A45127"/>
    <w:rsid w:val="00A55A09"/>
    <w:rsid w:val="00AD7841"/>
    <w:rsid w:val="00AE438D"/>
    <w:rsid w:val="00B13941"/>
    <w:rsid w:val="00B30798"/>
    <w:rsid w:val="00BC5669"/>
    <w:rsid w:val="00BE4FD5"/>
    <w:rsid w:val="00BF110B"/>
    <w:rsid w:val="00C225C0"/>
    <w:rsid w:val="00CA07D1"/>
    <w:rsid w:val="00D10D13"/>
    <w:rsid w:val="00D1529D"/>
    <w:rsid w:val="00D410B1"/>
    <w:rsid w:val="00D95C18"/>
    <w:rsid w:val="00E450C8"/>
    <w:rsid w:val="00EB4B20"/>
    <w:rsid w:val="00ED6952"/>
    <w:rsid w:val="00F04192"/>
    <w:rsid w:val="00F22110"/>
    <w:rsid w:val="00F23F44"/>
    <w:rsid w:val="00F64C39"/>
    <w:rsid w:val="00FA44E9"/>
    <w:rsid w:val="00FB47E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A0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64FA"/>
    <w:pPr>
      <w:ind w:left="720"/>
      <w:contextualSpacing/>
    </w:pPr>
  </w:style>
  <w:style w:type="paragraph" w:styleId="Header">
    <w:name w:val="header"/>
    <w:basedOn w:val="Normal"/>
    <w:link w:val="HeaderChar"/>
    <w:uiPriority w:val="99"/>
    <w:unhideWhenUsed/>
    <w:rsid w:val="00781B3C"/>
    <w:pPr>
      <w:tabs>
        <w:tab w:val="center" w:pos="4680"/>
        <w:tab w:val="right" w:pos="9360"/>
      </w:tabs>
    </w:pPr>
  </w:style>
  <w:style w:type="character" w:customStyle="1" w:styleId="HeaderChar">
    <w:name w:val="Header Char"/>
    <w:basedOn w:val="DefaultParagraphFont"/>
    <w:link w:val="Header"/>
    <w:uiPriority w:val="99"/>
    <w:rsid w:val="00781B3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81B3C"/>
    <w:pPr>
      <w:tabs>
        <w:tab w:val="center" w:pos="4680"/>
        <w:tab w:val="right" w:pos="9360"/>
      </w:tabs>
    </w:pPr>
  </w:style>
  <w:style w:type="character" w:customStyle="1" w:styleId="FooterChar">
    <w:name w:val="Footer Char"/>
    <w:basedOn w:val="DefaultParagraphFont"/>
    <w:link w:val="Footer"/>
    <w:uiPriority w:val="99"/>
    <w:rsid w:val="00781B3C"/>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691</Words>
  <Characters>3944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jibson</dc:creator>
  <cp:lastModifiedBy>user</cp:lastModifiedBy>
  <cp:revision>3</cp:revision>
  <cp:lastPrinted>2012-07-04T10:17:00Z</cp:lastPrinted>
  <dcterms:created xsi:type="dcterms:W3CDTF">2013-08-14T10:31:00Z</dcterms:created>
  <dcterms:modified xsi:type="dcterms:W3CDTF">2013-08-15T10:14:00Z</dcterms:modified>
</cp:coreProperties>
</file>