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6F295D" w:rsidP="00FC510D">
      <w:pPr>
        <w:spacing w:after="0" w:line="240" w:lineRule="auto"/>
        <w:rPr>
          <w:rFonts w:ascii="Tahoma" w:hAnsi="Tahoma" w:cs="Tahoma"/>
          <w:b/>
          <w:sz w:val="24"/>
          <w:szCs w:val="24"/>
        </w:rPr>
      </w:pPr>
      <w:bookmarkStart w:id="0" w:name="_GoBack"/>
      <w:bookmarkEnd w:id="0"/>
    </w:p>
    <w:p w:rsidR="007C208A" w:rsidRPr="006F4EB0" w:rsidRDefault="00FC510D" w:rsidP="00FC510D">
      <w:pPr>
        <w:spacing w:after="0" w:line="240" w:lineRule="auto"/>
        <w:rPr>
          <w:rFonts w:ascii="Tahoma" w:hAnsi="Tahoma" w:cs="Tahoma"/>
          <w:b/>
          <w:sz w:val="24"/>
          <w:szCs w:val="24"/>
        </w:rPr>
      </w:pPr>
      <w:proofErr w:type="gramStart"/>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w:t>
      </w:r>
      <w:proofErr w:type="gramEnd"/>
      <w:r w:rsidR="006F4EB0">
        <w:rPr>
          <w:rFonts w:ascii="Tahoma" w:hAnsi="Tahoma" w:cs="Tahoma"/>
          <w:b/>
          <w:sz w:val="24"/>
          <w:szCs w:val="24"/>
        </w:rPr>
        <w:t xml:space="preserve"> LC/H/</w:t>
      </w:r>
      <w:r w:rsidR="00F07B16">
        <w:rPr>
          <w:rFonts w:ascii="Tahoma" w:hAnsi="Tahoma" w:cs="Tahoma"/>
          <w:b/>
          <w:sz w:val="24"/>
          <w:szCs w:val="24"/>
        </w:rPr>
        <w:t>61</w:t>
      </w:r>
      <w:r w:rsidR="00794360">
        <w:rPr>
          <w:rFonts w:ascii="Tahoma" w:hAnsi="Tahoma" w:cs="Tahoma"/>
          <w:b/>
          <w:sz w:val="24"/>
          <w:szCs w:val="24"/>
        </w:rPr>
        <w:t>/2022</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794360">
        <w:rPr>
          <w:rFonts w:ascii="Tahoma" w:hAnsi="Tahoma" w:cs="Tahoma"/>
          <w:b/>
          <w:sz w:val="24"/>
          <w:szCs w:val="24"/>
        </w:rPr>
        <w:t>23 FEBRUARY</w:t>
      </w:r>
      <w:r w:rsidR="00EE4321">
        <w:rPr>
          <w:rFonts w:ascii="Tahoma" w:hAnsi="Tahoma" w:cs="Tahoma"/>
          <w:b/>
          <w:sz w:val="24"/>
          <w:szCs w:val="24"/>
        </w:rPr>
        <w:t>, 202</w:t>
      </w:r>
      <w:r w:rsidR="00794360">
        <w:rPr>
          <w:rFonts w:ascii="Tahoma" w:hAnsi="Tahoma" w:cs="Tahoma"/>
          <w:b/>
          <w:sz w:val="24"/>
          <w:szCs w:val="24"/>
        </w:rPr>
        <w:t>2</w:t>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00794360">
        <w:rPr>
          <w:rFonts w:ascii="Tahoma" w:hAnsi="Tahoma" w:cs="Tahoma"/>
          <w:b/>
          <w:sz w:val="24"/>
          <w:szCs w:val="24"/>
        </w:rPr>
        <w:t xml:space="preserve">          </w:t>
      </w:r>
      <w:r w:rsidRPr="006F4EB0">
        <w:rPr>
          <w:rFonts w:ascii="Tahoma" w:hAnsi="Tahoma" w:cs="Tahoma"/>
          <w:b/>
          <w:sz w:val="24"/>
          <w:szCs w:val="24"/>
        </w:rPr>
        <w:t>CASE NO.</w:t>
      </w:r>
      <w:r w:rsidR="00794360">
        <w:rPr>
          <w:rFonts w:ascii="Tahoma" w:hAnsi="Tahoma" w:cs="Tahoma"/>
          <w:b/>
          <w:sz w:val="24"/>
          <w:szCs w:val="24"/>
        </w:rPr>
        <w:t xml:space="preserve"> LC/H/191/21</w:t>
      </w:r>
    </w:p>
    <w:p w:rsidR="00F07B16" w:rsidRDefault="00F07B16" w:rsidP="00FC510D">
      <w:pPr>
        <w:spacing w:after="0" w:line="240" w:lineRule="auto"/>
        <w:rPr>
          <w:rFonts w:ascii="Tahoma" w:hAnsi="Tahoma" w:cs="Tahoma"/>
          <w:b/>
          <w:sz w:val="24"/>
          <w:szCs w:val="24"/>
        </w:rPr>
      </w:pPr>
    </w:p>
    <w:p w:rsidR="00FC510D" w:rsidRPr="006F4EB0" w:rsidRDefault="00F07B16" w:rsidP="00FC510D">
      <w:pPr>
        <w:spacing w:after="0" w:line="240" w:lineRule="auto"/>
        <w:rPr>
          <w:rFonts w:ascii="Tahoma" w:hAnsi="Tahoma" w:cs="Tahoma"/>
          <w:b/>
          <w:sz w:val="24"/>
          <w:szCs w:val="24"/>
        </w:rPr>
      </w:pPr>
      <w:r>
        <w:rPr>
          <w:rFonts w:ascii="Tahoma" w:hAnsi="Tahoma" w:cs="Tahoma"/>
          <w:b/>
          <w:sz w:val="24"/>
          <w:szCs w:val="24"/>
        </w:rPr>
        <w:t>AND 11 MARCH</w:t>
      </w:r>
      <w:r w:rsidR="004F56A1">
        <w:rPr>
          <w:rFonts w:ascii="Tahoma" w:hAnsi="Tahoma" w:cs="Tahoma"/>
          <w:b/>
          <w:sz w:val="24"/>
          <w:szCs w:val="24"/>
        </w:rPr>
        <w:t xml:space="preserve">, </w:t>
      </w:r>
      <w:r w:rsidR="00794360">
        <w:rPr>
          <w:rFonts w:ascii="Tahoma" w:hAnsi="Tahoma" w:cs="Tahoma"/>
          <w:b/>
          <w:sz w:val="24"/>
          <w:szCs w:val="24"/>
        </w:rPr>
        <w:t>2022</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794360" w:rsidP="00FC510D">
      <w:pPr>
        <w:spacing w:after="0" w:line="240" w:lineRule="auto"/>
        <w:rPr>
          <w:rFonts w:ascii="Tahoma" w:hAnsi="Tahoma" w:cs="Tahoma"/>
          <w:b/>
          <w:sz w:val="24"/>
          <w:szCs w:val="24"/>
        </w:rPr>
      </w:pPr>
      <w:r>
        <w:rPr>
          <w:rFonts w:ascii="Tahoma" w:hAnsi="Tahoma" w:cs="Tahoma"/>
          <w:b/>
          <w:sz w:val="24"/>
          <w:szCs w:val="24"/>
        </w:rPr>
        <w:t>JOHN MADZIYA</w:t>
      </w:r>
      <w:r w:rsidR="00B57B25">
        <w:rPr>
          <w:rFonts w:ascii="Tahoma" w:hAnsi="Tahoma" w:cs="Tahoma"/>
          <w:b/>
          <w:sz w:val="24"/>
          <w:szCs w:val="24"/>
        </w:rPr>
        <w:t xml:space="preserve"> (</w:t>
      </w:r>
      <w:r>
        <w:rPr>
          <w:rFonts w:ascii="Tahoma" w:hAnsi="Tahoma" w:cs="Tahoma"/>
          <w:b/>
          <w:sz w:val="24"/>
          <w:szCs w:val="24"/>
        </w:rPr>
        <w:t>LABOUR OFFICER) N.O</w:t>
      </w:r>
      <w:r w:rsidR="002550A4">
        <w:rPr>
          <w:rFonts w:ascii="Tahoma" w:hAnsi="Tahoma" w:cs="Tahoma"/>
          <w:b/>
          <w:sz w:val="24"/>
          <w:szCs w:val="24"/>
        </w:rPr>
        <w:tab/>
      </w:r>
      <w:r w:rsidR="00E843A3">
        <w:rPr>
          <w:rFonts w:ascii="Tahoma" w:hAnsi="Tahoma" w:cs="Tahoma"/>
          <w:b/>
          <w:sz w:val="24"/>
          <w:szCs w:val="24"/>
        </w:rPr>
        <w:tab/>
      </w:r>
      <w:r w:rsidR="009B0121">
        <w:rPr>
          <w:rFonts w:ascii="Tahoma" w:hAnsi="Tahoma" w:cs="Tahoma"/>
          <w:b/>
          <w:sz w:val="24"/>
          <w:szCs w:val="24"/>
        </w:rPr>
        <w:tab/>
      </w:r>
      <w:r>
        <w:rPr>
          <w:rFonts w:ascii="Tahoma" w:hAnsi="Tahoma" w:cs="Tahoma"/>
          <w:b/>
          <w:sz w:val="24"/>
          <w:szCs w:val="24"/>
        </w:rPr>
        <w:tab/>
      </w:r>
      <w:r w:rsidR="00B57B25">
        <w:rPr>
          <w:rFonts w:ascii="Tahoma" w:hAnsi="Tahoma" w:cs="Tahoma"/>
          <w:b/>
          <w:sz w:val="24"/>
          <w:szCs w:val="24"/>
        </w:rPr>
        <w:t>Applicant</w:t>
      </w:r>
    </w:p>
    <w:p w:rsidR="00FC510D" w:rsidRPr="00DF5536" w:rsidRDefault="00FC510D" w:rsidP="00FC510D">
      <w:pPr>
        <w:spacing w:after="0" w:line="240" w:lineRule="auto"/>
        <w:rPr>
          <w:rFonts w:ascii="Tahoma" w:hAnsi="Tahoma" w:cs="Tahoma"/>
          <w:sz w:val="24"/>
          <w:szCs w:val="24"/>
        </w:rPr>
      </w:pPr>
    </w:p>
    <w:p w:rsidR="004030B9" w:rsidRPr="004030B9" w:rsidRDefault="004030B9" w:rsidP="00FC510D">
      <w:pPr>
        <w:spacing w:after="0" w:line="240" w:lineRule="auto"/>
        <w:rPr>
          <w:rFonts w:ascii="Tahoma" w:hAnsi="Tahoma" w:cs="Tahoma"/>
          <w:sz w:val="24"/>
          <w:szCs w:val="24"/>
        </w:rPr>
      </w:pPr>
      <w:r w:rsidRPr="004030B9">
        <w:rPr>
          <w:rFonts w:ascii="Tahoma" w:hAnsi="Tahoma" w:cs="Tahoma"/>
          <w:sz w:val="24"/>
          <w:szCs w:val="24"/>
        </w:rPr>
        <w:t>Versus</w:t>
      </w:r>
    </w:p>
    <w:p w:rsidR="004030B9" w:rsidRDefault="004030B9" w:rsidP="00FC510D">
      <w:pPr>
        <w:spacing w:after="0" w:line="240" w:lineRule="auto"/>
        <w:rPr>
          <w:rFonts w:ascii="Tahoma" w:hAnsi="Tahoma" w:cs="Tahoma"/>
          <w:b/>
          <w:sz w:val="24"/>
          <w:szCs w:val="24"/>
        </w:rPr>
      </w:pPr>
    </w:p>
    <w:p w:rsidR="004030B9" w:rsidRDefault="00794360" w:rsidP="00FC510D">
      <w:pPr>
        <w:spacing w:after="0" w:line="240" w:lineRule="auto"/>
        <w:rPr>
          <w:rFonts w:ascii="Tahoma" w:hAnsi="Tahoma" w:cs="Tahoma"/>
          <w:b/>
          <w:sz w:val="24"/>
          <w:szCs w:val="24"/>
        </w:rPr>
      </w:pPr>
      <w:r>
        <w:rPr>
          <w:rFonts w:ascii="Tahoma" w:hAnsi="Tahoma" w:cs="Tahoma"/>
          <w:b/>
          <w:sz w:val="24"/>
          <w:szCs w:val="24"/>
        </w:rPr>
        <w:t>LION MICROFINANCE LIMITED</w:t>
      </w:r>
      <w:r w:rsidR="002550A4">
        <w:rPr>
          <w:rFonts w:ascii="Tahoma" w:hAnsi="Tahoma" w:cs="Tahoma"/>
          <w:b/>
          <w:sz w:val="24"/>
          <w:szCs w:val="24"/>
        </w:rPr>
        <w:tab/>
      </w:r>
      <w:r w:rsidR="002550A4">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B57B25">
        <w:rPr>
          <w:rFonts w:ascii="Tahoma" w:hAnsi="Tahoma" w:cs="Tahoma"/>
          <w:b/>
          <w:sz w:val="24"/>
          <w:szCs w:val="24"/>
        </w:rPr>
        <w:t>1</w:t>
      </w:r>
      <w:r w:rsidR="00B57B25" w:rsidRPr="00B57B25">
        <w:rPr>
          <w:rFonts w:ascii="Tahoma" w:hAnsi="Tahoma" w:cs="Tahoma"/>
          <w:b/>
          <w:sz w:val="24"/>
          <w:szCs w:val="24"/>
          <w:vertAlign w:val="superscript"/>
        </w:rPr>
        <w:t>st</w:t>
      </w:r>
      <w:r w:rsidR="00B57B25">
        <w:rPr>
          <w:rFonts w:ascii="Tahoma" w:hAnsi="Tahoma" w:cs="Tahoma"/>
          <w:b/>
          <w:sz w:val="24"/>
          <w:szCs w:val="24"/>
        </w:rPr>
        <w:t xml:space="preserve"> </w:t>
      </w:r>
      <w:r w:rsidR="004030B9">
        <w:rPr>
          <w:rFonts w:ascii="Tahoma" w:hAnsi="Tahoma" w:cs="Tahoma"/>
          <w:b/>
          <w:sz w:val="24"/>
          <w:szCs w:val="24"/>
        </w:rPr>
        <w:t>Respondent</w:t>
      </w:r>
    </w:p>
    <w:p w:rsidR="00B57B25" w:rsidRDefault="00B57B25" w:rsidP="00FC510D">
      <w:pPr>
        <w:spacing w:after="0" w:line="240" w:lineRule="auto"/>
        <w:rPr>
          <w:rFonts w:ascii="Tahoma" w:hAnsi="Tahoma" w:cs="Tahoma"/>
          <w:b/>
          <w:sz w:val="24"/>
          <w:szCs w:val="24"/>
        </w:rPr>
      </w:pPr>
    </w:p>
    <w:p w:rsidR="00B57B25" w:rsidRDefault="00794360" w:rsidP="00FC510D">
      <w:pPr>
        <w:spacing w:after="0" w:line="240" w:lineRule="auto"/>
        <w:rPr>
          <w:rFonts w:ascii="Tahoma" w:hAnsi="Tahoma" w:cs="Tahoma"/>
          <w:b/>
          <w:sz w:val="24"/>
          <w:szCs w:val="24"/>
        </w:rPr>
      </w:pPr>
      <w:r>
        <w:rPr>
          <w:rFonts w:ascii="Tahoma" w:hAnsi="Tahoma" w:cs="Tahoma"/>
          <w:b/>
          <w:sz w:val="24"/>
          <w:szCs w:val="24"/>
        </w:rPr>
        <w:t>MUNEINAZVO CHITAKUNYE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B57B25">
        <w:rPr>
          <w:rFonts w:ascii="Tahoma" w:hAnsi="Tahoma" w:cs="Tahoma"/>
          <w:b/>
          <w:sz w:val="24"/>
          <w:szCs w:val="24"/>
        </w:rPr>
        <w:t>2</w:t>
      </w:r>
      <w:r w:rsidR="00B57B25" w:rsidRPr="00B57B25">
        <w:rPr>
          <w:rFonts w:ascii="Tahoma" w:hAnsi="Tahoma" w:cs="Tahoma"/>
          <w:b/>
          <w:sz w:val="24"/>
          <w:szCs w:val="24"/>
          <w:vertAlign w:val="superscript"/>
        </w:rPr>
        <w:t>nd</w:t>
      </w:r>
      <w:r w:rsidR="00B57B25">
        <w:rPr>
          <w:rFonts w:ascii="Tahoma" w:hAnsi="Tahoma" w:cs="Tahoma"/>
          <w:b/>
          <w:sz w:val="24"/>
          <w:szCs w:val="24"/>
        </w:rPr>
        <w:t xml:space="preserve"> Respondent</w:t>
      </w:r>
    </w:p>
    <w:p w:rsidR="00794360" w:rsidRDefault="00794360" w:rsidP="00FC510D">
      <w:pPr>
        <w:spacing w:after="0" w:line="240" w:lineRule="auto"/>
        <w:rPr>
          <w:rFonts w:ascii="Tahoma" w:hAnsi="Tahoma" w:cs="Tahoma"/>
          <w:b/>
          <w:sz w:val="24"/>
          <w:szCs w:val="24"/>
        </w:rPr>
      </w:pPr>
    </w:p>
    <w:p w:rsidR="00DC2CEA" w:rsidRDefault="00DC2CEA" w:rsidP="00FC510D">
      <w:pPr>
        <w:spacing w:after="0" w:line="240" w:lineRule="auto"/>
        <w:rPr>
          <w:rFonts w:ascii="Tahoma" w:hAnsi="Tahoma" w:cs="Tahoma"/>
          <w:b/>
          <w:sz w:val="24"/>
          <w:szCs w:val="24"/>
        </w:rPr>
      </w:pPr>
    </w:p>
    <w:p w:rsidR="00FC510D" w:rsidRDefault="00DD6656" w:rsidP="00FC510D">
      <w:pPr>
        <w:spacing w:after="0" w:line="240" w:lineRule="auto"/>
        <w:rPr>
          <w:rFonts w:ascii="Tahoma" w:hAnsi="Tahoma" w:cs="Tahoma"/>
          <w:b/>
          <w:sz w:val="24"/>
          <w:szCs w:val="24"/>
        </w:rPr>
      </w:pPr>
      <w:r w:rsidRPr="006C5BFE">
        <w:rPr>
          <w:rFonts w:ascii="Tahoma" w:hAnsi="Tahoma" w:cs="Tahoma"/>
          <w:b/>
          <w:sz w:val="24"/>
          <w:szCs w:val="24"/>
        </w:rPr>
        <w:t xml:space="preserve">Before The </w:t>
      </w:r>
      <w:proofErr w:type="spellStart"/>
      <w:r w:rsidR="00B90604" w:rsidRPr="006C5BFE">
        <w:rPr>
          <w:rFonts w:ascii="Tahoma" w:hAnsi="Tahoma" w:cs="Tahoma"/>
          <w:b/>
          <w:sz w:val="24"/>
          <w:szCs w:val="24"/>
        </w:rPr>
        <w:t>Honourable</w:t>
      </w:r>
      <w:proofErr w:type="spellEnd"/>
      <w:r w:rsidR="00B90604" w:rsidRPr="006C5BFE">
        <w:rPr>
          <w:rFonts w:ascii="Tahoma" w:hAnsi="Tahoma" w:cs="Tahoma"/>
          <w:b/>
          <w:sz w:val="24"/>
          <w:szCs w:val="24"/>
        </w:rPr>
        <w:t xml:space="preserve"> </w:t>
      </w:r>
      <w:proofErr w:type="spellStart"/>
      <w:r w:rsidR="00B90604" w:rsidRPr="006C5BFE">
        <w:rPr>
          <w:rFonts w:ascii="Tahoma" w:hAnsi="Tahoma" w:cs="Tahoma"/>
          <w:b/>
          <w:sz w:val="24"/>
          <w:szCs w:val="24"/>
        </w:rPr>
        <w:t>Kachambwa</w:t>
      </w:r>
      <w:proofErr w:type="spellEnd"/>
      <w:r w:rsidRPr="006C5BFE">
        <w:rPr>
          <w:rFonts w:ascii="Tahoma" w:hAnsi="Tahoma" w:cs="Tahoma"/>
          <w:b/>
          <w:sz w:val="24"/>
          <w:szCs w:val="24"/>
        </w:rPr>
        <w:t xml:space="preserve"> J;</w:t>
      </w:r>
    </w:p>
    <w:p w:rsidR="002550A4" w:rsidRPr="006C5BFE" w:rsidRDefault="002550A4" w:rsidP="00FC510D">
      <w:pPr>
        <w:spacing w:after="0" w:line="240" w:lineRule="auto"/>
        <w:rPr>
          <w:rFonts w:ascii="Tahoma" w:hAnsi="Tahoma" w:cs="Tahoma"/>
          <w:b/>
          <w:sz w:val="24"/>
          <w:szCs w:val="24"/>
        </w:rPr>
      </w:pPr>
    </w:p>
    <w:p w:rsidR="00FC510D" w:rsidRPr="006F4EB0" w:rsidRDefault="00CD27A0" w:rsidP="00FC510D">
      <w:pPr>
        <w:spacing w:after="0" w:line="240" w:lineRule="auto"/>
        <w:rPr>
          <w:rFonts w:ascii="Tahoma" w:hAnsi="Tahoma" w:cs="Tahoma"/>
          <w:b/>
          <w:sz w:val="24"/>
          <w:szCs w:val="24"/>
        </w:rPr>
      </w:pPr>
      <w:r>
        <w:rPr>
          <w:rFonts w:ascii="Tahoma" w:hAnsi="Tahoma" w:cs="Tahoma"/>
          <w:sz w:val="24"/>
          <w:szCs w:val="24"/>
        </w:rPr>
        <w:tab/>
        <w:t xml:space="preserve"> </w:t>
      </w:r>
    </w:p>
    <w:p w:rsidR="00FC510D" w:rsidRPr="00FC4142" w:rsidRDefault="00B57B25" w:rsidP="00DD6656">
      <w:pPr>
        <w:spacing w:after="0" w:line="240" w:lineRule="auto"/>
        <w:rPr>
          <w:rFonts w:ascii="Tahoma" w:hAnsi="Tahoma" w:cs="Tahoma"/>
          <w:sz w:val="24"/>
          <w:szCs w:val="24"/>
        </w:rPr>
      </w:pPr>
      <w:r>
        <w:rPr>
          <w:rFonts w:ascii="Tahoma" w:hAnsi="Tahoma" w:cs="Tahoma"/>
          <w:sz w:val="24"/>
          <w:szCs w:val="24"/>
        </w:rPr>
        <w:t>For Applicant</w:t>
      </w:r>
      <w:r w:rsidR="009B0121" w:rsidRPr="00FC4142">
        <w:rPr>
          <w:rFonts w:ascii="Tahoma" w:hAnsi="Tahoma" w:cs="Tahoma"/>
          <w:sz w:val="24"/>
          <w:szCs w:val="24"/>
        </w:rPr>
        <w:t>:</w:t>
      </w:r>
      <w:r w:rsidR="00FC510D" w:rsidRPr="00FC4142">
        <w:rPr>
          <w:rFonts w:ascii="Tahoma" w:hAnsi="Tahoma" w:cs="Tahoma"/>
          <w:sz w:val="24"/>
          <w:szCs w:val="24"/>
        </w:rPr>
        <w:tab/>
      </w:r>
      <w:r w:rsidR="00FC510D" w:rsidRPr="00FC4142">
        <w:rPr>
          <w:rFonts w:ascii="Tahoma" w:hAnsi="Tahoma" w:cs="Tahoma"/>
          <w:sz w:val="24"/>
          <w:szCs w:val="24"/>
        </w:rPr>
        <w:tab/>
      </w:r>
      <w:r w:rsidR="00FC510D" w:rsidRPr="00FC4142">
        <w:rPr>
          <w:rFonts w:ascii="Tahoma" w:hAnsi="Tahoma" w:cs="Tahoma"/>
          <w:sz w:val="24"/>
          <w:szCs w:val="24"/>
        </w:rPr>
        <w:tab/>
      </w:r>
      <w:r w:rsidR="00794360">
        <w:rPr>
          <w:rFonts w:ascii="Tahoma" w:hAnsi="Tahoma" w:cs="Tahoma"/>
          <w:sz w:val="24"/>
          <w:szCs w:val="24"/>
        </w:rPr>
        <w:tab/>
      </w:r>
      <w:r w:rsidR="00794360">
        <w:rPr>
          <w:rFonts w:ascii="Tahoma" w:hAnsi="Tahoma" w:cs="Tahoma"/>
          <w:sz w:val="24"/>
          <w:szCs w:val="24"/>
        </w:rPr>
        <w:tab/>
        <w:t>In Person</w:t>
      </w:r>
    </w:p>
    <w:p w:rsidR="00FC510D" w:rsidRPr="00FC4142" w:rsidRDefault="00FC510D" w:rsidP="00FC510D">
      <w:pPr>
        <w:spacing w:after="0" w:line="240" w:lineRule="auto"/>
        <w:ind w:left="2880" w:firstLine="720"/>
        <w:rPr>
          <w:rFonts w:ascii="Tahoma" w:hAnsi="Tahoma" w:cs="Tahoma"/>
          <w:sz w:val="24"/>
          <w:szCs w:val="24"/>
        </w:rPr>
      </w:pPr>
    </w:p>
    <w:p w:rsidR="009B0121" w:rsidRDefault="00FC510D" w:rsidP="00DD6656">
      <w:pPr>
        <w:spacing w:after="0" w:line="240" w:lineRule="auto"/>
        <w:rPr>
          <w:rFonts w:ascii="Tahoma" w:hAnsi="Tahoma" w:cs="Tahoma"/>
          <w:sz w:val="24"/>
          <w:szCs w:val="24"/>
        </w:rPr>
      </w:pPr>
      <w:r w:rsidRPr="00FC4142">
        <w:rPr>
          <w:rFonts w:ascii="Tahoma" w:hAnsi="Tahoma" w:cs="Tahoma"/>
          <w:sz w:val="24"/>
          <w:szCs w:val="24"/>
        </w:rPr>
        <w:t xml:space="preserve">For </w:t>
      </w:r>
      <w:r w:rsidR="00B57B25">
        <w:rPr>
          <w:rFonts w:ascii="Tahoma" w:hAnsi="Tahoma" w:cs="Tahoma"/>
          <w:sz w:val="24"/>
          <w:szCs w:val="24"/>
        </w:rPr>
        <w:t>1</w:t>
      </w:r>
      <w:r w:rsidR="00B57B25" w:rsidRPr="00B57B25">
        <w:rPr>
          <w:rFonts w:ascii="Tahoma" w:hAnsi="Tahoma" w:cs="Tahoma"/>
          <w:sz w:val="24"/>
          <w:szCs w:val="24"/>
          <w:vertAlign w:val="superscript"/>
        </w:rPr>
        <w:t>st</w:t>
      </w:r>
      <w:r w:rsidR="00B57B25">
        <w:rPr>
          <w:rFonts w:ascii="Tahoma" w:hAnsi="Tahoma" w:cs="Tahoma"/>
          <w:sz w:val="24"/>
          <w:szCs w:val="24"/>
        </w:rPr>
        <w:t xml:space="preserve"> </w:t>
      </w:r>
      <w:r w:rsidRPr="00FC4142">
        <w:rPr>
          <w:rFonts w:ascii="Tahoma" w:hAnsi="Tahoma" w:cs="Tahoma"/>
          <w:sz w:val="24"/>
          <w:szCs w:val="24"/>
        </w:rPr>
        <w:t>Respondent</w:t>
      </w:r>
      <w:r w:rsidR="009B0121" w:rsidRPr="00FC4142">
        <w:rPr>
          <w:rFonts w:ascii="Tahoma" w:hAnsi="Tahoma" w:cs="Tahoma"/>
          <w:sz w:val="24"/>
          <w:szCs w:val="24"/>
        </w:rPr>
        <w:t>:</w:t>
      </w:r>
      <w:r w:rsidR="00032398" w:rsidRPr="00FC4142">
        <w:rPr>
          <w:rFonts w:ascii="Tahoma" w:hAnsi="Tahoma" w:cs="Tahoma"/>
          <w:sz w:val="24"/>
          <w:szCs w:val="24"/>
        </w:rPr>
        <w:tab/>
      </w:r>
      <w:r w:rsidR="00032398" w:rsidRPr="00FC4142">
        <w:rPr>
          <w:rFonts w:ascii="Tahoma" w:hAnsi="Tahoma" w:cs="Tahoma"/>
          <w:sz w:val="24"/>
          <w:szCs w:val="24"/>
        </w:rPr>
        <w:tab/>
      </w:r>
      <w:r w:rsidR="00032398" w:rsidRPr="00FC4142">
        <w:rPr>
          <w:rFonts w:ascii="Tahoma" w:hAnsi="Tahoma" w:cs="Tahoma"/>
          <w:sz w:val="24"/>
          <w:szCs w:val="24"/>
        </w:rPr>
        <w:tab/>
      </w:r>
      <w:r w:rsidR="002550A4">
        <w:rPr>
          <w:rFonts w:ascii="Tahoma" w:hAnsi="Tahoma" w:cs="Tahoma"/>
          <w:sz w:val="24"/>
          <w:szCs w:val="24"/>
        </w:rPr>
        <w:tab/>
      </w:r>
      <w:r w:rsidR="00794360">
        <w:rPr>
          <w:rFonts w:ascii="Tahoma" w:hAnsi="Tahoma" w:cs="Tahoma"/>
          <w:sz w:val="24"/>
          <w:szCs w:val="24"/>
        </w:rPr>
        <w:tab/>
      </w:r>
      <w:proofErr w:type="spellStart"/>
      <w:r w:rsidR="00794360">
        <w:rPr>
          <w:rFonts w:ascii="Tahoma" w:hAnsi="Tahoma" w:cs="Tahoma"/>
          <w:sz w:val="24"/>
          <w:szCs w:val="24"/>
        </w:rPr>
        <w:t>Ms</w:t>
      </w:r>
      <w:proofErr w:type="spellEnd"/>
      <w:r w:rsidR="00794360">
        <w:rPr>
          <w:rFonts w:ascii="Tahoma" w:hAnsi="Tahoma" w:cs="Tahoma"/>
          <w:sz w:val="24"/>
          <w:szCs w:val="24"/>
        </w:rPr>
        <w:t xml:space="preserve"> R. T. </w:t>
      </w:r>
      <w:proofErr w:type="spellStart"/>
      <w:r w:rsidR="00794360">
        <w:rPr>
          <w:rFonts w:ascii="Tahoma" w:hAnsi="Tahoma" w:cs="Tahoma"/>
          <w:sz w:val="24"/>
          <w:szCs w:val="24"/>
        </w:rPr>
        <w:t>Phiri</w:t>
      </w:r>
      <w:proofErr w:type="spellEnd"/>
      <w:r w:rsidR="00794360">
        <w:rPr>
          <w:rFonts w:ascii="Tahoma" w:hAnsi="Tahoma" w:cs="Tahoma"/>
          <w:sz w:val="24"/>
          <w:szCs w:val="24"/>
        </w:rPr>
        <w:t xml:space="preserve"> (Legal Practitioners)</w:t>
      </w:r>
    </w:p>
    <w:p w:rsidR="00B57B25" w:rsidRDefault="00B57B25" w:rsidP="00DD6656">
      <w:pPr>
        <w:spacing w:after="0" w:line="240" w:lineRule="auto"/>
        <w:rPr>
          <w:rFonts w:ascii="Tahoma" w:hAnsi="Tahoma" w:cs="Tahoma"/>
          <w:sz w:val="24"/>
          <w:szCs w:val="24"/>
        </w:rPr>
      </w:pPr>
    </w:p>
    <w:p w:rsidR="00B57B25" w:rsidRDefault="00B57B25" w:rsidP="00DD6656">
      <w:pPr>
        <w:spacing w:after="0" w:line="240" w:lineRule="auto"/>
        <w:rPr>
          <w:rFonts w:ascii="Tahoma" w:hAnsi="Tahoma" w:cs="Tahoma"/>
          <w:sz w:val="24"/>
          <w:szCs w:val="24"/>
        </w:rPr>
      </w:pPr>
      <w:r>
        <w:rPr>
          <w:rFonts w:ascii="Tahoma" w:hAnsi="Tahoma" w:cs="Tahoma"/>
          <w:sz w:val="24"/>
          <w:szCs w:val="24"/>
        </w:rPr>
        <w:t>For 2</w:t>
      </w:r>
      <w:r w:rsidRPr="00B57B25">
        <w:rPr>
          <w:rFonts w:ascii="Tahoma" w:hAnsi="Tahoma" w:cs="Tahoma"/>
          <w:sz w:val="24"/>
          <w:szCs w:val="24"/>
          <w:vertAlign w:val="superscript"/>
        </w:rPr>
        <w:t>nd</w:t>
      </w:r>
      <w:r w:rsidR="00794360">
        <w:rPr>
          <w:rFonts w:ascii="Tahoma" w:hAnsi="Tahoma" w:cs="Tahoma"/>
          <w:sz w:val="24"/>
          <w:szCs w:val="24"/>
        </w:rPr>
        <w:t xml:space="preserve"> Respondent:</w:t>
      </w:r>
      <w:r w:rsidR="00794360">
        <w:rPr>
          <w:rFonts w:ascii="Tahoma" w:hAnsi="Tahoma" w:cs="Tahoma"/>
          <w:sz w:val="24"/>
          <w:szCs w:val="24"/>
        </w:rPr>
        <w:tab/>
      </w:r>
      <w:r w:rsidR="00794360">
        <w:rPr>
          <w:rFonts w:ascii="Tahoma" w:hAnsi="Tahoma" w:cs="Tahoma"/>
          <w:sz w:val="24"/>
          <w:szCs w:val="24"/>
        </w:rPr>
        <w:tab/>
      </w:r>
      <w:r w:rsidR="00794360">
        <w:rPr>
          <w:rFonts w:ascii="Tahoma" w:hAnsi="Tahoma" w:cs="Tahoma"/>
          <w:sz w:val="24"/>
          <w:szCs w:val="24"/>
        </w:rPr>
        <w:tab/>
      </w:r>
      <w:r w:rsidR="00794360">
        <w:rPr>
          <w:rFonts w:ascii="Tahoma" w:hAnsi="Tahoma" w:cs="Tahoma"/>
          <w:sz w:val="24"/>
          <w:szCs w:val="24"/>
        </w:rPr>
        <w:tab/>
      </w:r>
      <w:r w:rsidR="00794360">
        <w:rPr>
          <w:rFonts w:ascii="Tahoma" w:hAnsi="Tahoma" w:cs="Tahoma"/>
          <w:sz w:val="24"/>
          <w:szCs w:val="24"/>
        </w:rPr>
        <w:tab/>
        <w:t>In Person</w:t>
      </w:r>
    </w:p>
    <w:p w:rsidR="00DC2CEA" w:rsidRDefault="00DC2CEA" w:rsidP="00DD6656">
      <w:pPr>
        <w:spacing w:after="0" w:line="240" w:lineRule="auto"/>
        <w:rPr>
          <w:rFonts w:ascii="Tahoma" w:hAnsi="Tahoma" w:cs="Tahoma"/>
          <w:sz w:val="24"/>
          <w:szCs w:val="24"/>
        </w:rPr>
      </w:pPr>
    </w:p>
    <w:p w:rsidR="002550A4" w:rsidRDefault="002550A4" w:rsidP="00FC510D">
      <w:pPr>
        <w:spacing w:after="0" w:line="240" w:lineRule="auto"/>
        <w:rPr>
          <w:rFonts w:ascii="Tahoma" w:hAnsi="Tahoma" w:cs="Tahoma"/>
          <w:b/>
          <w:sz w:val="24"/>
          <w:szCs w:val="24"/>
        </w:rPr>
      </w:pPr>
    </w:p>
    <w:p w:rsidR="00FC510D" w:rsidRDefault="006F4EB0"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8545BC" w:rsidRDefault="008545BC" w:rsidP="00FC510D">
      <w:pPr>
        <w:spacing w:after="0" w:line="240" w:lineRule="auto"/>
        <w:rPr>
          <w:rFonts w:ascii="Tahoma" w:hAnsi="Tahoma" w:cs="Tahoma"/>
          <w:b/>
          <w:sz w:val="24"/>
          <w:szCs w:val="24"/>
        </w:rPr>
      </w:pPr>
    </w:p>
    <w:p w:rsidR="008545BC" w:rsidRDefault="008545BC" w:rsidP="00FC510D">
      <w:pPr>
        <w:spacing w:after="0" w:line="240" w:lineRule="auto"/>
        <w:rPr>
          <w:rFonts w:ascii="Tahoma" w:hAnsi="Tahoma" w:cs="Tahoma"/>
          <w:b/>
          <w:sz w:val="24"/>
          <w:szCs w:val="24"/>
        </w:rPr>
      </w:pPr>
    </w:p>
    <w:p w:rsidR="008545BC" w:rsidRPr="008545BC" w:rsidRDefault="008545BC" w:rsidP="00FC510D">
      <w:pPr>
        <w:spacing w:after="0" w:line="240" w:lineRule="auto"/>
        <w:rPr>
          <w:rFonts w:ascii="Tahoma" w:hAnsi="Tahoma" w:cs="Tahoma"/>
          <w:sz w:val="24"/>
          <w:szCs w:val="24"/>
          <w:u w:val="single"/>
        </w:rPr>
      </w:pPr>
      <w:r w:rsidRPr="008545BC">
        <w:rPr>
          <w:rFonts w:ascii="Tahoma" w:hAnsi="Tahoma" w:cs="Tahoma"/>
          <w:sz w:val="24"/>
          <w:szCs w:val="24"/>
          <w:u w:val="single"/>
        </w:rPr>
        <w:t>The Application</w:t>
      </w:r>
    </w:p>
    <w:p w:rsidR="00661FBA" w:rsidRPr="008545BC" w:rsidRDefault="00661FBA" w:rsidP="00FC510D">
      <w:pPr>
        <w:spacing w:after="0" w:line="240" w:lineRule="auto"/>
        <w:rPr>
          <w:rFonts w:ascii="Tahoma" w:hAnsi="Tahoma" w:cs="Tahoma"/>
          <w:sz w:val="24"/>
          <w:szCs w:val="24"/>
          <w:u w:val="single"/>
        </w:rPr>
      </w:pPr>
    </w:p>
    <w:p w:rsidR="00661FBA" w:rsidRDefault="00661FBA" w:rsidP="00FC510D">
      <w:pPr>
        <w:spacing w:after="0" w:line="240" w:lineRule="auto"/>
        <w:rPr>
          <w:rFonts w:ascii="Tahoma" w:hAnsi="Tahoma" w:cs="Tahoma"/>
          <w:b/>
          <w:sz w:val="24"/>
          <w:szCs w:val="24"/>
        </w:rPr>
      </w:pPr>
    </w:p>
    <w:p w:rsidR="00661FBA" w:rsidRDefault="008545BC" w:rsidP="00017543">
      <w:pPr>
        <w:spacing w:after="0" w:line="360" w:lineRule="auto"/>
        <w:jc w:val="both"/>
        <w:rPr>
          <w:rFonts w:ascii="Tahoma" w:hAnsi="Tahoma" w:cs="Tahoma"/>
          <w:sz w:val="24"/>
          <w:szCs w:val="24"/>
        </w:rPr>
      </w:pPr>
      <w:r>
        <w:rPr>
          <w:rFonts w:ascii="Tahoma" w:hAnsi="Tahoma" w:cs="Tahoma"/>
          <w:b/>
          <w:sz w:val="24"/>
          <w:szCs w:val="24"/>
        </w:rPr>
        <w:tab/>
      </w:r>
      <w:r w:rsidRPr="008545BC">
        <w:rPr>
          <w:rFonts w:ascii="Tahoma" w:hAnsi="Tahoma" w:cs="Tahoma"/>
          <w:sz w:val="24"/>
          <w:szCs w:val="24"/>
        </w:rPr>
        <w:t>1.</w:t>
      </w:r>
      <w:r>
        <w:rPr>
          <w:rFonts w:ascii="Tahoma" w:hAnsi="Tahoma" w:cs="Tahoma"/>
          <w:b/>
          <w:sz w:val="24"/>
          <w:szCs w:val="24"/>
        </w:rPr>
        <w:t xml:space="preserve"> </w:t>
      </w:r>
      <w:r w:rsidR="00661FBA" w:rsidRPr="00661FBA">
        <w:rPr>
          <w:rFonts w:ascii="Tahoma" w:hAnsi="Tahoma" w:cs="Tahoma"/>
          <w:sz w:val="24"/>
          <w:szCs w:val="24"/>
        </w:rPr>
        <w:t>This is an application</w:t>
      </w:r>
      <w:r w:rsidR="00661FBA">
        <w:rPr>
          <w:rFonts w:ascii="Tahoma" w:hAnsi="Tahoma" w:cs="Tahoma"/>
          <w:sz w:val="24"/>
          <w:szCs w:val="24"/>
        </w:rPr>
        <w:t xml:space="preserve"> by a Labour officer. It is for the confirmation of the officer’s draft ruling. It is in terms of section 93 (5a)</w:t>
      </w:r>
      <w:r w:rsidR="00017543">
        <w:rPr>
          <w:rFonts w:ascii="Tahoma" w:hAnsi="Tahoma" w:cs="Tahoma"/>
          <w:sz w:val="24"/>
          <w:szCs w:val="24"/>
        </w:rPr>
        <w:t xml:space="preserve"> (a) and (b) of the Labour Act, </w:t>
      </w:r>
      <w:r w:rsidR="00017543" w:rsidRPr="00944738">
        <w:rPr>
          <w:rFonts w:ascii="Tahoma" w:hAnsi="Tahoma" w:cs="Tahoma"/>
          <w:i/>
          <w:sz w:val="24"/>
          <w:szCs w:val="24"/>
        </w:rPr>
        <w:t>Chapter 28:01</w:t>
      </w:r>
      <w:r w:rsidR="00017543">
        <w:rPr>
          <w:rFonts w:ascii="Tahoma" w:hAnsi="Tahoma" w:cs="Tahoma"/>
          <w:sz w:val="24"/>
          <w:szCs w:val="24"/>
        </w:rPr>
        <w:t xml:space="preserve"> (hereafter the Act). The application is opposed by the first respondent and supported by the second respondent in </w:t>
      </w:r>
      <w:proofErr w:type="spellStart"/>
      <w:r w:rsidR="00017543">
        <w:rPr>
          <w:rFonts w:ascii="Tahoma" w:hAnsi="Tahoma" w:cs="Tahoma"/>
          <w:sz w:val="24"/>
          <w:szCs w:val="24"/>
        </w:rPr>
        <w:t>favour</w:t>
      </w:r>
      <w:proofErr w:type="spellEnd"/>
      <w:r w:rsidR="00017543">
        <w:rPr>
          <w:rFonts w:ascii="Tahoma" w:hAnsi="Tahoma" w:cs="Tahoma"/>
          <w:sz w:val="24"/>
          <w:szCs w:val="24"/>
        </w:rPr>
        <w:t xml:space="preserve"> of whom the draft ruling is.</w:t>
      </w:r>
    </w:p>
    <w:p w:rsidR="00017543" w:rsidRDefault="00017543" w:rsidP="00017543">
      <w:pPr>
        <w:spacing w:after="0" w:line="360" w:lineRule="auto"/>
        <w:jc w:val="both"/>
        <w:rPr>
          <w:rFonts w:ascii="Tahoma" w:hAnsi="Tahoma" w:cs="Tahoma"/>
          <w:sz w:val="24"/>
          <w:szCs w:val="24"/>
        </w:rPr>
      </w:pPr>
    </w:p>
    <w:p w:rsidR="008545BC" w:rsidRDefault="008545BC" w:rsidP="00017543">
      <w:pPr>
        <w:spacing w:after="0" w:line="360" w:lineRule="auto"/>
        <w:jc w:val="both"/>
        <w:rPr>
          <w:rFonts w:ascii="Tahoma" w:hAnsi="Tahoma" w:cs="Tahoma"/>
          <w:sz w:val="24"/>
          <w:szCs w:val="24"/>
        </w:rPr>
      </w:pPr>
    </w:p>
    <w:p w:rsidR="008545BC" w:rsidRDefault="008545BC" w:rsidP="00017543">
      <w:pPr>
        <w:spacing w:after="0" w:line="360" w:lineRule="auto"/>
        <w:jc w:val="both"/>
        <w:rPr>
          <w:rFonts w:ascii="Tahoma" w:hAnsi="Tahoma" w:cs="Tahoma"/>
          <w:sz w:val="24"/>
          <w:szCs w:val="24"/>
        </w:rPr>
      </w:pPr>
    </w:p>
    <w:p w:rsidR="00017543" w:rsidRPr="008545BC" w:rsidRDefault="00017543" w:rsidP="00017543">
      <w:pPr>
        <w:spacing w:after="0" w:line="360" w:lineRule="auto"/>
        <w:jc w:val="both"/>
        <w:rPr>
          <w:rFonts w:ascii="Tahoma" w:hAnsi="Tahoma" w:cs="Tahoma"/>
          <w:sz w:val="24"/>
          <w:szCs w:val="24"/>
          <w:u w:val="single"/>
        </w:rPr>
      </w:pPr>
      <w:r w:rsidRPr="008545BC">
        <w:rPr>
          <w:rFonts w:ascii="Tahoma" w:hAnsi="Tahoma" w:cs="Tahoma"/>
          <w:sz w:val="24"/>
          <w:szCs w:val="24"/>
          <w:u w:val="single"/>
        </w:rPr>
        <w:t>The claims by the parties</w:t>
      </w:r>
    </w:p>
    <w:p w:rsidR="00017543" w:rsidRDefault="00017543" w:rsidP="00017543">
      <w:pPr>
        <w:spacing w:after="0" w:line="360" w:lineRule="auto"/>
        <w:jc w:val="both"/>
        <w:rPr>
          <w:rFonts w:ascii="Tahoma" w:hAnsi="Tahoma" w:cs="Tahoma"/>
          <w:sz w:val="24"/>
          <w:szCs w:val="24"/>
        </w:rPr>
      </w:pPr>
    </w:p>
    <w:p w:rsidR="00017543" w:rsidRDefault="008545BC" w:rsidP="008545BC">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r>
      <w:r w:rsidR="00017543">
        <w:rPr>
          <w:rFonts w:ascii="Tahoma" w:hAnsi="Tahoma" w:cs="Tahoma"/>
          <w:sz w:val="24"/>
          <w:szCs w:val="24"/>
        </w:rPr>
        <w:t xml:space="preserve">The second respondent was employed by </w:t>
      </w:r>
      <w:r>
        <w:rPr>
          <w:rFonts w:ascii="Tahoma" w:hAnsi="Tahoma" w:cs="Tahoma"/>
          <w:sz w:val="24"/>
          <w:szCs w:val="24"/>
        </w:rPr>
        <w:t xml:space="preserve">the first respondent as a legal </w:t>
      </w:r>
      <w:r w:rsidR="00017543">
        <w:rPr>
          <w:rFonts w:ascii="Tahoma" w:hAnsi="Tahoma" w:cs="Tahoma"/>
          <w:sz w:val="24"/>
          <w:szCs w:val="24"/>
        </w:rPr>
        <w:t>and compliance</w:t>
      </w:r>
      <w:r>
        <w:rPr>
          <w:rFonts w:ascii="Tahoma" w:hAnsi="Tahoma" w:cs="Tahoma"/>
          <w:sz w:val="24"/>
          <w:szCs w:val="24"/>
        </w:rPr>
        <w:t xml:space="preserve"> executive or the company secretary from September 2016 to May 2020. In August 2019 the first respondent initiated an exercise to avoid retrenchment. An agreement was entered into with the employees. The written notice for the exercise is dated 12</w:t>
      </w:r>
      <w:r w:rsidRPr="008545BC">
        <w:rPr>
          <w:rFonts w:ascii="Tahoma" w:hAnsi="Tahoma" w:cs="Tahoma"/>
          <w:sz w:val="24"/>
          <w:szCs w:val="24"/>
          <w:vertAlign w:val="superscript"/>
        </w:rPr>
        <w:t>th</w:t>
      </w:r>
      <w:r>
        <w:rPr>
          <w:rFonts w:ascii="Tahoma" w:hAnsi="Tahoma" w:cs="Tahoma"/>
          <w:sz w:val="24"/>
          <w:szCs w:val="24"/>
        </w:rPr>
        <w:t xml:space="preserve"> November 2019. It talks of the reduction only of salary to 50% and no other.</w:t>
      </w:r>
    </w:p>
    <w:p w:rsidR="000A1625" w:rsidRDefault="000A1625" w:rsidP="008545BC">
      <w:pPr>
        <w:spacing w:after="0" w:line="360" w:lineRule="auto"/>
        <w:ind w:left="720" w:hanging="720"/>
        <w:jc w:val="both"/>
        <w:rPr>
          <w:rFonts w:ascii="Tahoma" w:hAnsi="Tahoma" w:cs="Tahoma"/>
          <w:sz w:val="24"/>
          <w:szCs w:val="24"/>
        </w:rPr>
      </w:pPr>
    </w:p>
    <w:p w:rsidR="008545BC" w:rsidRDefault="004E7122" w:rsidP="008545BC">
      <w:pPr>
        <w:spacing w:after="0" w:line="360" w:lineRule="auto"/>
        <w:ind w:left="72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The first</w:t>
      </w:r>
      <w:r w:rsidR="008545BC">
        <w:rPr>
          <w:rFonts w:ascii="Tahoma" w:hAnsi="Tahoma" w:cs="Tahoma"/>
          <w:sz w:val="24"/>
          <w:szCs w:val="24"/>
        </w:rPr>
        <w:t xml:space="preserve"> respondent complained of underpayment of fuel, school fees allowance and monthly motor vehicle allowance for servicing of his car. He resigned in July 2020 and the first respondent did not pay him the salar</w:t>
      </w:r>
      <w:r w:rsidR="00CD7DFE">
        <w:rPr>
          <w:rFonts w:ascii="Tahoma" w:hAnsi="Tahoma" w:cs="Tahoma"/>
          <w:sz w:val="24"/>
          <w:szCs w:val="24"/>
        </w:rPr>
        <w:t>y for May 2020 either. The second</w:t>
      </w:r>
      <w:r w:rsidR="008545BC">
        <w:rPr>
          <w:rFonts w:ascii="Tahoma" w:hAnsi="Tahoma" w:cs="Tahoma"/>
          <w:sz w:val="24"/>
          <w:szCs w:val="24"/>
        </w:rPr>
        <w:t xml:space="preserve"> respondent considered that all this was done to force him to resign and there</w:t>
      </w:r>
      <w:r>
        <w:rPr>
          <w:rFonts w:ascii="Tahoma" w:hAnsi="Tahoma" w:cs="Tahoma"/>
          <w:sz w:val="24"/>
          <w:szCs w:val="24"/>
        </w:rPr>
        <w:t>fore his resignation was constructive dismissal</w:t>
      </w:r>
      <w:r w:rsidR="008545BC">
        <w:rPr>
          <w:rFonts w:ascii="Tahoma" w:hAnsi="Tahoma" w:cs="Tahoma"/>
          <w:sz w:val="24"/>
          <w:szCs w:val="24"/>
        </w:rPr>
        <w:t>. He</w:t>
      </w:r>
      <w:r w:rsidR="00FA3992">
        <w:rPr>
          <w:rFonts w:ascii="Tahoma" w:hAnsi="Tahoma" w:cs="Tahoma"/>
          <w:sz w:val="24"/>
          <w:szCs w:val="24"/>
        </w:rPr>
        <w:t xml:space="preserve"> further alleged that these non-</w:t>
      </w:r>
      <w:r>
        <w:rPr>
          <w:rFonts w:ascii="Tahoma" w:hAnsi="Tahoma" w:cs="Tahoma"/>
          <w:sz w:val="24"/>
          <w:szCs w:val="24"/>
        </w:rPr>
        <w:t>payments were a unilateral</w:t>
      </w:r>
      <w:r w:rsidR="008545BC">
        <w:rPr>
          <w:rFonts w:ascii="Tahoma" w:hAnsi="Tahoma" w:cs="Tahoma"/>
          <w:sz w:val="24"/>
          <w:szCs w:val="24"/>
        </w:rPr>
        <w:t xml:space="preserve"> alteration of his contract.</w:t>
      </w:r>
    </w:p>
    <w:p w:rsidR="000A1625" w:rsidRDefault="000A1625" w:rsidP="008545BC">
      <w:pPr>
        <w:spacing w:after="0" w:line="360" w:lineRule="auto"/>
        <w:ind w:left="720" w:hanging="720"/>
        <w:jc w:val="both"/>
        <w:rPr>
          <w:rFonts w:ascii="Tahoma" w:hAnsi="Tahoma" w:cs="Tahoma"/>
          <w:sz w:val="24"/>
          <w:szCs w:val="24"/>
        </w:rPr>
      </w:pPr>
    </w:p>
    <w:p w:rsidR="000A1625" w:rsidRDefault="000A1625" w:rsidP="008545BC">
      <w:pPr>
        <w:spacing w:after="0" w:line="360" w:lineRule="auto"/>
        <w:ind w:left="72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t>First respondent denied the allegations, pointing out t</w:t>
      </w:r>
      <w:r w:rsidR="004E7122">
        <w:rPr>
          <w:rFonts w:ascii="Tahoma" w:hAnsi="Tahoma" w:cs="Tahoma"/>
          <w:sz w:val="24"/>
          <w:szCs w:val="24"/>
        </w:rPr>
        <w:t xml:space="preserve">hat </w:t>
      </w:r>
      <w:proofErr w:type="spellStart"/>
      <w:r w:rsidR="004E7122">
        <w:rPr>
          <w:rFonts w:ascii="Tahoma" w:hAnsi="Tahoma" w:cs="Tahoma"/>
          <w:sz w:val="24"/>
          <w:szCs w:val="24"/>
        </w:rPr>
        <w:t>infact</w:t>
      </w:r>
      <w:proofErr w:type="spellEnd"/>
      <w:r w:rsidR="004E7122">
        <w:rPr>
          <w:rFonts w:ascii="Tahoma" w:hAnsi="Tahoma" w:cs="Tahoma"/>
          <w:sz w:val="24"/>
          <w:szCs w:val="24"/>
        </w:rPr>
        <w:t xml:space="preserve"> he was merely following</w:t>
      </w:r>
      <w:r>
        <w:rPr>
          <w:rFonts w:ascii="Tahoma" w:hAnsi="Tahoma" w:cs="Tahoma"/>
          <w:sz w:val="24"/>
          <w:szCs w:val="24"/>
        </w:rPr>
        <w:t xml:space="preserve"> the measures</w:t>
      </w:r>
      <w:r w:rsidR="00FA3992">
        <w:rPr>
          <w:rFonts w:ascii="Tahoma" w:hAnsi="Tahoma" w:cs="Tahoma"/>
          <w:sz w:val="24"/>
          <w:szCs w:val="24"/>
        </w:rPr>
        <w:t xml:space="preserve"> on avoiding retrenchment as agreed by the parties. He further challenged th</w:t>
      </w:r>
      <w:r w:rsidR="004E7122">
        <w:rPr>
          <w:rFonts w:ascii="Tahoma" w:hAnsi="Tahoma" w:cs="Tahoma"/>
          <w:sz w:val="24"/>
          <w:szCs w:val="24"/>
        </w:rPr>
        <w:t>e second respondent to prove his</w:t>
      </w:r>
      <w:r w:rsidR="00FA3992">
        <w:rPr>
          <w:rFonts w:ascii="Tahoma" w:hAnsi="Tahoma" w:cs="Tahoma"/>
          <w:sz w:val="24"/>
          <w:szCs w:val="24"/>
        </w:rPr>
        <w:t xml:space="preserve"> claims by evidence. He also argued that the second respondent had not exhausted local forum before approaching the Labour officer. On the constructive dismissal he argued that there was no evidence to it and the second respondent had actually ended the contract by</w:t>
      </w:r>
      <w:r w:rsidR="004E7122">
        <w:rPr>
          <w:rFonts w:ascii="Tahoma" w:hAnsi="Tahoma" w:cs="Tahoma"/>
          <w:sz w:val="24"/>
          <w:szCs w:val="24"/>
        </w:rPr>
        <w:t xml:space="preserve"> his resignation</w:t>
      </w:r>
      <w:r w:rsidR="00FA3992">
        <w:rPr>
          <w:rFonts w:ascii="Tahoma" w:hAnsi="Tahoma" w:cs="Tahoma"/>
          <w:sz w:val="24"/>
          <w:szCs w:val="24"/>
        </w:rPr>
        <w:t>.</w:t>
      </w:r>
    </w:p>
    <w:p w:rsidR="00FA3992" w:rsidRDefault="00FA3992" w:rsidP="008545BC">
      <w:pPr>
        <w:spacing w:after="0" w:line="360" w:lineRule="auto"/>
        <w:ind w:left="720" w:hanging="720"/>
        <w:jc w:val="both"/>
        <w:rPr>
          <w:rFonts w:ascii="Tahoma" w:hAnsi="Tahoma" w:cs="Tahoma"/>
          <w:sz w:val="24"/>
          <w:szCs w:val="24"/>
        </w:rPr>
      </w:pPr>
    </w:p>
    <w:p w:rsidR="00FA3992" w:rsidRPr="00FA3992" w:rsidRDefault="00FA3992" w:rsidP="008545BC">
      <w:pPr>
        <w:spacing w:after="0" w:line="360" w:lineRule="auto"/>
        <w:ind w:left="720" w:hanging="720"/>
        <w:jc w:val="both"/>
        <w:rPr>
          <w:rFonts w:ascii="Tahoma" w:hAnsi="Tahoma" w:cs="Tahoma"/>
          <w:sz w:val="24"/>
          <w:szCs w:val="24"/>
          <w:u w:val="single"/>
        </w:rPr>
      </w:pPr>
      <w:r w:rsidRPr="00FA3992">
        <w:rPr>
          <w:rFonts w:ascii="Tahoma" w:hAnsi="Tahoma" w:cs="Tahoma"/>
          <w:sz w:val="24"/>
          <w:szCs w:val="24"/>
          <w:u w:val="single"/>
        </w:rPr>
        <w:t>The Ruling</w:t>
      </w:r>
    </w:p>
    <w:p w:rsidR="00FA3992" w:rsidRDefault="00FA3992" w:rsidP="008545BC">
      <w:pPr>
        <w:spacing w:after="0" w:line="360" w:lineRule="auto"/>
        <w:ind w:left="720" w:hanging="720"/>
        <w:jc w:val="both"/>
        <w:rPr>
          <w:rFonts w:ascii="Tahoma" w:hAnsi="Tahoma" w:cs="Tahoma"/>
          <w:sz w:val="24"/>
          <w:szCs w:val="24"/>
        </w:rPr>
      </w:pPr>
    </w:p>
    <w:p w:rsidR="00FA3992" w:rsidRDefault="00FA3992" w:rsidP="008545BC">
      <w:pPr>
        <w:spacing w:after="0" w:line="360" w:lineRule="auto"/>
        <w:ind w:left="720" w:hanging="720"/>
        <w:jc w:val="both"/>
        <w:rPr>
          <w:rFonts w:ascii="Tahoma" w:hAnsi="Tahoma" w:cs="Tahoma"/>
          <w:sz w:val="24"/>
          <w:szCs w:val="24"/>
        </w:rPr>
      </w:pPr>
      <w:r>
        <w:rPr>
          <w:rFonts w:ascii="Tahoma" w:hAnsi="Tahoma" w:cs="Tahoma"/>
          <w:sz w:val="24"/>
          <w:szCs w:val="24"/>
        </w:rPr>
        <w:t>5.</w:t>
      </w:r>
      <w:r>
        <w:rPr>
          <w:rFonts w:ascii="Tahoma" w:hAnsi="Tahoma" w:cs="Tahoma"/>
          <w:sz w:val="24"/>
          <w:szCs w:val="24"/>
        </w:rPr>
        <w:tab/>
        <w:t>The applicant ruled that</w:t>
      </w:r>
      <w:r w:rsidR="0079166B">
        <w:rPr>
          <w:rFonts w:ascii="Tahoma" w:hAnsi="Tahoma" w:cs="Tahoma"/>
          <w:sz w:val="24"/>
          <w:szCs w:val="24"/>
        </w:rPr>
        <w:t xml:space="preserve"> there was no constructive dismissal. The issues raised could be attended to internally first and externally later. On the payments the </w:t>
      </w:r>
      <w:r w:rsidR="0079166B">
        <w:rPr>
          <w:rFonts w:ascii="Tahoma" w:hAnsi="Tahoma" w:cs="Tahoma"/>
          <w:sz w:val="24"/>
          <w:szCs w:val="24"/>
        </w:rPr>
        <w:lastRenderedPageBreak/>
        <w:t>applicant ruled that these were not paid as evidence</w:t>
      </w:r>
      <w:r w:rsidR="00235DD7">
        <w:rPr>
          <w:rFonts w:ascii="Tahoma" w:hAnsi="Tahoma" w:cs="Tahoma"/>
          <w:sz w:val="24"/>
          <w:szCs w:val="24"/>
        </w:rPr>
        <w:t>d</w:t>
      </w:r>
      <w:r w:rsidR="0079166B">
        <w:rPr>
          <w:rFonts w:ascii="Tahoma" w:hAnsi="Tahoma" w:cs="Tahoma"/>
          <w:sz w:val="24"/>
          <w:szCs w:val="24"/>
        </w:rPr>
        <w:t xml:space="preserve"> by the attempt to deduct from them for failure to give notice of resignation and by </w:t>
      </w:r>
      <w:r w:rsidR="00235DD7">
        <w:rPr>
          <w:rFonts w:ascii="Tahoma" w:hAnsi="Tahoma" w:cs="Tahoma"/>
          <w:sz w:val="24"/>
          <w:szCs w:val="24"/>
        </w:rPr>
        <w:t xml:space="preserve">the </w:t>
      </w:r>
      <w:r w:rsidR="0079166B">
        <w:rPr>
          <w:rFonts w:ascii="Tahoma" w:hAnsi="Tahoma" w:cs="Tahoma"/>
          <w:sz w:val="24"/>
          <w:szCs w:val="24"/>
        </w:rPr>
        <w:t>employer’s failure to show that indeed the employer paid. The applicant said that the requirement by section 125 of the Act to keep records of these payments is for the records to be produced in situations such as these. Failure to produce them shows that there was no payment. In other words once an employee had laid a foundation for a claim of non-payment the employer cannot simply sit back and insists</w:t>
      </w:r>
      <w:r w:rsidR="00C01D63">
        <w:rPr>
          <w:rFonts w:ascii="Tahoma" w:hAnsi="Tahoma" w:cs="Tahoma"/>
          <w:sz w:val="24"/>
          <w:szCs w:val="24"/>
        </w:rPr>
        <w:t xml:space="preserve"> on proof by the alleger. He should shoot down the alle</w:t>
      </w:r>
      <w:r w:rsidR="00667DDF">
        <w:rPr>
          <w:rFonts w:ascii="Tahoma" w:hAnsi="Tahoma" w:cs="Tahoma"/>
          <w:sz w:val="24"/>
          <w:szCs w:val="24"/>
        </w:rPr>
        <w:t>gation by not only saying he paid but by producing the evidence which evidence he is required to keep.</w:t>
      </w:r>
    </w:p>
    <w:p w:rsidR="00DF1A36" w:rsidRDefault="00DF1A36" w:rsidP="008545BC">
      <w:pPr>
        <w:spacing w:after="0" w:line="360" w:lineRule="auto"/>
        <w:ind w:left="720" w:hanging="720"/>
        <w:jc w:val="both"/>
        <w:rPr>
          <w:rFonts w:ascii="Tahoma" w:hAnsi="Tahoma" w:cs="Tahoma"/>
          <w:sz w:val="24"/>
          <w:szCs w:val="24"/>
        </w:rPr>
      </w:pPr>
    </w:p>
    <w:p w:rsidR="00DF1A36" w:rsidRDefault="00DF1A36" w:rsidP="008545BC">
      <w:pPr>
        <w:spacing w:after="0" w:line="360" w:lineRule="auto"/>
        <w:ind w:left="720" w:hanging="720"/>
        <w:jc w:val="both"/>
        <w:rPr>
          <w:rFonts w:ascii="Tahoma" w:hAnsi="Tahoma" w:cs="Tahoma"/>
          <w:sz w:val="24"/>
          <w:szCs w:val="24"/>
        </w:rPr>
      </w:pPr>
      <w:r>
        <w:rPr>
          <w:rFonts w:ascii="Tahoma" w:hAnsi="Tahoma" w:cs="Tahoma"/>
          <w:sz w:val="24"/>
          <w:szCs w:val="24"/>
        </w:rPr>
        <w:t>6.</w:t>
      </w:r>
      <w:r>
        <w:rPr>
          <w:rFonts w:ascii="Tahoma" w:hAnsi="Tahoma" w:cs="Tahoma"/>
          <w:sz w:val="24"/>
          <w:szCs w:val="24"/>
        </w:rPr>
        <w:tab/>
        <w:t>The applicant ruled that the employer should therefore pay-</w:t>
      </w:r>
    </w:p>
    <w:p w:rsidR="00295D74" w:rsidRDefault="00295D74" w:rsidP="008545BC">
      <w:pPr>
        <w:spacing w:after="0" w:line="360" w:lineRule="auto"/>
        <w:ind w:left="720" w:hanging="720"/>
        <w:jc w:val="both"/>
        <w:rPr>
          <w:rFonts w:ascii="Tahoma" w:hAnsi="Tahoma" w:cs="Tahoma"/>
          <w:sz w:val="24"/>
          <w:szCs w:val="24"/>
        </w:rPr>
      </w:pPr>
    </w:p>
    <w:p w:rsidR="00DF1A36" w:rsidRDefault="00DF1A36" w:rsidP="008545BC">
      <w:pPr>
        <w:spacing w:after="0" w:line="360" w:lineRule="auto"/>
        <w:ind w:left="720" w:hanging="720"/>
        <w:jc w:val="both"/>
        <w:rPr>
          <w:rFonts w:ascii="Tahoma" w:hAnsi="Tahoma" w:cs="Tahoma"/>
          <w:sz w:val="24"/>
          <w:szCs w:val="24"/>
        </w:rPr>
      </w:pPr>
      <w:r>
        <w:rPr>
          <w:rFonts w:ascii="Tahoma" w:hAnsi="Tahoma" w:cs="Tahoma"/>
          <w:sz w:val="24"/>
          <w:szCs w:val="24"/>
        </w:rPr>
        <w:tab/>
      </w:r>
      <w:r>
        <w:rPr>
          <w:rFonts w:ascii="Tahoma" w:hAnsi="Tahoma" w:cs="Tahoma"/>
          <w:sz w:val="24"/>
          <w:szCs w:val="24"/>
        </w:rPr>
        <w:tab/>
        <w:t>i)</w:t>
      </w:r>
      <w:r>
        <w:rPr>
          <w:rFonts w:ascii="Tahoma" w:hAnsi="Tahoma" w:cs="Tahoma"/>
          <w:sz w:val="24"/>
          <w:szCs w:val="24"/>
        </w:rPr>
        <w:tab/>
      </w:r>
      <w:proofErr w:type="gramStart"/>
      <w:r>
        <w:rPr>
          <w:rFonts w:ascii="Tahoma" w:hAnsi="Tahoma" w:cs="Tahoma"/>
          <w:sz w:val="24"/>
          <w:szCs w:val="24"/>
        </w:rPr>
        <w:t>fuel</w:t>
      </w:r>
      <w:proofErr w:type="gramEnd"/>
      <w:r>
        <w:rPr>
          <w:rFonts w:ascii="Tahoma" w:hAnsi="Tahoma" w:cs="Tahoma"/>
          <w:sz w:val="24"/>
          <w:szCs w:val="24"/>
        </w:rPr>
        <w:t xml:space="preserve"> allowance at 200 </w:t>
      </w:r>
      <w:proofErr w:type="spellStart"/>
      <w:r>
        <w:rPr>
          <w:rFonts w:ascii="Tahoma" w:hAnsi="Tahoma" w:cs="Tahoma"/>
          <w:sz w:val="24"/>
          <w:szCs w:val="24"/>
        </w:rPr>
        <w:t>litres</w:t>
      </w:r>
      <w:proofErr w:type="spellEnd"/>
      <w:r>
        <w:rPr>
          <w:rFonts w:ascii="Tahoma" w:hAnsi="Tahoma" w:cs="Tahoma"/>
          <w:sz w:val="24"/>
          <w:szCs w:val="24"/>
        </w:rPr>
        <w:t xml:space="preserve"> per month from July 2018 – May 2020</w:t>
      </w:r>
    </w:p>
    <w:p w:rsidR="00DF1A36" w:rsidRDefault="00DF1A36" w:rsidP="008545BC">
      <w:pPr>
        <w:spacing w:after="0" w:line="360" w:lineRule="auto"/>
        <w:ind w:left="720" w:hanging="720"/>
        <w:jc w:val="both"/>
        <w:rPr>
          <w:rFonts w:ascii="Tahoma" w:hAnsi="Tahoma" w:cs="Tahoma"/>
          <w:sz w:val="24"/>
          <w:szCs w:val="24"/>
        </w:rPr>
      </w:pPr>
      <w:r>
        <w:rPr>
          <w:rFonts w:ascii="Tahoma" w:hAnsi="Tahoma" w:cs="Tahoma"/>
          <w:sz w:val="24"/>
          <w:szCs w:val="24"/>
        </w:rPr>
        <w:tab/>
      </w:r>
      <w:r>
        <w:rPr>
          <w:rFonts w:ascii="Tahoma" w:hAnsi="Tahoma" w:cs="Tahoma"/>
          <w:sz w:val="24"/>
          <w:szCs w:val="24"/>
        </w:rPr>
        <w:tab/>
        <w:t>ii)</w:t>
      </w:r>
      <w:r>
        <w:rPr>
          <w:rFonts w:ascii="Tahoma" w:hAnsi="Tahoma" w:cs="Tahoma"/>
          <w:sz w:val="24"/>
          <w:szCs w:val="24"/>
        </w:rPr>
        <w:tab/>
      </w:r>
      <w:proofErr w:type="gramStart"/>
      <w:r>
        <w:rPr>
          <w:rFonts w:ascii="Tahoma" w:hAnsi="Tahoma" w:cs="Tahoma"/>
          <w:sz w:val="24"/>
          <w:szCs w:val="24"/>
        </w:rPr>
        <w:t>school</w:t>
      </w:r>
      <w:proofErr w:type="gramEnd"/>
      <w:r>
        <w:rPr>
          <w:rFonts w:ascii="Tahoma" w:hAnsi="Tahoma" w:cs="Tahoma"/>
          <w:sz w:val="24"/>
          <w:szCs w:val="24"/>
        </w:rPr>
        <w:t xml:space="preserve"> fees allowances from July 2019 to May 2020</w:t>
      </w:r>
    </w:p>
    <w:p w:rsidR="00DF1A36" w:rsidRDefault="00DF1A36" w:rsidP="008545BC">
      <w:pPr>
        <w:spacing w:after="0" w:line="360" w:lineRule="auto"/>
        <w:ind w:left="720" w:hanging="720"/>
        <w:jc w:val="both"/>
        <w:rPr>
          <w:rFonts w:ascii="Tahoma" w:hAnsi="Tahoma" w:cs="Tahoma"/>
          <w:sz w:val="24"/>
          <w:szCs w:val="24"/>
        </w:rPr>
      </w:pPr>
      <w:r>
        <w:rPr>
          <w:rFonts w:ascii="Tahoma" w:hAnsi="Tahoma" w:cs="Tahoma"/>
          <w:sz w:val="24"/>
          <w:szCs w:val="24"/>
        </w:rPr>
        <w:tab/>
      </w:r>
      <w:r>
        <w:rPr>
          <w:rFonts w:ascii="Tahoma" w:hAnsi="Tahoma" w:cs="Tahoma"/>
          <w:sz w:val="24"/>
          <w:szCs w:val="24"/>
        </w:rPr>
        <w:tab/>
        <w:t>iii)</w:t>
      </w:r>
      <w:r>
        <w:rPr>
          <w:rFonts w:ascii="Tahoma" w:hAnsi="Tahoma" w:cs="Tahoma"/>
          <w:sz w:val="24"/>
          <w:szCs w:val="24"/>
        </w:rPr>
        <w:tab/>
      </w:r>
      <w:proofErr w:type="gramStart"/>
      <w:r>
        <w:rPr>
          <w:rFonts w:ascii="Tahoma" w:hAnsi="Tahoma" w:cs="Tahoma"/>
          <w:sz w:val="24"/>
          <w:szCs w:val="24"/>
        </w:rPr>
        <w:t>salary</w:t>
      </w:r>
      <w:proofErr w:type="gramEnd"/>
      <w:r>
        <w:rPr>
          <w:rFonts w:ascii="Tahoma" w:hAnsi="Tahoma" w:cs="Tahoma"/>
          <w:sz w:val="24"/>
          <w:szCs w:val="24"/>
        </w:rPr>
        <w:t xml:space="preserve"> for the month of May 2020, and</w:t>
      </w:r>
    </w:p>
    <w:p w:rsidR="00DF1A36" w:rsidRDefault="00DF1A36" w:rsidP="008545BC">
      <w:pPr>
        <w:spacing w:after="0" w:line="360" w:lineRule="auto"/>
        <w:ind w:left="720" w:hanging="720"/>
        <w:jc w:val="both"/>
        <w:rPr>
          <w:rFonts w:ascii="Tahoma" w:hAnsi="Tahoma" w:cs="Tahoma"/>
          <w:sz w:val="24"/>
          <w:szCs w:val="24"/>
        </w:rPr>
      </w:pPr>
      <w:r>
        <w:rPr>
          <w:rFonts w:ascii="Tahoma" w:hAnsi="Tahoma" w:cs="Tahoma"/>
          <w:sz w:val="24"/>
          <w:szCs w:val="24"/>
        </w:rPr>
        <w:tab/>
      </w:r>
      <w:r>
        <w:rPr>
          <w:rFonts w:ascii="Tahoma" w:hAnsi="Tahoma" w:cs="Tahoma"/>
          <w:sz w:val="24"/>
          <w:szCs w:val="24"/>
        </w:rPr>
        <w:tab/>
        <w:t>iv)</w:t>
      </w:r>
      <w:r>
        <w:rPr>
          <w:rFonts w:ascii="Tahoma" w:hAnsi="Tahoma" w:cs="Tahoma"/>
          <w:sz w:val="24"/>
          <w:szCs w:val="24"/>
        </w:rPr>
        <w:tab/>
      </w:r>
      <w:proofErr w:type="gramStart"/>
      <w:r>
        <w:rPr>
          <w:rFonts w:ascii="Tahoma" w:hAnsi="Tahoma" w:cs="Tahoma"/>
          <w:sz w:val="24"/>
          <w:szCs w:val="24"/>
        </w:rPr>
        <w:t>cash</w:t>
      </w:r>
      <w:proofErr w:type="gramEnd"/>
      <w:r>
        <w:rPr>
          <w:rFonts w:ascii="Tahoma" w:hAnsi="Tahoma" w:cs="Tahoma"/>
          <w:sz w:val="24"/>
          <w:szCs w:val="24"/>
        </w:rPr>
        <w:t xml:space="preserve"> in lieu of leave days due.</w:t>
      </w:r>
    </w:p>
    <w:p w:rsidR="00DF1A36" w:rsidRDefault="00DF1A36" w:rsidP="008545BC">
      <w:pPr>
        <w:spacing w:after="0" w:line="360" w:lineRule="auto"/>
        <w:ind w:left="720" w:hanging="720"/>
        <w:jc w:val="both"/>
        <w:rPr>
          <w:rFonts w:ascii="Tahoma" w:hAnsi="Tahoma" w:cs="Tahoma"/>
          <w:sz w:val="24"/>
          <w:szCs w:val="24"/>
        </w:rPr>
      </w:pPr>
    </w:p>
    <w:p w:rsidR="00DF1A36" w:rsidRPr="00DF1A36" w:rsidRDefault="00DF1A36" w:rsidP="008545BC">
      <w:pPr>
        <w:spacing w:after="0" w:line="360" w:lineRule="auto"/>
        <w:ind w:left="720" w:hanging="720"/>
        <w:jc w:val="both"/>
        <w:rPr>
          <w:rFonts w:ascii="Tahoma" w:hAnsi="Tahoma" w:cs="Tahoma"/>
          <w:sz w:val="24"/>
          <w:szCs w:val="24"/>
          <w:u w:val="single"/>
        </w:rPr>
      </w:pPr>
      <w:r w:rsidRPr="00DF1A36">
        <w:rPr>
          <w:rFonts w:ascii="Tahoma" w:hAnsi="Tahoma" w:cs="Tahoma"/>
          <w:sz w:val="24"/>
          <w:szCs w:val="24"/>
          <w:u w:val="single"/>
        </w:rPr>
        <w:t>Opposition to the confirmation</w:t>
      </w:r>
    </w:p>
    <w:p w:rsidR="00DF1A36" w:rsidRDefault="00DF1A36" w:rsidP="008545BC">
      <w:pPr>
        <w:spacing w:after="0" w:line="360" w:lineRule="auto"/>
        <w:ind w:left="720" w:hanging="720"/>
        <w:jc w:val="both"/>
        <w:rPr>
          <w:rFonts w:ascii="Tahoma" w:hAnsi="Tahoma" w:cs="Tahoma"/>
          <w:sz w:val="24"/>
          <w:szCs w:val="24"/>
        </w:rPr>
      </w:pPr>
    </w:p>
    <w:p w:rsidR="00DF1A36" w:rsidRDefault="00DF1A36" w:rsidP="008545BC">
      <w:pPr>
        <w:spacing w:after="0" w:line="360" w:lineRule="auto"/>
        <w:ind w:left="720" w:hanging="720"/>
        <w:jc w:val="both"/>
        <w:rPr>
          <w:rFonts w:ascii="Tahoma" w:hAnsi="Tahoma" w:cs="Tahoma"/>
          <w:sz w:val="24"/>
          <w:szCs w:val="24"/>
        </w:rPr>
      </w:pPr>
      <w:r>
        <w:rPr>
          <w:rFonts w:ascii="Tahoma" w:hAnsi="Tahoma" w:cs="Tahoma"/>
          <w:sz w:val="24"/>
          <w:szCs w:val="24"/>
        </w:rPr>
        <w:t>7.</w:t>
      </w:r>
      <w:r>
        <w:rPr>
          <w:rFonts w:ascii="Tahoma" w:hAnsi="Tahoma" w:cs="Tahoma"/>
          <w:sz w:val="24"/>
          <w:szCs w:val="24"/>
        </w:rPr>
        <w:tab/>
        <w:t>The first respondent opposed the application for confirmation insisting that there was no evidence placed before the applicant to prove the claims. Secondly it was also claime</w:t>
      </w:r>
      <w:r w:rsidR="00CD7DFE">
        <w:rPr>
          <w:rFonts w:ascii="Tahoma" w:hAnsi="Tahoma" w:cs="Tahoma"/>
          <w:sz w:val="24"/>
          <w:szCs w:val="24"/>
        </w:rPr>
        <w:t>d that the applicant had overl</w:t>
      </w:r>
      <w:r w:rsidR="00235DD7">
        <w:rPr>
          <w:rFonts w:ascii="Tahoma" w:hAnsi="Tahoma" w:cs="Tahoma"/>
          <w:sz w:val="24"/>
          <w:szCs w:val="24"/>
        </w:rPr>
        <w:t>oo</w:t>
      </w:r>
      <w:r>
        <w:rPr>
          <w:rFonts w:ascii="Tahoma" w:hAnsi="Tahoma" w:cs="Tahoma"/>
          <w:sz w:val="24"/>
          <w:szCs w:val="24"/>
        </w:rPr>
        <w:t>ked evidence of payment of the May 2020 salary. Thirdly, it was argued that the applicant misdirected himself by shifting the onus of proof to the first respondent whereas he who alleges must prove the all</w:t>
      </w:r>
      <w:r w:rsidR="00161C4D">
        <w:rPr>
          <w:rFonts w:ascii="Tahoma" w:hAnsi="Tahoma" w:cs="Tahoma"/>
          <w:sz w:val="24"/>
          <w:szCs w:val="24"/>
        </w:rPr>
        <w:t>egation. First respondent asked that there be documents to support the claims</w:t>
      </w:r>
      <w:r w:rsidR="00C15CFB">
        <w:rPr>
          <w:rFonts w:ascii="Tahoma" w:hAnsi="Tahoma" w:cs="Tahoma"/>
          <w:sz w:val="24"/>
          <w:szCs w:val="24"/>
        </w:rPr>
        <w:t xml:space="preserve">. Further the damages must be proved and not left to conjecture. The anti-retrenchment measures </w:t>
      </w:r>
      <w:r w:rsidR="00235DD7">
        <w:rPr>
          <w:rFonts w:ascii="Tahoma" w:hAnsi="Tahoma" w:cs="Tahoma"/>
          <w:sz w:val="24"/>
          <w:szCs w:val="24"/>
        </w:rPr>
        <w:t>were said to cover all the non-</w:t>
      </w:r>
      <w:r w:rsidR="00C15CFB">
        <w:rPr>
          <w:rFonts w:ascii="Tahoma" w:hAnsi="Tahoma" w:cs="Tahoma"/>
          <w:sz w:val="24"/>
          <w:szCs w:val="24"/>
        </w:rPr>
        <w:t>payments.</w:t>
      </w:r>
    </w:p>
    <w:p w:rsidR="009E79BC" w:rsidRDefault="009E79BC" w:rsidP="008545BC">
      <w:pPr>
        <w:spacing w:after="0" w:line="360" w:lineRule="auto"/>
        <w:ind w:left="720" w:hanging="720"/>
        <w:jc w:val="both"/>
        <w:rPr>
          <w:rFonts w:ascii="Tahoma" w:hAnsi="Tahoma" w:cs="Tahoma"/>
          <w:sz w:val="24"/>
          <w:szCs w:val="24"/>
        </w:rPr>
      </w:pPr>
    </w:p>
    <w:p w:rsidR="009E79BC" w:rsidRDefault="009E79BC" w:rsidP="008545BC">
      <w:pPr>
        <w:spacing w:after="0" w:line="360" w:lineRule="auto"/>
        <w:ind w:left="720" w:hanging="720"/>
        <w:jc w:val="both"/>
        <w:rPr>
          <w:rFonts w:ascii="Tahoma" w:hAnsi="Tahoma" w:cs="Tahoma"/>
          <w:sz w:val="24"/>
          <w:szCs w:val="24"/>
        </w:rPr>
      </w:pPr>
    </w:p>
    <w:p w:rsidR="009E79BC" w:rsidRDefault="009E79BC" w:rsidP="008545BC">
      <w:pPr>
        <w:spacing w:after="0" w:line="360" w:lineRule="auto"/>
        <w:ind w:left="720" w:hanging="720"/>
        <w:jc w:val="both"/>
        <w:rPr>
          <w:rFonts w:ascii="Tahoma" w:hAnsi="Tahoma" w:cs="Tahoma"/>
          <w:sz w:val="24"/>
          <w:szCs w:val="24"/>
        </w:rPr>
      </w:pPr>
    </w:p>
    <w:p w:rsidR="009E79BC" w:rsidRPr="0047007D" w:rsidRDefault="009E79BC" w:rsidP="008545BC">
      <w:pPr>
        <w:spacing w:after="0" w:line="360" w:lineRule="auto"/>
        <w:ind w:left="720" w:hanging="720"/>
        <w:jc w:val="both"/>
        <w:rPr>
          <w:rFonts w:ascii="Tahoma" w:hAnsi="Tahoma" w:cs="Tahoma"/>
          <w:sz w:val="24"/>
          <w:szCs w:val="24"/>
          <w:u w:val="single"/>
        </w:rPr>
      </w:pPr>
      <w:r w:rsidRPr="0047007D">
        <w:rPr>
          <w:rFonts w:ascii="Tahoma" w:hAnsi="Tahoma" w:cs="Tahoma"/>
          <w:sz w:val="24"/>
          <w:szCs w:val="24"/>
          <w:u w:val="single"/>
        </w:rPr>
        <w:t>Support for the confirmation</w:t>
      </w:r>
    </w:p>
    <w:p w:rsidR="009E79BC" w:rsidRDefault="009E79BC" w:rsidP="008545BC">
      <w:pPr>
        <w:spacing w:after="0" w:line="360" w:lineRule="auto"/>
        <w:ind w:left="720" w:hanging="720"/>
        <w:jc w:val="both"/>
        <w:rPr>
          <w:rFonts w:ascii="Tahoma" w:hAnsi="Tahoma" w:cs="Tahoma"/>
          <w:sz w:val="24"/>
          <w:szCs w:val="24"/>
        </w:rPr>
      </w:pPr>
    </w:p>
    <w:p w:rsidR="009E79BC" w:rsidRDefault="009E79BC" w:rsidP="008545BC">
      <w:pPr>
        <w:spacing w:after="0" w:line="360" w:lineRule="auto"/>
        <w:ind w:left="720" w:hanging="720"/>
        <w:jc w:val="both"/>
        <w:rPr>
          <w:rFonts w:ascii="Tahoma" w:hAnsi="Tahoma" w:cs="Tahoma"/>
          <w:sz w:val="24"/>
          <w:szCs w:val="24"/>
        </w:rPr>
      </w:pPr>
      <w:r>
        <w:rPr>
          <w:rFonts w:ascii="Tahoma" w:hAnsi="Tahoma" w:cs="Tahoma"/>
          <w:sz w:val="24"/>
          <w:szCs w:val="24"/>
        </w:rPr>
        <w:t>8.</w:t>
      </w:r>
      <w:r>
        <w:rPr>
          <w:rFonts w:ascii="Tahoma" w:hAnsi="Tahoma" w:cs="Tahoma"/>
          <w:sz w:val="24"/>
          <w:szCs w:val="24"/>
        </w:rPr>
        <w:tab/>
        <w:t xml:space="preserve">The second respondent supported the application for confirmation saying that it was well found. He also claimed payment for motor vehicle allowance saying that the applicant mentioned it but did not make a ruling on it. Indeed applicant mentioned it but curiously it is not there in </w:t>
      </w:r>
      <w:r w:rsidR="00235DD7">
        <w:rPr>
          <w:rFonts w:ascii="Tahoma" w:hAnsi="Tahoma" w:cs="Tahoma"/>
          <w:sz w:val="24"/>
          <w:szCs w:val="24"/>
        </w:rPr>
        <w:t xml:space="preserve">the letter of complaint to the </w:t>
      </w:r>
      <w:proofErr w:type="spellStart"/>
      <w:r w:rsidR="00235DD7">
        <w:rPr>
          <w:rFonts w:ascii="Tahoma" w:hAnsi="Tahoma" w:cs="Tahoma"/>
          <w:sz w:val="24"/>
          <w:szCs w:val="24"/>
        </w:rPr>
        <w:t>l</w:t>
      </w:r>
      <w:r>
        <w:rPr>
          <w:rFonts w:ascii="Tahoma" w:hAnsi="Tahoma" w:cs="Tahoma"/>
          <w:sz w:val="24"/>
          <w:szCs w:val="24"/>
        </w:rPr>
        <w:t>abour</w:t>
      </w:r>
      <w:proofErr w:type="spellEnd"/>
      <w:r>
        <w:rPr>
          <w:rFonts w:ascii="Tahoma" w:hAnsi="Tahoma" w:cs="Tahoma"/>
          <w:sz w:val="24"/>
          <w:szCs w:val="24"/>
        </w:rPr>
        <w:t xml:space="preserve"> officer. It is not even in the letter of amendment of claim dated 5</w:t>
      </w:r>
      <w:r w:rsidRPr="009E79BC">
        <w:rPr>
          <w:rFonts w:ascii="Tahoma" w:hAnsi="Tahoma" w:cs="Tahoma"/>
          <w:sz w:val="24"/>
          <w:szCs w:val="24"/>
          <w:vertAlign w:val="superscript"/>
        </w:rPr>
        <w:t>th</w:t>
      </w:r>
      <w:r>
        <w:rPr>
          <w:rFonts w:ascii="Tahoma" w:hAnsi="Tahoma" w:cs="Tahoma"/>
          <w:sz w:val="24"/>
          <w:szCs w:val="24"/>
        </w:rPr>
        <w:t xml:space="preserve"> November 2020. Resultantly the first respondent resisted the call to this court to add this claim.</w:t>
      </w:r>
    </w:p>
    <w:p w:rsidR="009E79BC" w:rsidRDefault="009E79BC" w:rsidP="008545BC">
      <w:pPr>
        <w:spacing w:after="0" w:line="360" w:lineRule="auto"/>
        <w:ind w:left="720" w:hanging="720"/>
        <w:jc w:val="both"/>
        <w:rPr>
          <w:rFonts w:ascii="Tahoma" w:hAnsi="Tahoma" w:cs="Tahoma"/>
          <w:sz w:val="24"/>
          <w:szCs w:val="24"/>
        </w:rPr>
      </w:pPr>
    </w:p>
    <w:p w:rsidR="009E79BC" w:rsidRPr="009E79BC" w:rsidRDefault="009E79BC" w:rsidP="008545BC">
      <w:pPr>
        <w:spacing w:after="0" w:line="360" w:lineRule="auto"/>
        <w:ind w:left="720" w:hanging="720"/>
        <w:jc w:val="both"/>
        <w:rPr>
          <w:rFonts w:ascii="Tahoma" w:hAnsi="Tahoma" w:cs="Tahoma"/>
          <w:sz w:val="24"/>
          <w:szCs w:val="24"/>
          <w:u w:val="single"/>
        </w:rPr>
      </w:pPr>
      <w:r w:rsidRPr="009E79BC">
        <w:rPr>
          <w:rFonts w:ascii="Tahoma" w:hAnsi="Tahoma" w:cs="Tahoma"/>
          <w:sz w:val="24"/>
          <w:szCs w:val="24"/>
          <w:u w:val="single"/>
        </w:rPr>
        <w:t>QUANTUM</w:t>
      </w:r>
    </w:p>
    <w:p w:rsidR="009E79BC" w:rsidRDefault="009E79BC" w:rsidP="008545BC">
      <w:pPr>
        <w:spacing w:after="0" w:line="360" w:lineRule="auto"/>
        <w:ind w:left="720" w:hanging="720"/>
        <w:jc w:val="both"/>
        <w:rPr>
          <w:rFonts w:ascii="Tahoma" w:hAnsi="Tahoma" w:cs="Tahoma"/>
          <w:sz w:val="24"/>
          <w:szCs w:val="24"/>
        </w:rPr>
      </w:pPr>
    </w:p>
    <w:p w:rsidR="009E79BC" w:rsidRDefault="009E79BC" w:rsidP="008545BC">
      <w:pPr>
        <w:spacing w:after="0" w:line="360" w:lineRule="auto"/>
        <w:ind w:left="720" w:hanging="720"/>
        <w:jc w:val="both"/>
        <w:rPr>
          <w:rFonts w:ascii="Tahoma" w:hAnsi="Tahoma" w:cs="Tahoma"/>
          <w:sz w:val="24"/>
          <w:szCs w:val="24"/>
        </w:rPr>
      </w:pPr>
      <w:r>
        <w:rPr>
          <w:rFonts w:ascii="Tahoma" w:hAnsi="Tahoma" w:cs="Tahoma"/>
          <w:sz w:val="24"/>
          <w:szCs w:val="24"/>
        </w:rPr>
        <w:t>9.</w:t>
      </w:r>
      <w:r>
        <w:rPr>
          <w:rFonts w:ascii="Tahoma" w:hAnsi="Tahoma" w:cs="Tahoma"/>
          <w:sz w:val="24"/>
          <w:szCs w:val="24"/>
        </w:rPr>
        <w:tab/>
        <w:t>The issue of quantum of “damages” is glossed over by the parties</w:t>
      </w:r>
      <w:r w:rsidR="00D13258">
        <w:rPr>
          <w:rFonts w:ascii="Tahoma" w:hAnsi="Tahoma" w:cs="Tahoma"/>
          <w:sz w:val="24"/>
          <w:szCs w:val="24"/>
        </w:rPr>
        <w:t>. The applicant did not put any qu</w:t>
      </w:r>
      <w:r w:rsidR="00235DD7">
        <w:rPr>
          <w:rFonts w:ascii="Tahoma" w:hAnsi="Tahoma" w:cs="Tahoma"/>
          <w:sz w:val="24"/>
          <w:szCs w:val="24"/>
        </w:rPr>
        <w:t>antum. The first respondent said</w:t>
      </w:r>
      <w:r w:rsidR="00D13258">
        <w:rPr>
          <w:rFonts w:ascii="Tahoma" w:hAnsi="Tahoma" w:cs="Tahoma"/>
          <w:sz w:val="24"/>
          <w:szCs w:val="24"/>
        </w:rPr>
        <w:t xml:space="preserve"> </w:t>
      </w:r>
      <w:r w:rsidR="00CD7DFE">
        <w:rPr>
          <w:rFonts w:ascii="Tahoma" w:hAnsi="Tahoma" w:cs="Tahoma"/>
          <w:sz w:val="24"/>
          <w:szCs w:val="24"/>
        </w:rPr>
        <w:t xml:space="preserve">that </w:t>
      </w:r>
      <w:r w:rsidR="00D13258">
        <w:rPr>
          <w:rFonts w:ascii="Tahoma" w:hAnsi="Tahoma" w:cs="Tahoma"/>
          <w:sz w:val="24"/>
          <w:szCs w:val="24"/>
        </w:rPr>
        <w:t>there was no evidence placed before the applicant to prove the quantum and the court was left to conjec</w:t>
      </w:r>
      <w:r w:rsidR="00235DD7">
        <w:rPr>
          <w:rFonts w:ascii="Tahoma" w:hAnsi="Tahoma" w:cs="Tahoma"/>
          <w:sz w:val="24"/>
          <w:szCs w:val="24"/>
        </w:rPr>
        <w:t>ture. The second respondent said</w:t>
      </w:r>
      <w:r w:rsidR="00D13258">
        <w:rPr>
          <w:rFonts w:ascii="Tahoma" w:hAnsi="Tahoma" w:cs="Tahoma"/>
          <w:sz w:val="24"/>
          <w:szCs w:val="24"/>
        </w:rPr>
        <w:t xml:space="preserve"> that the present application</w:t>
      </w:r>
      <w:r w:rsidR="006149AD">
        <w:rPr>
          <w:rFonts w:ascii="Tahoma" w:hAnsi="Tahoma" w:cs="Tahoma"/>
          <w:sz w:val="24"/>
          <w:szCs w:val="24"/>
        </w:rPr>
        <w:t xml:space="preserve"> is only to confirm liability. After that the matter must go back for quantification and evidence of</w:t>
      </w:r>
      <w:r w:rsidR="003C1260">
        <w:rPr>
          <w:rFonts w:ascii="Tahoma" w:hAnsi="Tahoma" w:cs="Tahoma"/>
          <w:sz w:val="24"/>
          <w:szCs w:val="24"/>
        </w:rPr>
        <w:t xml:space="preserve"> quantity would be proved. I can safely say that indeed</w:t>
      </w:r>
      <w:r w:rsidR="00DA48D2">
        <w:rPr>
          <w:rFonts w:ascii="Tahoma" w:hAnsi="Tahoma" w:cs="Tahoma"/>
          <w:sz w:val="24"/>
          <w:szCs w:val="24"/>
        </w:rPr>
        <w:t xml:space="preserve"> there is no quantity that was awarded. To that extent this is an </w:t>
      </w:r>
      <w:r w:rsidR="00235DD7">
        <w:rPr>
          <w:rFonts w:ascii="Tahoma" w:hAnsi="Tahoma" w:cs="Tahoma"/>
          <w:sz w:val="24"/>
          <w:szCs w:val="24"/>
        </w:rPr>
        <w:t>abnormal application. It is akin to the awards</w:t>
      </w:r>
      <w:r w:rsidR="00DA48D2">
        <w:rPr>
          <w:rFonts w:ascii="Tahoma" w:hAnsi="Tahoma" w:cs="Tahoma"/>
          <w:sz w:val="24"/>
          <w:szCs w:val="24"/>
        </w:rPr>
        <w:t xml:space="preserve"> that confirm unlawful dismissal but without awarding quantum of damages. The matter is sent back to the parties to agree failing which they come back for quantification. This is just an application to conf</w:t>
      </w:r>
      <w:r w:rsidR="00235DD7">
        <w:rPr>
          <w:rFonts w:ascii="Tahoma" w:hAnsi="Tahoma" w:cs="Tahoma"/>
          <w:sz w:val="24"/>
          <w:szCs w:val="24"/>
        </w:rPr>
        <w:t xml:space="preserve">irm liability. Quantification </w:t>
      </w:r>
      <w:r w:rsidR="00DA48D2">
        <w:rPr>
          <w:rFonts w:ascii="Tahoma" w:hAnsi="Tahoma" w:cs="Tahoma"/>
          <w:sz w:val="24"/>
          <w:szCs w:val="24"/>
        </w:rPr>
        <w:t>comes separately</w:t>
      </w:r>
      <w:proofErr w:type="gramStart"/>
      <w:r w:rsidR="00DA48D2">
        <w:rPr>
          <w:rFonts w:ascii="Tahoma" w:hAnsi="Tahoma" w:cs="Tahoma"/>
          <w:sz w:val="24"/>
          <w:szCs w:val="24"/>
        </w:rPr>
        <w:t>!.</w:t>
      </w:r>
      <w:proofErr w:type="gramEnd"/>
      <w:r w:rsidR="00235DD7">
        <w:rPr>
          <w:rFonts w:ascii="Tahoma" w:hAnsi="Tahoma" w:cs="Tahoma"/>
          <w:sz w:val="24"/>
          <w:szCs w:val="24"/>
        </w:rPr>
        <w:t xml:space="preserve"> Normally that should not be the procedure. The claim should have been quantified.</w:t>
      </w:r>
    </w:p>
    <w:p w:rsidR="00DA48D2" w:rsidRDefault="00DA48D2" w:rsidP="008545BC">
      <w:pPr>
        <w:spacing w:after="0" w:line="360" w:lineRule="auto"/>
        <w:ind w:left="720" w:hanging="720"/>
        <w:jc w:val="both"/>
        <w:rPr>
          <w:rFonts w:ascii="Tahoma" w:hAnsi="Tahoma" w:cs="Tahoma"/>
          <w:sz w:val="24"/>
          <w:szCs w:val="24"/>
        </w:rPr>
      </w:pPr>
    </w:p>
    <w:p w:rsidR="00DA48D2" w:rsidRPr="00DA48D2" w:rsidRDefault="00DA48D2" w:rsidP="008545BC">
      <w:pPr>
        <w:spacing w:after="0" w:line="360" w:lineRule="auto"/>
        <w:ind w:left="720" w:hanging="720"/>
        <w:jc w:val="both"/>
        <w:rPr>
          <w:rFonts w:ascii="Tahoma" w:hAnsi="Tahoma" w:cs="Tahoma"/>
          <w:sz w:val="24"/>
          <w:szCs w:val="24"/>
          <w:u w:val="single"/>
        </w:rPr>
      </w:pPr>
      <w:r w:rsidRPr="00DA48D2">
        <w:rPr>
          <w:rFonts w:ascii="Tahoma" w:hAnsi="Tahoma" w:cs="Tahoma"/>
          <w:sz w:val="24"/>
          <w:szCs w:val="24"/>
          <w:u w:val="single"/>
        </w:rPr>
        <w:t>ANALYSIS OF THE APPLICATION</w:t>
      </w:r>
    </w:p>
    <w:p w:rsidR="00DA48D2" w:rsidRPr="00DA48D2" w:rsidRDefault="00DA48D2" w:rsidP="008545BC">
      <w:pPr>
        <w:spacing w:after="0" w:line="360" w:lineRule="auto"/>
        <w:ind w:left="720" w:hanging="720"/>
        <w:jc w:val="both"/>
        <w:rPr>
          <w:rFonts w:ascii="Tahoma" w:hAnsi="Tahoma" w:cs="Tahoma"/>
          <w:sz w:val="24"/>
          <w:szCs w:val="24"/>
          <w:u w:val="single"/>
        </w:rPr>
      </w:pPr>
    </w:p>
    <w:p w:rsidR="00DA48D2" w:rsidRDefault="00DA48D2" w:rsidP="008545BC">
      <w:pPr>
        <w:spacing w:after="0" w:line="360" w:lineRule="auto"/>
        <w:ind w:left="720" w:hanging="720"/>
        <w:jc w:val="both"/>
        <w:rPr>
          <w:rFonts w:ascii="Tahoma" w:hAnsi="Tahoma" w:cs="Tahoma"/>
          <w:sz w:val="24"/>
          <w:szCs w:val="24"/>
        </w:rPr>
      </w:pPr>
      <w:r>
        <w:rPr>
          <w:rFonts w:ascii="Tahoma" w:hAnsi="Tahoma" w:cs="Tahoma"/>
          <w:sz w:val="24"/>
          <w:szCs w:val="24"/>
        </w:rPr>
        <w:lastRenderedPageBreak/>
        <w:t>10.</w:t>
      </w:r>
      <w:r>
        <w:rPr>
          <w:rFonts w:ascii="Tahoma" w:hAnsi="Tahoma" w:cs="Tahoma"/>
          <w:sz w:val="24"/>
          <w:szCs w:val="24"/>
        </w:rPr>
        <w:tab/>
        <w:t>This is a rather unusual ruling in that it did not quantify what the second respondent should be paid.</w:t>
      </w:r>
      <w:r w:rsidR="0048025E">
        <w:rPr>
          <w:rFonts w:ascii="Tahoma" w:hAnsi="Tahoma" w:cs="Tahoma"/>
          <w:sz w:val="24"/>
          <w:szCs w:val="24"/>
        </w:rPr>
        <w:t xml:space="preserve"> It only dealt with the right to be paid. That is also in line with the complaint. It would have been better and neater if the quantities were also calculated. As the draft ruling stands it is not capable of registration for execution. That is only possible after quantification. However it should be possible to confirm the ruling and send it back for quantification. That would be in line with equitable justice.</w:t>
      </w:r>
    </w:p>
    <w:p w:rsidR="0048025E" w:rsidRDefault="0048025E" w:rsidP="008545BC">
      <w:pPr>
        <w:spacing w:after="0" w:line="360" w:lineRule="auto"/>
        <w:ind w:left="720" w:hanging="720"/>
        <w:jc w:val="both"/>
        <w:rPr>
          <w:rFonts w:ascii="Tahoma" w:hAnsi="Tahoma" w:cs="Tahoma"/>
          <w:sz w:val="24"/>
          <w:szCs w:val="24"/>
        </w:rPr>
      </w:pPr>
    </w:p>
    <w:p w:rsidR="0048025E" w:rsidRDefault="0048025E" w:rsidP="008545BC">
      <w:pPr>
        <w:spacing w:after="0" w:line="360" w:lineRule="auto"/>
        <w:ind w:left="720" w:hanging="720"/>
        <w:jc w:val="both"/>
        <w:rPr>
          <w:rFonts w:ascii="Tahoma" w:hAnsi="Tahoma" w:cs="Tahoma"/>
          <w:sz w:val="24"/>
          <w:szCs w:val="24"/>
        </w:rPr>
      </w:pPr>
      <w:r>
        <w:rPr>
          <w:rFonts w:ascii="Tahoma" w:hAnsi="Tahoma" w:cs="Tahoma"/>
          <w:sz w:val="24"/>
          <w:szCs w:val="24"/>
        </w:rPr>
        <w:t>11.</w:t>
      </w:r>
      <w:r>
        <w:rPr>
          <w:rFonts w:ascii="Tahoma" w:hAnsi="Tahoma" w:cs="Tahoma"/>
          <w:sz w:val="24"/>
          <w:szCs w:val="24"/>
        </w:rPr>
        <w:tab/>
        <w:t>The main argument in opposition of the application is that there was no proof of the claims. The first respondent said that the court was left to conjecture on the “damages” and that should not be the case.</w:t>
      </w:r>
    </w:p>
    <w:p w:rsidR="0048025E" w:rsidRPr="0048025E" w:rsidRDefault="0048025E" w:rsidP="008545BC">
      <w:pPr>
        <w:spacing w:after="0" w:line="360" w:lineRule="auto"/>
        <w:ind w:left="720" w:hanging="720"/>
        <w:jc w:val="both"/>
        <w:rPr>
          <w:rFonts w:ascii="Tahoma" w:hAnsi="Tahoma" w:cs="Tahoma"/>
          <w:i/>
        </w:rPr>
      </w:pPr>
    </w:p>
    <w:p w:rsidR="0048025E" w:rsidRPr="0048025E" w:rsidRDefault="0048025E" w:rsidP="0048025E">
      <w:pPr>
        <w:spacing w:after="0" w:line="360" w:lineRule="auto"/>
        <w:ind w:left="1440"/>
        <w:jc w:val="both"/>
        <w:rPr>
          <w:rFonts w:ascii="Tahoma" w:hAnsi="Tahoma" w:cs="Tahoma"/>
          <w:i/>
        </w:rPr>
      </w:pPr>
      <w:r w:rsidRPr="0048025E">
        <w:rPr>
          <w:rFonts w:ascii="Tahoma" w:hAnsi="Tahoma" w:cs="Tahoma"/>
          <w:i/>
        </w:rPr>
        <w:t xml:space="preserve">“…the court does not have to embark on conjecture in assessing damages where there is no factual basis in evidence or, an inadequate factual basis, for an assessment, and it is not competent to award an arbitrary approximation of damages to a plaintiff which have failed to produce available evidence upon which an assessment of the loss could have been made” (Monument Art Co v </w:t>
      </w:r>
      <w:proofErr w:type="spellStart"/>
      <w:r w:rsidRPr="0048025E">
        <w:rPr>
          <w:rFonts w:ascii="Tahoma" w:hAnsi="Tahoma" w:cs="Tahoma"/>
          <w:i/>
        </w:rPr>
        <w:t>Kenston</w:t>
      </w:r>
      <w:proofErr w:type="spellEnd"/>
      <w:r w:rsidRPr="0048025E">
        <w:rPr>
          <w:rFonts w:ascii="Tahoma" w:hAnsi="Tahoma" w:cs="Tahoma"/>
          <w:i/>
        </w:rPr>
        <w:t xml:space="preserve"> Pharmacy (Pty) 1976 (2) SA at 118 D-F).</w:t>
      </w:r>
    </w:p>
    <w:p w:rsidR="0048025E" w:rsidRDefault="0048025E" w:rsidP="0048025E">
      <w:pPr>
        <w:spacing w:after="0" w:line="360" w:lineRule="auto"/>
        <w:jc w:val="both"/>
        <w:rPr>
          <w:rFonts w:ascii="Tahoma" w:hAnsi="Tahoma" w:cs="Tahoma"/>
          <w:sz w:val="24"/>
          <w:szCs w:val="24"/>
        </w:rPr>
      </w:pPr>
    </w:p>
    <w:p w:rsidR="0048025E" w:rsidRDefault="0048025E" w:rsidP="0048025E">
      <w:pPr>
        <w:spacing w:after="0" w:line="360" w:lineRule="auto"/>
        <w:jc w:val="both"/>
        <w:rPr>
          <w:rFonts w:ascii="Tahoma" w:hAnsi="Tahoma" w:cs="Tahoma"/>
          <w:sz w:val="24"/>
          <w:szCs w:val="24"/>
        </w:rPr>
      </w:pPr>
      <w:r>
        <w:rPr>
          <w:rFonts w:ascii="Tahoma" w:hAnsi="Tahoma" w:cs="Tahoma"/>
          <w:sz w:val="24"/>
          <w:szCs w:val="24"/>
        </w:rPr>
        <w:tab/>
        <w:t>That is the law indeed</w:t>
      </w:r>
      <w:r w:rsidR="008E734D">
        <w:rPr>
          <w:rFonts w:ascii="Tahoma" w:hAnsi="Tahoma" w:cs="Tahoma"/>
          <w:sz w:val="24"/>
          <w:szCs w:val="24"/>
        </w:rPr>
        <w:t>. In the present case the level of damages will be proved in the quantification process. For the present</w:t>
      </w:r>
      <w:r w:rsidR="00235DD7">
        <w:rPr>
          <w:rFonts w:ascii="Tahoma" w:hAnsi="Tahoma" w:cs="Tahoma"/>
          <w:sz w:val="24"/>
          <w:szCs w:val="24"/>
        </w:rPr>
        <w:t>,</w:t>
      </w:r>
      <w:r w:rsidR="008E734D">
        <w:rPr>
          <w:rFonts w:ascii="Tahoma" w:hAnsi="Tahoma" w:cs="Tahoma"/>
          <w:sz w:val="24"/>
          <w:szCs w:val="24"/>
        </w:rPr>
        <w:t xml:space="preserve"> suffice it to say that the applicant’s ruling seems to be correct in that it is based on the agreement/letter for the avoidance of retrenchment. That letter talks of a 50% (fifty percent) reduction in salary only. Further the attempt by the first respondent to deduct monies for failure to give notice tends to support the ruling too. Having laid a foundation for his claim it was incumbent for the first respondent to show that indeed he had paid and not just allege that he had paid. In that respect it is not a shift of burden of proof. This dovetails well with the requirement that first respondent keeps records of salary and other payments as required in section 125 of the Act. The second respondent had listed the relevant </w:t>
      </w:r>
      <w:r w:rsidR="008E734D">
        <w:rPr>
          <w:rFonts w:ascii="Tahoma" w:hAnsi="Tahoma" w:cs="Tahoma"/>
          <w:sz w:val="24"/>
          <w:szCs w:val="24"/>
        </w:rPr>
        <w:lastRenderedPageBreak/>
        <w:t>periods when he said he had not been paid or had been underpaid. The keeper of records could show that that was not true.</w:t>
      </w:r>
      <w:r w:rsidR="000B7A79">
        <w:rPr>
          <w:rFonts w:ascii="Tahoma" w:hAnsi="Tahoma" w:cs="Tahoma"/>
          <w:sz w:val="24"/>
          <w:szCs w:val="24"/>
        </w:rPr>
        <w:t xml:space="preserve"> He should not just say that he paid.</w:t>
      </w:r>
    </w:p>
    <w:p w:rsidR="000B7A79" w:rsidRDefault="000B7A79" w:rsidP="0048025E">
      <w:pPr>
        <w:spacing w:after="0" w:line="360" w:lineRule="auto"/>
        <w:jc w:val="both"/>
        <w:rPr>
          <w:rFonts w:ascii="Tahoma" w:hAnsi="Tahoma" w:cs="Tahoma"/>
          <w:sz w:val="24"/>
          <w:szCs w:val="24"/>
        </w:rPr>
      </w:pPr>
    </w:p>
    <w:p w:rsidR="000B7A79" w:rsidRDefault="000B7A79" w:rsidP="000B7A79">
      <w:pPr>
        <w:spacing w:after="0" w:line="360" w:lineRule="auto"/>
        <w:ind w:left="720" w:hanging="720"/>
        <w:jc w:val="both"/>
        <w:rPr>
          <w:rFonts w:ascii="Tahoma" w:hAnsi="Tahoma" w:cs="Tahoma"/>
          <w:sz w:val="24"/>
          <w:szCs w:val="24"/>
        </w:rPr>
      </w:pPr>
      <w:r>
        <w:rPr>
          <w:rFonts w:ascii="Tahoma" w:hAnsi="Tahoma" w:cs="Tahoma"/>
          <w:sz w:val="24"/>
          <w:szCs w:val="24"/>
        </w:rPr>
        <w:t>12.</w:t>
      </w:r>
      <w:r>
        <w:rPr>
          <w:rFonts w:ascii="Tahoma" w:hAnsi="Tahoma" w:cs="Tahoma"/>
          <w:sz w:val="24"/>
          <w:szCs w:val="24"/>
        </w:rPr>
        <w:tab/>
        <w:t xml:space="preserve">In view of the above reasoning the draft ruling would be confirmed and the matter sent back for quantification. </w:t>
      </w:r>
      <w:proofErr w:type="gramStart"/>
      <w:r>
        <w:rPr>
          <w:rFonts w:ascii="Tahoma" w:hAnsi="Tahoma" w:cs="Tahoma"/>
          <w:sz w:val="24"/>
          <w:szCs w:val="24"/>
        </w:rPr>
        <w:t>This accords</w:t>
      </w:r>
      <w:proofErr w:type="gramEnd"/>
      <w:r>
        <w:rPr>
          <w:rFonts w:ascii="Tahoma" w:hAnsi="Tahoma" w:cs="Tahoma"/>
          <w:sz w:val="24"/>
          <w:szCs w:val="24"/>
        </w:rPr>
        <w:t xml:space="preserve"> well with the dispensation of justice between parties rather than to knockdown one party on a technicality. Accordingly the ruling will be confirmed as amended as follows-</w:t>
      </w:r>
    </w:p>
    <w:p w:rsidR="00530902" w:rsidRDefault="00530902" w:rsidP="000B7A79">
      <w:pPr>
        <w:spacing w:after="0" w:line="360" w:lineRule="auto"/>
        <w:ind w:left="720" w:hanging="720"/>
        <w:jc w:val="both"/>
        <w:rPr>
          <w:rFonts w:ascii="Tahoma" w:hAnsi="Tahoma" w:cs="Tahoma"/>
          <w:sz w:val="24"/>
          <w:szCs w:val="24"/>
        </w:rPr>
      </w:pPr>
    </w:p>
    <w:p w:rsidR="00530902" w:rsidRDefault="00530902" w:rsidP="000B7A79">
      <w:pPr>
        <w:spacing w:after="0" w:line="360" w:lineRule="auto"/>
        <w:ind w:left="720" w:hanging="720"/>
        <w:jc w:val="both"/>
        <w:rPr>
          <w:rFonts w:ascii="Tahoma" w:hAnsi="Tahoma" w:cs="Tahoma"/>
          <w:sz w:val="24"/>
          <w:szCs w:val="24"/>
        </w:rPr>
      </w:pPr>
      <w:r>
        <w:rPr>
          <w:rFonts w:ascii="Tahoma" w:hAnsi="Tahoma" w:cs="Tahoma"/>
          <w:sz w:val="24"/>
          <w:szCs w:val="24"/>
        </w:rPr>
        <w:tab/>
        <w:t>1.</w:t>
      </w:r>
      <w:r>
        <w:rPr>
          <w:rFonts w:ascii="Tahoma" w:hAnsi="Tahoma" w:cs="Tahoma"/>
          <w:sz w:val="24"/>
          <w:szCs w:val="24"/>
        </w:rPr>
        <w:tab/>
        <w:t xml:space="preserve">The ruling by Labour officer John </w:t>
      </w:r>
      <w:proofErr w:type="spellStart"/>
      <w:r>
        <w:rPr>
          <w:rFonts w:ascii="Tahoma" w:hAnsi="Tahoma" w:cs="Tahoma"/>
          <w:sz w:val="24"/>
          <w:szCs w:val="24"/>
        </w:rPr>
        <w:t>Madziya</w:t>
      </w:r>
      <w:proofErr w:type="spellEnd"/>
      <w:r>
        <w:rPr>
          <w:rFonts w:ascii="Tahoma" w:hAnsi="Tahoma" w:cs="Tahoma"/>
          <w:sz w:val="24"/>
          <w:szCs w:val="24"/>
        </w:rPr>
        <w:t xml:space="preserve"> be and is hereby confirmed.</w:t>
      </w:r>
    </w:p>
    <w:p w:rsidR="00530902" w:rsidRDefault="00530902" w:rsidP="000B7A79">
      <w:pPr>
        <w:spacing w:after="0" w:line="360" w:lineRule="auto"/>
        <w:ind w:left="720" w:hanging="720"/>
        <w:jc w:val="both"/>
        <w:rPr>
          <w:rFonts w:ascii="Tahoma" w:hAnsi="Tahoma" w:cs="Tahoma"/>
          <w:sz w:val="24"/>
          <w:szCs w:val="24"/>
        </w:rPr>
      </w:pPr>
    </w:p>
    <w:p w:rsidR="00530902" w:rsidRDefault="00530902" w:rsidP="000B7A79">
      <w:pPr>
        <w:spacing w:after="0" w:line="360" w:lineRule="auto"/>
        <w:ind w:left="720" w:hanging="720"/>
        <w:jc w:val="both"/>
        <w:rPr>
          <w:rFonts w:ascii="Tahoma" w:hAnsi="Tahoma" w:cs="Tahoma"/>
          <w:sz w:val="24"/>
          <w:szCs w:val="24"/>
        </w:rPr>
      </w:pPr>
      <w:r>
        <w:rPr>
          <w:rFonts w:ascii="Tahoma" w:hAnsi="Tahoma" w:cs="Tahoma"/>
          <w:sz w:val="24"/>
          <w:szCs w:val="24"/>
        </w:rPr>
        <w:tab/>
        <w:t>2.</w:t>
      </w:r>
      <w:r>
        <w:rPr>
          <w:rFonts w:ascii="Tahoma" w:hAnsi="Tahoma" w:cs="Tahoma"/>
          <w:sz w:val="24"/>
          <w:szCs w:val="24"/>
        </w:rPr>
        <w:tab/>
        <w:t xml:space="preserve">The first respondent </w:t>
      </w:r>
      <w:proofErr w:type="gramStart"/>
      <w:r>
        <w:rPr>
          <w:rFonts w:ascii="Tahoma" w:hAnsi="Tahoma" w:cs="Tahoma"/>
          <w:sz w:val="24"/>
          <w:szCs w:val="24"/>
        </w:rPr>
        <w:t>pay</w:t>
      </w:r>
      <w:proofErr w:type="gramEnd"/>
      <w:r>
        <w:rPr>
          <w:rFonts w:ascii="Tahoma" w:hAnsi="Tahoma" w:cs="Tahoma"/>
          <w:sz w:val="24"/>
          <w:szCs w:val="24"/>
        </w:rPr>
        <w:t xml:space="preserve"> the second respondent the following items:-</w:t>
      </w:r>
    </w:p>
    <w:p w:rsidR="00530902" w:rsidRDefault="00530902" w:rsidP="000B7A79">
      <w:pPr>
        <w:spacing w:after="0" w:line="360" w:lineRule="auto"/>
        <w:ind w:left="720" w:hanging="720"/>
        <w:jc w:val="both"/>
        <w:rPr>
          <w:rFonts w:ascii="Tahoma" w:hAnsi="Tahoma" w:cs="Tahoma"/>
          <w:sz w:val="24"/>
          <w:szCs w:val="24"/>
        </w:rPr>
      </w:pPr>
      <w:r>
        <w:rPr>
          <w:rFonts w:ascii="Tahoma" w:hAnsi="Tahoma" w:cs="Tahoma"/>
          <w:sz w:val="24"/>
          <w:szCs w:val="24"/>
        </w:rPr>
        <w:tab/>
      </w:r>
      <w:r>
        <w:rPr>
          <w:rFonts w:ascii="Tahoma" w:hAnsi="Tahoma" w:cs="Tahoma"/>
          <w:sz w:val="24"/>
          <w:szCs w:val="24"/>
        </w:rPr>
        <w:tab/>
        <w:t xml:space="preserve">2.1. </w:t>
      </w:r>
      <w:proofErr w:type="gramStart"/>
      <w:r>
        <w:rPr>
          <w:rFonts w:ascii="Tahoma" w:hAnsi="Tahoma" w:cs="Tahoma"/>
          <w:sz w:val="24"/>
          <w:szCs w:val="24"/>
        </w:rPr>
        <w:t>fuel</w:t>
      </w:r>
      <w:proofErr w:type="gramEnd"/>
      <w:r>
        <w:rPr>
          <w:rFonts w:ascii="Tahoma" w:hAnsi="Tahoma" w:cs="Tahoma"/>
          <w:sz w:val="24"/>
          <w:szCs w:val="24"/>
        </w:rPr>
        <w:t xml:space="preserve"> allowance from July 2018 to May 2020.</w:t>
      </w:r>
    </w:p>
    <w:p w:rsidR="00530902" w:rsidRDefault="00530902" w:rsidP="000B7A79">
      <w:pPr>
        <w:spacing w:after="0" w:line="360" w:lineRule="auto"/>
        <w:ind w:left="720" w:hanging="720"/>
        <w:jc w:val="both"/>
        <w:rPr>
          <w:rFonts w:ascii="Tahoma" w:hAnsi="Tahoma" w:cs="Tahoma"/>
          <w:sz w:val="24"/>
          <w:szCs w:val="24"/>
        </w:rPr>
      </w:pPr>
      <w:r>
        <w:rPr>
          <w:rFonts w:ascii="Tahoma" w:hAnsi="Tahoma" w:cs="Tahoma"/>
          <w:sz w:val="24"/>
          <w:szCs w:val="24"/>
        </w:rPr>
        <w:tab/>
      </w:r>
      <w:r>
        <w:rPr>
          <w:rFonts w:ascii="Tahoma" w:hAnsi="Tahoma" w:cs="Tahoma"/>
          <w:sz w:val="24"/>
          <w:szCs w:val="24"/>
        </w:rPr>
        <w:tab/>
        <w:t xml:space="preserve">2.2. </w:t>
      </w:r>
      <w:proofErr w:type="gramStart"/>
      <w:r>
        <w:rPr>
          <w:rFonts w:ascii="Tahoma" w:hAnsi="Tahoma" w:cs="Tahoma"/>
          <w:sz w:val="24"/>
          <w:szCs w:val="24"/>
        </w:rPr>
        <w:t>schools</w:t>
      </w:r>
      <w:proofErr w:type="gramEnd"/>
      <w:r>
        <w:rPr>
          <w:rFonts w:ascii="Tahoma" w:hAnsi="Tahoma" w:cs="Tahoma"/>
          <w:sz w:val="24"/>
          <w:szCs w:val="24"/>
        </w:rPr>
        <w:t xml:space="preserve"> fees allowance from July 2018 to May 2020</w:t>
      </w:r>
    </w:p>
    <w:p w:rsidR="00530902" w:rsidRDefault="00530902" w:rsidP="000B7A79">
      <w:pPr>
        <w:spacing w:after="0" w:line="360" w:lineRule="auto"/>
        <w:ind w:left="720" w:hanging="720"/>
        <w:jc w:val="both"/>
        <w:rPr>
          <w:rFonts w:ascii="Tahoma" w:hAnsi="Tahoma" w:cs="Tahoma"/>
          <w:sz w:val="24"/>
          <w:szCs w:val="24"/>
        </w:rPr>
      </w:pPr>
      <w:r>
        <w:rPr>
          <w:rFonts w:ascii="Tahoma" w:hAnsi="Tahoma" w:cs="Tahoma"/>
          <w:sz w:val="24"/>
          <w:szCs w:val="24"/>
        </w:rPr>
        <w:tab/>
      </w:r>
      <w:r>
        <w:rPr>
          <w:rFonts w:ascii="Tahoma" w:hAnsi="Tahoma" w:cs="Tahoma"/>
          <w:sz w:val="24"/>
          <w:szCs w:val="24"/>
        </w:rPr>
        <w:tab/>
        <w:t xml:space="preserve">2.3. </w:t>
      </w:r>
      <w:proofErr w:type="gramStart"/>
      <w:r>
        <w:rPr>
          <w:rFonts w:ascii="Tahoma" w:hAnsi="Tahoma" w:cs="Tahoma"/>
          <w:sz w:val="24"/>
          <w:szCs w:val="24"/>
        </w:rPr>
        <w:t>outstanding</w:t>
      </w:r>
      <w:proofErr w:type="gramEnd"/>
      <w:r>
        <w:rPr>
          <w:rFonts w:ascii="Tahoma" w:hAnsi="Tahoma" w:cs="Tahoma"/>
          <w:sz w:val="24"/>
          <w:szCs w:val="24"/>
        </w:rPr>
        <w:t xml:space="preserve"> salary for the month of May 2020; and</w:t>
      </w:r>
    </w:p>
    <w:p w:rsidR="00530902" w:rsidRDefault="00530902" w:rsidP="000B7A79">
      <w:pPr>
        <w:spacing w:after="0" w:line="360" w:lineRule="auto"/>
        <w:ind w:left="720" w:hanging="720"/>
        <w:jc w:val="both"/>
        <w:rPr>
          <w:rFonts w:ascii="Tahoma" w:hAnsi="Tahoma" w:cs="Tahoma"/>
          <w:sz w:val="24"/>
          <w:szCs w:val="24"/>
        </w:rPr>
      </w:pPr>
      <w:r>
        <w:rPr>
          <w:rFonts w:ascii="Tahoma" w:hAnsi="Tahoma" w:cs="Tahoma"/>
          <w:sz w:val="24"/>
          <w:szCs w:val="24"/>
        </w:rPr>
        <w:tab/>
      </w:r>
      <w:r>
        <w:rPr>
          <w:rFonts w:ascii="Tahoma" w:hAnsi="Tahoma" w:cs="Tahoma"/>
          <w:sz w:val="24"/>
          <w:szCs w:val="24"/>
        </w:rPr>
        <w:tab/>
        <w:t xml:space="preserve">2.4. </w:t>
      </w:r>
      <w:proofErr w:type="gramStart"/>
      <w:r>
        <w:rPr>
          <w:rFonts w:ascii="Tahoma" w:hAnsi="Tahoma" w:cs="Tahoma"/>
          <w:sz w:val="24"/>
          <w:szCs w:val="24"/>
        </w:rPr>
        <w:t>cash</w:t>
      </w:r>
      <w:proofErr w:type="gramEnd"/>
      <w:r>
        <w:rPr>
          <w:rFonts w:ascii="Tahoma" w:hAnsi="Tahoma" w:cs="Tahoma"/>
          <w:sz w:val="24"/>
          <w:szCs w:val="24"/>
        </w:rPr>
        <w:t xml:space="preserve"> in lieu of leave days.</w:t>
      </w:r>
    </w:p>
    <w:p w:rsidR="00530902" w:rsidRDefault="00530902" w:rsidP="000B7A79">
      <w:pPr>
        <w:spacing w:after="0" w:line="360" w:lineRule="auto"/>
        <w:ind w:left="720" w:hanging="720"/>
        <w:jc w:val="both"/>
        <w:rPr>
          <w:rFonts w:ascii="Tahoma" w:hAnsi="Tahoma" w:cs="Tahoma"/>
          <w:sz w:val="24"/>
          <w:szCs w:val="24"/>
        </w:rPr>
      </w:pPr>
    </w:p>
    <w:p w:rsidR="00530902" w:rsidRDefault="00530902" w:rsidP="00530902">
      <w:pPr>
        <w:spacing w:after="0" w:line="360" w:lineRule="auto"/>
        <w:ind w:left="144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The matter is remitted to the applicant for quantification of the dues and return for confirmation to this court.</w:t>
      </w:r>
    </w:p>
    <w:p w:rsidR="00530902" w:rsidRDefault="00530902" w:rsidP="00530902">
      <w:pPr>
        <w:spacing w:after="0" w:line="360" w:lineRule="auto"/>
        <w:ind w:left="1440" w:hanging="720"/>
        <w:jc w:val="both"/>
        <w:rPr>
          <w:rFonts w:ascii="Tahoma" w:hAnsi="Tahoma" w:cs="Tahoma"/>
          <w:sz w:val="24"/>
          <w:szCs w:val="24"/>
        </w:rPr>
      </w:pPr>
    </w:p>
    <w:p w:rsidR="00530902" w:rsidRDefault="00530902" w:rsidP="00530902">
      <w:pPr>
        <w:spacing w:after="0" w:line="360" w:lineRule="auto"/>
        <w:ind w:left="144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t>Costs shall be in the cause.</w:t>
      </w:r>
    </w:p>
    <w:p w:rsidR="000B7A79" w:rsidRDefault="000B7A79" w:rsidP="0048025E">
      <w:pPr>
        <w:spacing w:after="0" w:line="360" w:lineRule="auto"/>
        <w:jc w:val="both"/>
        <w:rPr>
          <w:rFonts w:ascii="Tahoma" w:hAnsi="Tahoma" w:cs="Tahoma"/>
          <w:sz w:val="24"/>
          <w:szCs w:val="24"/>
        </w:rPr>
      </w:pPr>
    </w:p>
    <w:p w:rsidR="009E79BC" w:rsidRPr="00661FBA" w:rsidRDefault="009E79BC" w:rsidP="008545BC">
      <w:pPr>
        <w:spacing w:after="0" w:line="360" w:lineRule="auto"/>
        <w:ind w:left="720" w:hanging="720"/>
        <w:jc w:val="both"/>
        <w:rPr>
          <w:rFonts w:ascii="Tahoma" w:hAnsi="Tahoma" w:cs="Tahoma"/>
          <w:sz w:val="24"/>
          <w:szCs w:val="24"/>
        </w:rPr>
      </w:pPr>
    </w:p>
    <w:p w:rsidR="00FC4142" w:rsidRDefault="00FC4142" w:rsidP="00017543">
      <w:pPr>
        <w:spacing w:after="0" w:line="360" w:lineRule="auto"/>
        <w:jc w:val="both"/>
        <w:rPr>
          <w:rFonts w:ascii="Tahoma" w:hAnsi="Tahoma" w:cs="Tahoma"/>
          <w:b/>
          <w:sz w:val="24"/>
          <w:szCs w:val="24"/>
        </w:rPr>
      </w:pPr>
    </w:p>
    <w:p w:rsidR="00FC4142" w:rsidRDefault="00B57B25" w:rsidP="00017543">
      <w:pPr>
        <w:spacing w:after="0" w:line="360" w:lineRule="auto"/>
        <w:jc w:val="both"/>
        <w:rPr>
          <w:rFonts w:ascii="Tahoma" w:hAnsi="Tahoma" w:cs="Tahoma"/>
          <w:b/>
          <w:sz w:val="24"/>
          <w:szCs w:val="24"/>
        </w:rPr>
      </w:pPr>
      <w:r>
        <w:rPr>
          <w:rFonts w:ascii="Tahoma" w:hAnsi="Tahoma" w:cs="Tahoma"/>
          <w:b/>
          <w:sz w:val="24"/>
          <w:szCs w:val="24"/>
        </w:rPr>
        <w:tab/>
      </w:r>
    </w:p>
    <w:p w:rsidR="006F513E" w:rsidRPr="00B57B25" w:rsidRDefault="00B57B25" w:rsidP="00017543">
      <w:pPr>
        <w:spacing w:after="0" w:line="360" w:lineRule="auto"/>
        <w:jc w:val="both"/>
        <w:rPr>
          <w:rFonts w:ascii="Tahoma" w:hAnsi="Tahoma" w:cs="Tahoma"/>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sectPr w:rsidR="006F513E" w:rsidRPr="00B57B25"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D8D" w:rsidRDefault="00226D8D" w:rsidP="000A738D">
      <w:pPr>
        <w:spacing w:after="0" w:line="240" w:lineRule="auto"/>
      </w:pPr>
      <w:r>
        <w:separator/>
      </w:r>
    </w:p>
  </w:endnote>
  <w:endnote w:type="continuationSeparator" w:id="0">
    <w:p w:rsidR="00226D8D" w:rsidRDefault="00226D8D"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D8D" w:rsidRDefault="00226D8D" w:rsidP="000A738D">
      <w:pPr>
        <w:spacing w:after="0" w:line="240" w:lineRule="auto"/>
      </w:pPr>
      <w:r>
        <w:separator/>
      </w:r>
    </w:p>
  </w:footnote>
  <w:footnote w:type="continuationSeparator" w:id="0">
    <w:p w:rsidR="00226D8D" w:rsidRDefault="00226D8D"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D13258" w:rsidRDefault="00D13258">
        <w:pPr>
          <w:pStyle w:val="Header"/>
          <w:jc w:val="right"/>
          <w:rPr>
            <w:noProof/>
          </w:rPr>
        </w:pPr>
        <w:r>
          <w:fldChar w:fldCharType="begin"/>
        </w:r>
        <w:r>
          <w:instrText xml:space="preserve"> PAGE   \* MERGEFORMAT </w:instrText>
        </w:r>
        <w:r>
          <w:fldChar w:fldCharType="separate"/>
        </w:r>
        <w:r w:rsidR="00DE4937">
          <w:rPr>
            <w:noProof/>
          </w:rPr>
          <w:t>6</w:t>
        </w:r>
        <w:r>
          <w:rPr>
            <w:noProof/>
          </w:rPr>
          <w:fldChar w:fldCharType="end"/>
        </w:r>
      </w:p>
      <w:p w:rsidR="00D13258" w:rsidRDefault="00D13258">
        <w:pPr>
          <w:pStyle w:val="Header"/>
          <w:jc w:val="right"/>
          <w:rPr>
            <w:noProof/>
          </w:rPr>
        </w:pPr>
        <w:r>
          <w:rPr>
            <w:noProof/>
          </w:rPr>
          <w:t>JUDGMENT NO. LC/H/</w:t>
        </w:r>
        <w:r w:rsidR="00F07B16">
          <w:rPr>
            <w:noProof/>
          </w:rPr>
          <w:t>61</w:t>
        </w:r>
        <w:r>
          <w:rPr>
            <w:noProof/>
          </w:rPr>
          <w:t>/2022</w:t>
        </w:r>
      </w:p>
      <w:p w:rsidR="00D13258" w:rsidRDefault="00D13258">
        <w:pPr>
          <w:pStyle w:val="Header"/>
          <w:jc w:val="right"/>
        </w:pPr>
        <w:r>
          <w:rPr>
            <w:noProof/>
          </w:rPr>
          <w:t>CASE NO. LC/H/191/22</w:t>
        </w:r>
      </w:p>
    </w:sdtContent>
  </w:sdt>
  <w:p w:rsidR="00D13258" w:rsidRDefault="00D132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091B"/>
    <w:rsid w:val="000015D8"/>
    <w:rsid w:val="000016B6"/>
    <w:rsid w:val="00001BAE"/>
    <w:rsid w:val="0000758D"/>
    <w:rsid w:val="00007F52"/>
    <w:rsid w:val="000127FC"/>
    <w:rsid w:val="00017543"/>
    <w:rsid w:val="00020F7A"/>
    <w:rsid w:val="00022549"/>
    <w:rsid w:val="0003192E"/>
    <w:rsid w:val="00032398"/>
    <w:rsid w:val="00033B06"/>
    <w:rsid w:val="000402CC"/>
    <w:rsid w:val="0004342B"/>
    <w:rsid w:val="00043598"/>
    <w:rsid w:val="00043E7C"/>
    <w:rsid w:val="000478E8"/>
    <w:rsid w:val="000503C1"/>
    <w:rsid w:val="000504F9"/>
    <w:rsid w:val="000524F8"/>
    <w:rsid w:val="00054F2B"/>
    <w:rsid w:val="0005598B"/>
    <w:rsid w:val="000602B3"/>
    <w:rsid w:val="0007028F"/>
    <w:rsid w:val="00071637"/>
    <w:rsid w:val="000754AE"/>
    <w:rsid w:val="00085EB6"/>
    <w:rsid w:val="00087A2D"/>
    <w:rsid w:val="000913EE"/>
    <w:rsid w:val="0009444D"/>
    <w:rsid w:val="0009757E"/>
    <w:rsid w:val="000A1625"/>
    <w:rsid w:val="000A1861"/>
    <w:rsid w:val="000A3B30"/>
    <w:rsid w:val="000A738D"/>
    <w:rsid w:val="000B716B"/>
    <w:rsid w:val="000B7185"/>
    <w:rsid w:val="000B7A79"/>
    <w:rsid w:val="000B7D3D"/>
    <w:rsid w:val="000C0044"/>
    <w:rsid w:val="000C0C8B"/>
    <w:rsid w:val="000C2B3F"/>
    <w:rsid w:val="000C57D1"/>
    <w:rsid w:val="000C6137"/>
    <w:rsid w:val="000D3116"/>
    <w:rsid w:val="000D5340"/>
    <w:rsid w:val="000E3CFB"/>
    <w:rsid w:val="000F0E50"/>
    <w:rsid w:val="000F11CD"/>
    <w:rsid w:val="000F4543"/>
    <w:rsid w:val="000F7D46"/>
    <w:rsid w:val="0010100E"/>
    <w:rsid w:val="00103BD8"/>
    <w:rsid w:val="00103CC0"/>
    <w:rsid w:val="00107211"/>
    <w:rsid w:val="00113FA4"/>
    <w:rsid w:val="00122BA5"/>
    <w:rsid w:val="0012548C"/>
    <w:rsid w:val="00135442"/>
    <w:rsid w:val="00147852"/>
    <w:rsid w:val="00161C4D"/>
    <w:rsid w:val="0016418B"/>
    <w:rsid w:val="001671A7"/>
    <w:rsid w:val="0017332C"/>
    <w:rsid w:val="00173565"/>
    <w:rsid w:val="00176E37"/>
    <w:rsid w:val="00182EB6"/>
    <w:rsid w:val="00183F0D"/>
    <w:rsid w:val="00184330"/>
    <w:rsid w:val="00184DBF"/>
    <w:rsid w:val="00192A00"/>
    <w:rsid w:val="001A0F30"/>
    <w:rsid w:val="001A6328"/>
    <w:rsid w:val="001B2ACE"/>
    <w:rsid w:val="001B5C94"/>
    <w:rsid w:val="001C23A4"/>
    <w:rsid w:val="001D10B1"/>
    <w:rsid w:val="001D2553"/>
    <w:rsid w:val="001D52AF"/>
    <w:rsid w:val="001D56CA"/>
    <w:rsid w:val="001D64A9"/>
    <w:rsid w:val="001D6764"/>
    <w:rsid w:val="001E6550"/>
    <w:rsid w:val="001F0AB8"/>
    <w:rsid w:val="001F6EB7"/>
    <w:rsid w:val="0020542B"/>
    <w:rsid w:val="00217045"/>
    <w:rsid w:val="00217ECA"/>
    <w:rsid w:val="00220660"/>
    <w:rsid w:val="00221C49"/>
    <w:rsid w:val="00226D8D"/>
    <w:rsid w:val="00234972"/>
    <w:rsid w:val="00235DD7"/>
    <w:rsid w:val="00237780"/>
    <w:rsid w:val="00244C28"/>
    <w:rsid w:val="00252829"/>
    <w:rsid w:val="002550A4"/>
    <w:rsid w:val="00256B4B"/>
    <w:rsid w:val="002576F7"/>
    <w:rsid w:val="00267244"/>
    <w:rsid w:val="00267FD8"/>
    <w:rsid w:val="0027077C"/>
    <w:rsid w:val="0027480E"/>
    <w:rsid w:val="00291C65"/>
    <w:rsid w:val="00294B1C"/>
    <w:rsid w:val="00295D74"/>
    <w:rsid w:val="002970A5"/>
    <w:rsid w:val="002A018D"/>
    <w:rsid w:val="002A2B82"/>
    <w:rsid w:val="002A35AF"/>
    <w:rsid w:val="002A457F"/>
    <w:rsid w:val="002A47F8"/>
    <w:rsid w:val="002A4BEE"/>
    <w:rsid w:val="002A5F50"/>
    <w:rsid w:val="002A6875"/>
    <w:rsid w:val="002B0E4F"/>
    <w:rsid w:val="002B1755"/>
    <w:rsid w:val="002B1D19"/>
    <w:rsid w:val="002B7F53"/>
    <w:rsid w:val="002C1E99"/>
    <w:rsid w:val="002C3014"/>
    <w:rsid w:val="002C3314"/>
    <w:rsid w:val="002C5782"/>
    <w:rsid w:val="002C67FF"/>
    <w:rsid w:val="002C7D61"/>
    <w:rsid w:val="002D186F"/>
    <w:rsid w:val="002D214F"/>
    <w:rsid w:val="002D5CD0"/>
    <w:rsid w:val="002D77AD"/>
    <w:rsid w:val="002E0561"/>
    <w:rsid w:val="002E09CA"/>
    <w:rsid w:val="002E4B94"/>
    <w:rsid w:val="002E75E8"/>
    <w:rsid w:val="002F10FC"/>
    <w:rsid w:val="002F22C2"/>
    <w:rsid w:val="0030018A"/>
    <w:rsid w:val="003007DE"/>
    <w:rsid w:val="00301F30"/>
    <w:rsid w:val="0030228D"/>
    <w:rsid w:val="00303163"/>
    <w:rsid w:val="0031105D"/>
    <w:rsid w:val="00311833"/>
    <w:rsid w:val="00317469"/>
    <w:rsid w:val="00322FC4"/>
    <w:rsid w:val="00324D74"/>
    <w:rsid w:val="00324E36"/>
    <w:rsid w:val="003260F1"/>
    <w:rsid w:val="0032786F"/>
    <w:rsid w:val="0033175A"/>
    <w:rsid w:val="00335DAB"/>
    <w:rsid w:val="00337DD5"/>
    <w:rsid w:val="0034179A"/>
    <w:rsid w:val="00342C4F"/>
    <w:rsid w:val="00353023"/>
    <w:rsid w:val="003531B3"/>
    <w:rsid w:val="00354304"/>
    <w:rsid w:val="00357FDF"/>
    <w:rsid w:val="0036462E"/>
    <w:rsid w:val="00364C3C"/>
    <w:rsid w:val="003658FC"/>
    <w:rsid w:val="00365B16"/>
    <w:rsid w:val="0037320F"/>
    <w:rsid w:val="00376E7A"/>
    <w:rsid w:val="00377D5E"/>
    <w:rsid w:val="003841CE"/>
    <w:rsid w:val="003851BE"/>
    <w:rsid w:val="00390C00"/>
    <w:rsid w:val="00391093"/>
    <w:rsid w:val="00392EC6"/>
    <w:rsid w:val="00394677"/>
    <w:rsid w:val="003A34B7"/>
    <w:rsid w:val="003A6A1B"/>
    <w:rsid w:val="003A6DEA"/>
    <w:rsid w:val="003A7266"/>
    <w:rsid w:val="003A7AF9"/>
    <w:rsid w:val="003C1188"/>
    <w:rsid w:val="003C1260"/>
    <w:rsid w:val="003C262F"/>
    <w:rsid w:val="003C6119"/>
    <w:rsid w:val="003D12D4"/>
    <w:rsid w:val="003D1B3C"/>
    <w:rsid w:val="003D1BF6"/>
    <w:rsid w:val="003D1D71"/>
    <w:rsid w:val="003D427C"/>
    <w:rsid w:val="003D50EC"/>
    <w:rsid w:val="003D62F2"/>
    <w:rsid w:val="003E1444"/>
    <w:rsid w:val="003E4C32"/>
    <w:rsid w:val="003E51EE"/>
    <w:rsid w:val="003E7D57"/>
    <w:rsid w:val="003F7EA4"/>
    <w:rsid w:val="004014E9"/>
    <w:rsid w:val="00401950"/>
    <w:rsid w:val="00402F1F"/>
    <w:rsid w:val="004030B9"/>
    <w:rsid w:val="00414015"/>
    <w:rsid w:val="00415A2E"/>
    <w:rsid w:val="00415CD7"/>
    <w:rsid w:val="0041664F"/>
    <w:rsid w:val="004257B5"/>
    <w:rsid w:val="00425855"/>
    <w:rsid w:val="00434920"/>
    <w:rsid w:val="004355EA"/>
    <w:rsid w:val="0043596E"/>
    <w:rsid w:val="00435E59"/>
    <w:rsid w:val="00437A8B"/>
    <w:rsid w:val="004435E6"/>
    <w:rsid w:val="00446D16"/>
    <w:rsid w:val="0045210F"/>
    <w:rsid w:val="00461E85"/>
    <w:rsid w:val="0047007D"/>
    <w:rsid w:val="004776FD"/>
    <w:rsid w:val="0048025E"/>
    <w:rsid w:val="004825A3"/>
    <w:rsid w:val="00486A61"/>
    <w:rsid w:val="00487780"/>
    <w:rsid w:val="00490014"/>
    <w:rsid w:val="00496452"/>
    <w:rsid w:val="004A14D4"/>
    <w:rsid w:val="004A34BE"/>
    <w:rsid w:val="004B059B"/>
    <w:rsid w:val="004B6AB4"/>
    <w:rsid w:val="004C09A1"/>
    <w:rsid w:val="004D460D"/>
    <w:rsid w:val="004E21F2"/>
    <w:rsid w:val="004E587B"/>
    <w:rsid w:val="004E7122"/>
    <w:rsid w:val="004F14E4"/>
    <w:rsid w:val="004F2789"/>
    <w:rsid w:val="004F2A1A"/>
    <w:rsid w:val="004F546F"/>
    <w:rsid w:val="004F56A1"/>
    <w:rsid w:val="004F6659"/>
    <w:rsid w:val="00501A43"/>
    <w:rsid w:val="005027E9"/>
    <w:rsid w:val="005029B8"/>
    <w:rsid w:val="0051020D"/>
    <w:rsid w:val="00513C9D"/>
    <w:rsid w:val="00515F19"/>
    <w:rsid w:val="00523BF1"/>
    <w:rsid w:val="00525279"/>
    <w:rsid w:val="005257D5"/>
    <w:rsid w:val="00526314"/>
    <w:rsid w:val="00530902"/>
    <w:rsid w:val="00531132"/>
    <w:rsid w:val="0053130E"/>
    <w:rsid w:val="00533469"/>
    <w:rsid w:val="005339AB"/>
    <w:rsid w:val="00533FF3"/>
    <w:rsid w:val="005406E5"/>
    <w:rsid w:val="00542545"/>
    <w:rsid w:val="005459E9"/>
    <w:rsid w:val="00547D21"/>
    <w:rsid w:val="005508CF"/>
    <w:rsid w:val="0055330D"/>
    <w:rsid w:val="00554C9D"/>
    <w:rsid w:val="00556BDD"/>
    <w:rsid w:val="00557561"/>
    <w:rsid w:val="005611BA"/>
    <w:rsid w:val="00563F19"/>
    <w:rsid w:val="0056568B"/>
    <w:rsid w:val="0056646F"/>
    <w:rsid w:val="00570CE7"/>
    <w:rsid w:val="00571999"/>
    <w:rsid w:val="0057535E"/>
    <w:rsid w:val="0057583E"/>
    <w:rsid w:val="00576706"/>
    <w:rsid w:val="00577402"/>
    <w:rsid w:val="00581C79"/>
    <w:rsid w:val="00585EA0"/>
    <w:rsid w:val="00590FCA"/>
    <w:rsid w:val="0059722E"/>
    <w:rsid w:val="005A1046"/>
    <w:rsid w:val="005A3ED1"/>
    <w:rsid w:val="005A3FE6"/>
    <w:rsid w:val="005A4D5E"/>
    <w:rsid w:val="005A5066"/>
    <w:rsid w:val="005B0DF8"/>
    <w:rsid w:val="005B13E5"/>
    <w:rsid w:val="005B3650"/>
    <w:rsid w:val="005B49B1"/>
    <w:rsid w:val="005B4F56"/>
    <w:rsid w:val="005C12F7"/>
    <w:rsid w:val="005C2A00"/>
    <w:rsid w:val="005C3500"/>
    <w:rsid w:val="005C3DBD"/>
    <w:rsid w:val="005D0D89"/>
    <w:rsid w:val="005D0D95"/>
    <w:rsid w:val="005D2E10"/>
    <w:rsid w:val="005D764E"/>
    <w:rsid w:val="005E01C7"/>
    <w:rsid w:val="005E6462"/>
    <w:rsid w:val="005E7EF8"/>
    <w:rsid w:val="005F7793"/>
    <w:rsid w:val="006146F6"/>
    <w:rsid w:val="006149AD"/>
    <w:rsid w:val="006200B8"/>
    <w:rsid w:val="00621F6C"/>
    <w:rsid w:val="0062571A"/>
    <w:rsid w:val="0063178E"/>
    <w:rsid w:val="00631A61"/>
    <w:rsid w:val="00636332"/>
    <w:rsid w:val="006408F9"/>
    <w:rsid w:val="00640C4E"/>
    <w:rsid w:val="0064200D"/>
    <w:rsid w:val="006440A4"/>
    <w:rsid w:val="006511E3"/>
    <w:rsid w:val="00651B2F"/>
    <w:rsid w:val="006540A7"/>
    <w:rsid w:val="006573BA"/>
    <w:rsid w:val="00661FBA"/>
    <w:rsid w:val="00662CC2"/>
    <w:rsid w:val="0066559B"/>
    <w:rsid w:val="00667D58"/>
    <w:rsid w:val="00667DDF"/>
    <w:rsid w:val="00667F79"/>
    <w:rsid w:val="00670C83"/>
    <w:rsid w:val="00675E9B"/>
    <w:rsid w:val="0067671F"/>
    <w:rsid w:val="00676E08"/>
    <w:rsid w:val="00680FB8"/>
    <w:rsid w:val="00681F01"/>
    <w:rsid w:val="00683945"/>
    <w:rsid w:val="00684032"/>
    <w:rsid w:val="00685A0C"/>
    <w:rsid w:val="006927DD"/>
    <w:rsid w:val="00696DF4"/>
    <w:rsid w:val="00697764"/>
    <w:rsid w:val="006A1BA0"/>
    <w:rsid w:val="006A4222"/>
    <w:rsid w:val="006A4686"/>
    <w:rsid w:val="006B2019"/>
    <w:rsid w:val="006C1DC5"/>
    <w:rsid w:val="006C5BFE"/>
    <w:rsid w:val="006C6682"/>
    <w:rsid w:val="006D0181"/>
    <w:rsid w:val="006D2FBD"/>
    <w:rsid w:val="006D6636"/>
    <w:rsid w:val="006D6B42"/>
    <w:rsid w:val="006E0181"/>
    <w:rsid w:val="006E3058"/>
    <w:rsid w:val="006E4663"/>
    <w:rsid w:val="006F0795"/>
    <w:rsid w:val="006F1D14"/>
    <w:rsid w:val="006F2236"/>
    <w:rsid w:val="006F2830"/>
    <w:rsid w:val="006F295D"/>
    <w:rsid w:val="006F3C79"/>
    <w:rsid w:val="006F4EB0"/>
    <w:rsid w:val="006F513E"/>
    <w:rsid w:val="006F5A96"/>
    <w:rsid w:val="00700E38"/>
    <w:rsid w:val="00704AFC"/>
    <w:rsid w:val="00705FD2"/>
    <w:rsid w:val="00710419"/>
    <w:rsid w:val="007108D9"/>
    <w:rsid w:val="00716126"/>
    <w:rsid w:val="00717125"/>
    <w:rsid w:val="00717F76"/>
    <w:rsid w:val="007267E2"/>
    <w:rsid w:val="00730A11"/>
    <w:rsid w:val="00735BD1"/>
    <w:rsid w:val="007403B5"/>
    <w:rsid w:val="00740DF3"/>
    <w:rsid w:val="00747594"/>
    <w:rsid w:val="00751ED4"/>
    <w:rsid w:val="00770591"/>
    <w:rsid w:val="0077340B"/>
    <w:rsid w:val="0077637D"/>
    <w:rsid w:val="00784253"/>
    <w:rsid w:val="0078520B"/>
    <w:rsid w:val="0079005F"/>
    <w:rsid w:val="0079166B"/>
    <w:rsid w:val="007918BD"/>
    <w:rsid w:val="007924B0"/>
    <w:rsid w:val="00793184"/>
    <w:rsid w:val="00793F9F"/>
    <w:rsid w:val="00794360"/>
    <w:rsid w:val="00794D8F"/>
    <w:rsid w:val="00795D2D"/>
    <w:rsid w:val="007A4375"/>
    <w:rsid w:val="007A7CEA"/>
    <w:rsid w:val="007B22EA"/>
    <w:rsid w:val="007B3005"/>
    <w:rsid w:val="007B4904"/>
    <w:rsid w:val="007B5528"/>
    <w:rsid w:val="007B6F68"/>
    <w:rsid w:val="007C208A"/>
    <w:rsid w:val="007C57F1"/>
    <w:rsid w:val="007C75ED"/>
    <w:rsid w:val="007D0367"/>
    <w:rsid w:val="007D0E34"/>
    <w:rsid w:val="007D2D1C"/>
    <w:rsid w:val="007D36A0"/>
    <w:rsid w:val="007D66D3"/>
    <w:rsid w:val="007D6E58"/>
    <w:rsid w:val="007E08BD"/>
    <w:rsid w:val="007F167F"/>
    <w:rsid w:val="0080015C"/>
    <w:rsid w:val="00804025"/>
    <w:rsid w:val="00807328"/>
    <w:rsid w:val="00810368"/>
    <w:rsid w:val="008103BB"/>
    <w:rsid w:val="0081627C"/>
    <w:rsid w:val="00817806"/>
    <w:rsid w:val="008231D2"/>
    <w:rsid w:val="008232AE"/>
    <w:rsid w:val="008248FC"/>
    <w:rsid w:val="0083020E"/>
    <w:rsid w:val="00833B88"/>
    <w:rsid w:val="00834B23"/>
    <w:rsid w:val="008351E2"/>
    <w:rsid w:val="00842E9F"/>
    <w:rsid w:val="00843877"/>
    <w:rsid w:val="00845E02"/>
    <w:rsid w:val="00847E06"/>
    <w:rsid w:val="0085292A"/>
    <w:rsid w:val="008545BC"/>
    <w:rsid w:val="008553EF"/>
    <w:rsid w:val="0085545E"/>
    <w:rsid w:val="00863F78"/>
    <w:rsid w:val="008715C9"/>
    <w:rsid w:val="00873F6E"/>
    <w:rsid w:val="0087452E"/>
    <w:rsid w:val="00874C9B"/>
    <w:rsid w:val="008778AF"/>
    <w:rsid w:val="00881A24"/>
    <w:rsid w:val="008826AD"/>
    <w:rsid w:val="00895E54"/>
    <w:rsid w:val="008A76B6"/>
    <w:rsid w:val="008B0F23"/>
    <w:rsid w:val="008D1EC9"/>
    <w:rsid w:val="008D2CD9"/>
    <w:rsid w:val="008D3277"/>
    <w:rsid w:val="008D6967"/>
    <w:rsid w:val="008D7A39"/>
    <w:rsid w:val="008E0FAB"/>
    <w:rsid w:val="008E17A5"/>
    <w:rsid w:val="008E36A1"/>
    <w:rsid w:val="008E7235"/>
    <w:rsid w:val="008E734D"/>
    <w:rsid w:val="008F4426"/>
    <w:rsid w:val="00902ECE"/>
    <w:rsid w:val="0090653B"/>
    <w:rsid w:val="00911B10"/>
    <w:rsid w:val="0091517C"/>
    <w:rsid w:val="00916912"/>
    <w:rsid w:val="00916C88"/>
    <w:rsid w:val="009176E4"/>
    <w:rsid w:val="00923686"/>
    <w:rsid w:val="00924D52"/>
    <w:rsid w:val="00925B29"/>
    <w:rsid w:val="009335EF"/>
    <w:rsid w:val="009340F5"/>
    <w:rsid w:val="00935249"/>
    <w:rsid w:val="009366FF"/>
    <w:rsid w:val="00937CB4"/>
    <w:rsid w:val="00944738"/>
    <w:rsid w:val="009464D6"/>
    <w:rsid w:val="00951BC5"/>
    <w:rsid w:val="00952725"/>
    <w:rsid w:val="00953977"/>
    <w:rsid w:val="00953E3E"/>
    <w:rsid w:val="00954E0B"/>
    <w:rsid w:val="00961361"/>
    <w:rsid w:val="00962086"/>
    <w:rsid w:val="00963EB9"/>
    <w:rsid w:val="0098180A"/>
    <w:rsid w:val="009840A3"/>
    <w:rsid w:val="0098674F"/>
    <w:rsid w:val="00992C1E"/>
    <w:rsid w:val="00996BA3"/>
    <w:rsid w:val="009A11F8"/>
    <w:rsid w:val="009B0121"/>
    <w:rsid w:val="009B5FAC"/>
    <w:rsid w:val="009C4764"/>
    <w:rsid w:val="009D03A1"/>
    <w:rsid w:val="009D0E6A"/>
    <w:rsid w:val="009D24ED"/>
    <w:rsid w:val="009D5CA4"/>
    <w:rsid w:val="009D6360"/>
    <w:rsid w:val="009E0E21"/>
    <w:rsid w:val="009E38AF"/>
    <w:rsid w:val="009E79BC"/>
    <w:rsid w:val="009F556F"/>
    <w:rsid w:val="009F708B"/>
    <w:rsid w:val="00A04503"/>
    <w:rsid w:val="00A1761F"/>
    <w:rsid w:val="00A17D00"/>
    <w:rsid w:val="00A33B0C"/>
    <w:rsid w:val="00A3401C"/>
    <w:rsid w:val="00A34FC7"/>
    <w:rsid w:val="00A352FB"/>
    <w:rsid w:val="00A35B48"/>
    <w:rsid w:val="00A36F2C"/>
    <w:rsid w:val="00A36F9F"/>
    <w:rsid w:val="00A47282"/>
    <w:rsid w:val="00A50E89"/>
    <w:rsid w:val="00A5187D"/>
    <w:rsid w:val="00A578FD"/>
    <w:rsid w:val="00A66036"/>
    <w:rsid w:val="00A7055C"/>
    <w:rsid w:val="00A70B67"/>
    <w:rsid w:val="00A74518"/>
    <w:rsid w:val="00A844CA"/>
    <w:rsid w:val="00A918D3"/>
    <w:rsid w:val="00A919FF"/>
    <w:rsid w:val="00A96317"/>
    <w:rsid w:val="00AA3660"/>
    <w:rsid w:val="00AB0476"/>
    <w:rsid w:val="00AB209E"/>
    <w:rsid w:val="00AB24F9"/>
    <w:rsid w:val="00AB515F"/>
    <w:rsid w:val="00AC49BA"/>
    <w:rsid w:val="00AC71BC"/>
    <w:rsid w:val="00AD6477"/>
    <w:rsid w:val="00AE7B0E"/>
    <w:rsid w:val="00AF30DC"/>
    <w:rsid w:val="00B0054A"/>
    <w:rsid w:val="00B06267"/>
    <w:rsid w:val="00B07283"/>
    <w:rsid w:val="00B119C6"/>
    <w:rsid w:val="00B11C69"/>
    <w:rsid w:val="00B1415E"/>
    <w:rsid w:val="00B1576A"/>
    <w:rsid w:val="00B15A68"/>
    <w:rsid w:val="00B15E13"/>
    <w:rsid w:val="00B16687"/>
    <w:rsid w:val="00B23AB6"/>
    <w:rsid w:val="00B23EC1"/>
    <w:rsid w:val="00B32E56"/>
    <w:rsid w:val="00B3302E"/>
    <w:rsid w:val="00B331BD"/>
    <w:rsid w:val="00B43471"/>
    <w:rsid w:val="00B469F8"/>
    <w:rsid w:val="00B515A1"/>
    <w:rsid w:val="00B51C49"/>
    <w:rsid w:val="00B54364"/>
    <w:rsid w:val="00B57B25"/>
    <w:rsid w:val="00B62887"/>
    <w:rsid w:val="00B702E0"/>
    <w:rsid w:val="00B73EBC"/>
    <w:rsid w:val="00B7625C"/>
    <w:rsid w:val="00B76998"/>
    <w:rsid w:val="00B80A59"/>
    <w:rsid w:val="00B83DFA"/>
    <w:rsid w:val="00B85CF8"/>
    <w:rsid w:val="00B86976"/>
    <w:rsid w:val="00B873A1"/>
    <w:rsid w:val="00B90604"/>
    <w:rsid w:val="00B9518D"/>
    <w:rsid w:val="00BA0525"/>
    <w:rsid w:val="00BA0C4D"/>
    <w:rsid w:val="00BA3898"/>
    <w:rsid w:val="00BA689E"/>
    <w:rsid w:val="00BB76D3"/>
    <w:rsid w:val="00BC1F38"/>
    <w:rsid w:val="00BC30ED"/>
    <w:rsid w:val="00BC3B91"/>
    <w:rsid w:val="00BC4AE2"/>
    <w:rsid w:val="00BC4D0D"/>
    <w:rsid w:val="00BC7ABD"/>
    <w:rsid w:val="00BD1014"/>
    <w:rsid w:val="00BD4F2C"/>
    <w:rsid w:val="00BD63F3"/>
    <w:rsid w:val="00BF090E"/>
    <w:rsid w:val="00BF17E2"/>
    <w:rsid w:val="00BF1C98"/>
    <w:rsid w:val="00BF3C24"/>
    <w:rsid w:val="00BF3FA7"/>
    <w:rsid w:val="00C01D63"/>
    <w:rsid w:val="00C01FB1"/>
    <w:rsid w:val="00C049DC"/>
    <w:rsid w:val="00C0752A"/>
    <w:rsid w:val="00C07683"/>
    <w:rsid w:val="00C118FA"/>
    <w:rsid w:val="00C15177"/>
    <w:rsid w:val="00C157C6"/>
    <w:rsid w:val="00C15CFB"/>
    <w:rsid w:val="00C178B1"/>
    <w:rsid w:val="00C30C79"/>
    <w:rsid w:val="00C321DB"/>
    <w:rsid w:val="00C378EE"/>
    <w:rsid w:val="00C42320"/>
    <w:rsid w:val="00C44DC5"/>
    <w:rsid w:val="00C46729"/>
    <w:rsid w:val="00C510DC"/>
    <w:rsid w:val="00C547B3"/>
    <w:rsid w:val="00C57386"/>
    <w:rsid w:val="00C61CBD"/>
    <w:rsid w:val="00C62BD7"/>
    <w:rsid w:val="00C71184"/>
    <w:rsid w:val="00C71651"/>
    <w:rsid w:val="00C73CDA"/>
    <w:rsid w:val="00C74F46"/>
    <w:rsid w:val="00C76936"/>
    <w:rsid w:val="00C76D1F"/>
    <w:rsid w:val="00C825AC"/>
    <w:rsid w:val="00C82D18"/>
    <w:rsid w:val="00C87191"/>
    <w:rsid w:val="00C91709"/>
    <w:rsid w:val="00CA1FF1"/>
    <w:rsid w:val="00CB019D"/>
    <w:rsid w:val="00CB5E23"/>
    <w:rsid w:val="00CC24A0"/>
    <w:rsid w:val="00CC2C10"/>
    <w:rsid w:val="00CD1AD1"/>
    <w:rsid w:val="00CD27A0"/>
    <w:rsid w:val="00CD2982"/>
    <w:rsid w:val="00CD2E9F"/>
    <w:rsid w:val="00CD5780"/>
    <w:rsid w:val="00CD5971"/>
    <w:rsid w:val="00CD7DFE"/>
    <w:rsid w:val="00CE5236"/>
    <w:rsid w:val="00CF16CB"/>
    <w:rsid w:val="00D040FC"/>
    <w:rsid w:val="00D10F9A"/>
    <w:rsid w:val="00D13258"/>
    <w:rsid w:val="00D20025"/>
    <w:rsid w:val="00D26B0D"/>
    <w:rsid w:val="00D27E46"/>
    <w:rsid w:val="00D304FE"/>
    <w:rsid w:val="00D31137"/>
    <w:rsid w:val="00D3374E"/>
    <w:rsid w:val="00D34602"/>
    <w:rsid w:val="00D369E0"/>
    <w:rsid w:val="00D4139F"/>
    <w:rsid w:val="00D55C8D"/>
    <w:rsid w:val="00D720DD"/>
    <w:rsid w:val="00D775B4"/>
    <w:rsid w:val="00D921D9"/>
    <w:rsid w:val="00D939B6"/>
    <w:rsid w:val="00D9532F"/>
    <w:rsid w:val="00DA0178"/>
    <w:rsid w:val="00DA1EE5"/>
    <w:rsid w:val="00DA48D2"/>
    <w:rsid w:val="00DA6DEE"/>
    <w:rsid w:val="00DA6F93"/>
    <w:rsid w:val="00DA7277"/>
    <w:rsid w:val="00DB2D44"/>
    <w:rsid w:val="00DC0E73"/>
    <w:rsid w:val="00DC2CEA"/>
    <w:rsid w:val="00DC4C3E"/>
    <w:rsid w:val="00DC6829"/>
    <w:rsid w:val="00DC6928"/>
    <w:rsid w:val="00DD3926"/>
    <w:rsid w:val="00DD6656"/>
    <w:rsid w:val="00DE0D8B"/>
    <w:rsid w:val="00DE3843"/>
    <w:rsid w:val="00DE4937"/>
    <w:rsid w:val="00DE4CBD"/>
    <w:rsid w:val="00DE4EE9"/>
    <w:rsid w:val="00DF1A36"/>
    <w:rsid w:val="00DF2EE9"/>
    <w:rsid w:val="00DF5536"/>
    <w:rsid w:val="00E0050B"/>
    <w:rsid w:val="00E02DD6"/>
    <w:rsid w:val="00E07311"/>
    <w:rsid w:val="00E10525"/>
    <w:rsid w:val="00E15E15"/>
    <w:rsid w:val="00E16E67"/>
    <w:rsid w:val="00E17348"/>
    <w:rsid w:val="00E210FE"/>
    <w:rsid w:val="00E22037"/>
    <w:rsid w:val="00E23174"/>
    <w:rsid w:val="00E265E8"/>
    <w:rsid w:val="00E40DFE"/>
    <w:rsid w:val="00E47BB0"/>
    <w:rsid w:val="00E565D9"/>
    <w:rsid w:val="00E63FBF"/>
    <w:rsid w:val="00E64FA4"/>
    <w:rsid w:val="00E65FF5"/>
    <w:rsid w:val="00E66F1D"/>
    <w:rsid w:val="00E71A2F"/>
    <w:rsid w:val="00E73F34"/>
    <w:rsid w:val="00E843A3"/>
    <w:rsid w:val="00E860B6"/>
    <w:rsid w:val="00E868D4"/>
    <w:rsid w:val="00E91975"/>
    <w:rsid w:val="00E93207"/>
    <w:rsid w:val="00E9498F"/>
    <w:rsid w:val="00EA16DE"/>
    <w:rsid w:val="00EA568A"/>
    <w:rsid w:val="00EB11E1"/>
    <w:rsid w:val="00EB1AE5"/>
    <w:rsid w:val="00EB69C0"/>
    <w:rsid w:val="00EC6BEF"/>
    <w:rsid w:val="00ED17E3"/>
    <w:rsid w:val="00EE1D32"/>
    <w:rsid w:val="00EE2272"/>
    <w:rsid w:val="00EE4321"/>
    <w:rsid w:val="00EE54B5"/>
    <w:rsid w:val="00EE5A0A"/>
    <w:rsid w:val="00EE61C0"/>
    <w:rsid w:val="00F0400D"/>
    <w:rsid w:val="00F07B16"/>
    <w:rsid w:val="00F173AE"/>
    <w:rsid w:val="00F2467E"/>
    <w:rsid w:val="00F3136A"/>
    <w:rsid w:val="00F42193"/>
    <w:rsid w:val="00F4526F"/>
    <w:rsid w:val="00F506B1"/>
    <w:rsid w:val="00F526C8"/>
    <w:rsid w:val="00F536F2"/>
    <w:rsid w:val="00F60598"/>
    <w:rsid w:val="00F60C96"/>
    <w:rsid w:val="00F61827"/>
    <w:rsid w:val="00F71C60"/>
    <w:rsid w:val="00F723CD"/>
    <w:rsid w:val="00F74857"/>
    <w:rsid w:val="00F749CA"/>
    <w:rsid w:val="00F8272D"/>
    <w:rsid w:val="00F8400E"/>
    <w:rsid w:val="00F85611"/>
    <w:rsid w:val="00F86F58"/>
    <w:rsid w:val="00F91716"/>
    <w:rsid w:val="00F92544"/>
    <w:rsid w:val="00F92968"/>
    <w:rsid w:val="00FA3992"/>
    <w:rsid w:val="00FB03CF"/>
    <w:rsid w:val="00FB3F38"/>
    <w:rsid w:val="00FB5FD4"/>
    <w:rsid w:val="00FC0B77"/>
    <w:rsid w:val="00FC0C15"/>
    <w:rsid w:val="00FC1744"/>
    <w:rsid w:val="00FC4142"/>
    <w:rsid w:val="00FC510D"/>
    <w:rsid w:val="00FD4792"/>
    <w:rsid w:val="00FD56D5"/>
    <w:rsid w:val="00FD648D"/>
    <w:rsid w:val="00FD6DA3"/>
    <w:rsid w:val="00FE1272"/>
    <w:rsid w:val="00FF3FC7"/>
    <w:rsid w:val="00FF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03327-FBC9-46A2-A372-EF24E306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cp:revision>
  <cp:lastPrinted>2021-09-10T08:45:00Z</cp:lastPrinted>
  <dcterms:created xsi:type="dcterms:W3CDTF">2022-03-18T09:38:00Z</dcterms:created>
  <dcterms:modified xsi:type="dcterms:W3CDTF">2022-03-18T09:38:00Z</dcterms:modified>
</cp:coreProperties>
</file>