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43F6" w:rsidRDefault="00B743F6" w:rsidP="00B743F6">
      <w:pPr>
        <w:spacing w:after="0"/>
        <w:rPr>
          <w:rFonts w:ascii="Times New Roman" w:hAnsi="Times New Roman" w:cs="Times New Roman"/>
          <w:sz w:val="24"/>
          <w:szCs w:val="24"/>
          <w:lang w:val="en-GB"/>
        </w:rPr>
      </w:pPr>
      <w:bookmarkStart w:id="0" w:name="_GoBack"/>
      <w:bookmarkEnd w:id="0"/>
    </w:p>
    <w:p w:rsidR="00B743F6" w:rsidRDefault="00B743F6" w:rsidP="00B743F6">
      <w:pPr>
        <w:spacing w:after="0"/>
        <w:rPr>
          <w:rFonts w:ascii="Times New Roman" w:hAnsi="Times New Roman" w:cs="Times New Roman"/>
          <w:sz w:val="24"/>
          <w:szCs w:val="24"/>
          <w:lang w:val="en-GB"/>
        </w:rPr>
      </w:pPr>
    </w:p>
    <w:p w:rsidR="007D6A77" w:rsidRPr="00B743F6" w:rsidRDefault="00B743F6" w:rsidP="00B743F6">
      <w:pPr>
        <w:spacing w:after="0"/>
        <w:rPr>
          <w:rFonts w:ascii="Times New Roman" w:hAnsi="Times New Roman" w:cs="Times New Roman"/>
          <w:sz w:val="24"/>
          <w:szCs w:val="24"/>
          <w:lang w:val="en-GB"/>
        </w:rPr>
      </w:pPr>
      <w:r w:rsidRPr="00B743F6">
        <w:rPr>
          <w:rFonts w:ascii="Times New Roman" w:hAnsi="Times New Roman" w:cs="Times New Roman"/>
          <w:sz w:val="24"/>
          <w:szCs w:val="24"/>
          <w:lang w:val="en-GB"/>
        </w:rPr>
        <w:t>JOHN DHOKOTERA</w:t>
      </w:r>
    </w:p>
    <w:p w:rsidR="00B743F6" w:rsidRPr="00B743F6" w:rsidRDefault="00B743F6" w:rsidP="00B743F6">
      <w:pPr>
        <w:spacing w:after="0"/>
        <w:rPr>
          <w:rFonts w:ascii="Times New Roman" w:hAnsi="Times New Roman" w:cs="Times New Roman"/>
          <w:sz w:val="24"/>
          <w:szCs w:val="24"/>
          <w:lang w:val="en-GB"/>
        </w:rPr>
      </w:pPr>
      <w:r>
        <w:rPr>
          <w:rFonts w:ascii="Times New Roman" w:hAnsi="Times New Roman" w:cs="Times New Roman"/>
          <w:sz w:val="24"/>
          <w:szCs w:val="24"/>
          <w:lang w:val="en-GB"/>
        </w:rPr>
        <w:t>v</w:t>
      </w:r>
      <w:r w:rsidRPr="00B743F6">
        <w:rPr>
          <w:rFonts w:ascii="Times New Roman" w:hAnsi="Times New Roman" w:cs="Times New Roman"/>
          <w:sz w:val="24"/>
          <w:szCs w:val="24"/>
          <w:lang w:val="en-GB"/>
        </w:rPr>
        <w:t>ersus</w:t>
      </w:r>
    </w:p>
    <w:p w:rsidR="00B743F6" w:rsidRPr="00B743F6" w:rsidRDefault="00B743F6" w:rsidP="00B743F6">
      <w:pPr>
        <w:spacing w:after="0"/>
        <w:rPr>
          <w:rFonts w:ascii="Times New Roman" w:hAnsi="Times New Roman" w:cs="Times New Roman"/>
          <w:sz w:val="24"/>
          <w:szCs w:val="24"/>
          <w:lang w:val="en-GB"/>
        </w:rPr>
      </w:pPr>
      <w:r w:rsidRPr="00B743F6">
        <w:rPr>
          <w:rFonts w:ascii="Times New Roman" w:hAnsi="Times New Roman" w:cs="Times New Roman"/>
          <w:sz w:val="24"/>
          <w:szCs w:val="24"/>
          <w:lang w:val="en-GB"/>
        </w:rPr>
        <w:t>ZIMBABWE REVENUE AUTHORITY</w:t>
      </w:r>
    </w:p>
    <w:p w:rsidR="00B743F6" w:rsidRDefault="00B743F6" w:rsidP="00B743F6">
      <w:pPr>
        <w:spacing w:after="0"/>
        <w:rPr>
          <w:rFonts w:ascii="Times New Roman" w:hAnsi="Times New Roman" w:cs="Times New Roman"/>
          <w:sz w:val="24"/>
          <w:szCs w:val="24"/>
          <w:lang w:val="en-GB"/>
        </w:rPr>
      </w:pPr>
    </w:p>
    <w:p w:rsidR="00B743F6" w:rsidRPr="00B743F6" w:rsidRDefault="00B743F6" w:rsidP="00B743F6">
      <w:pPr>
        <w:spacing w:after="0"/>
        <w:rPr>
          <w:rFonts w:ascii="Times New Roman" w:hAnsi="Times New Roman" w:cs="Times New Roman"/>
          <w:sz w:val="24"/>
          <w:szCs w:val="24"/>
          <w:lang w:val="en-GB"/>
        </w:rPr>
      </w:pPr>
    </w:p>
    <w:p w:rsidR="00B743F6" w:rsidRPr="00B743F6" w:rsidRDefault="00B743F6" w:rsidP="00B743F6">
      <w:pPr>
        <w:spacing w:after="0"/>
        <w:rPr>
          <w:rFonts w:ascii="Times New Roman" w:hAnsi="Times New Roman" w:cs="Times New Roman"/>
          <w:sz w:val="24"/>
          <w:szCs w:val="24"/>
          <w:lang w:val="en-GB"/>
        </w:rPr>
      </w:pPr>
      <w:r w:rsidRPr="00B743F6">
        <w:rPr>
          <w:rFonts w:ascii="Times New Roman" w:hAnsi="Times New Roman" w:cs="Times New Roman"/>
          <w:sz w:val="24"/>
          <w:szCs w:val="24"/>
          <w:lang w:val="en-GB"/>
        </w:rPr>
        <w:t>HIGH COURT OF ZIMBABWE</w:t>
      </w:r>
    </w:p>
    <w:p w:rsidR="00B743F6" w:rsidRPr="00B743F6" w:rsidRDefault="00B743F6" w:rsidP="00B743F6">
      <w:pPr>
        <w:spacing w:after="0"/>
        <w:rPr>
          <w:rFonts w:ascii="Times New Roman" w:hAnsi="Times New Roman" w:cs="Times New Roman"/>
          <w:sz w:val="24"/>
          <w:szCs w:val="24"/>
          <w:lang w:val="en-GB"/>
        </w:rPr>
      </w:pPr>
      <w:r w:rsidRPr="00B743F6">
        <w:rPr>
          <w:rFonts w:ascii="Times New Roman" w:hAnsi="Times New Roman" w:cs="Times New Roman"/>
          <w:sz w:val="24"/>
          <w:szCs w:val="24"/>
          <w:lang w:val="en-GB"/>
        </w:rPr>
        <w:t>CHITAPI J</w:t>
      </w:r>
    </w:p>
    <w:p w:rsidR="00B743F6" w:rsidRDefault="00B743F6" w:rsidP="00B743F6">
      <w:pPr>
        <w:spacing w:after="0"/>
        <w:rPr>
          <w:rFonts w:ascii="Times New Roman" w:hAnsi="Times New Roman" w:cs="Times New Roman"/>
          <w:sz w:val="24"/>
          <w:szCs w:val="24"/>
          <w:lang w:val="en-GB"/>
        </w:rPr>
      </w:pPr>
      <w:r w:rsidRPr="00B743F6">
        <w:rPr>
          <w:rFonts w:ascii="Times New Roman" w:hAnsi="Times New Roman" w:cs="Times New Roman"/>
          <w:sz w:val="24"/>
          <w:szCs w:val="24"/>
          <w:lang w:val="en-GB"/>
        </w:rPr>
        <w:t xml:space="preserve">HARARE, </w:t>
      </w:r>
      <w:r>
        <w:rPr>
          <w:rFonts w:ascii="Times New Roman" w:hAnsi="Times New Roman" w:cs="Times New Roman"/>
          <w:sz w:val="24"/>
          <w:szCs w:val="24"/>
          <w:lang w:val="en-GB"/>
        </w:rPr>
        <w:t xml:space="preserve">13 May 2021 </w:t>
      </w:r>
      <w:r w:rsidRPr="00B743F6">
        <w:rPr>
          <w:rFonts w:ascii="Times New Roman" w:hAnsi="Times New Roman" w:cs="Times New Roman"/>
          <w:sz w:val="24"/>
          <w:szCs w:val="24"/>
          <w:lang w:val="en-GB"/>
        </w:rPr>
        <w:t xml:space="preserve">&amp; </w:t>
      </w:r>
      <w:r w:rsidR="003E33C6">
        <w:rPr>
          <w:rFonts w:ascii="Times New Roman" w:hAnsi="Times New Roman" w:cs="Times New Roman"/>
          <w:sz w:val="24"/>
          <w:szCs w:val="24"/>
          <w:lang w:val="en-GB"/>
        </w:rPr>
        <w:t>23 June 2021</w:t>
      </w:r>
    </w:p>
    <w:p w:rsidR="00B743F6" w:rsidRDefault="00B743F6" w:rsidP="00B743F6">
      <w:pPr>
        <w:spacing w:after="0"/>
        <w:rPr>
          <w:rFonts w:ascii="Times New Roman" w:hAnsi="Times New Roman" w:cs="Times New Roman"/>
          <w:sz w:val="24"/>
          <w:szCs w:val="24"/>
          <w:lang w:val="en-GB"/>
        </w:rPr>
      </w:pPr>
    </w:p>
    <w:p w:rsidR="00B743F6" w:rsidRDefault="00B743F6" w:rsidP="00B743F6">
      <w:pPr>
        <w:spacing w:after="0"/>
        <w:rPr>
          <w:rFonts w:ascii="Times New Roman" w:hAnsi="Times New Roman" w:cs="Times New Roman"/>
          <w:b/>
          <w:sz w:val="24"/>
          <w:szCs w:val="24"/>
          <w:lang w:val="en-GB"/>
        </w:rPr>
      </w:pPr>
      <w:r w:rsidRPr="00B743F6">
        <w:rPr>
          <w:rFonts w:ascii="Times New Roman" w:hAnsi="Times New Roman" w:cs="Times New Roman"/>
          <w:b/>
          <w:sz w:val="24"/>
          <w:szCs w:val="24"/>
          <w:lang w:val="en-GB"/>
        </w:rPr>
        <w:t>Application for an Interdict</w:t>
      </w:r>
    </w:p>
    <w:p w:rsidR="00B743F6" w:rsidRDefault="00B743F6" w:rsidP="00B743F6">
      <w:pPr>
        <w:spacing w:after="0"/>
        <w:rPr>
          <w:rFonts w:ascii="Times New Roman" w:hAnsi="Times New Roman" w:cs="Times New Roman"/>
          <w:b/>
          <w:sz w:val="24"/>
          <w:szCs w:val="24"/>
          <w:lang w:val="en-GB"/>
        </w:rPr>
      </w:pPr>
    </w:p>
    <w:p w:rsidR="00B743F6" w:rsidRDefault="00B743F6" w:rsidP="00B743F6">
      <w:pPr>
        <w:spacing w:after="0"/>
        <w:rPr>
          <w:rFonts w:ascii="Times New Roman" w:hAnsi="Times New Roman" w:cs="Times New Roman"/>
          <w:b/>
          <w:sz w:val="24"/>
          <w:szCs w:val="24"/>
          <w:lang w:val="en-GB"/>
        </w:rPr>
      </w:pPr>
    </w:p>
    <w:p w:rsidR="00B743F6" w:rsidRDefault="00B743F6" w:rsidP="00B743F6">
      <w:pPr>
        <w:spacing w:after="0"/>
        <w:rPr>
          <w:rFonts w:ascii="Times New Roman" w:hAnsi="Times New Roman" w:cs="Times New Roman"/>
          <w:sz w:val="24"/>
          <w:szCs w:val="24"/>
          <w:lang w:val="en-GB"/>
        </w:rPr>
      </w:pPr>
      <w:r w:rsidRPr="00B743F6">
        <w:rPr>
          <w:rFonts w:ascii="Times New Roman" w:hAnsi="Times New Roman" w:cs="Times New Roman"/>
          <w:i/>
          <w:sz w:val="24"/>
          <w:szCs w:val="24"/>
          <w:lang w:val="en-GB"/>
        </w:rPr>
        <w:t>N Mashizha</w:t>
      </w:r>
      <w:r w:rsidRPr="00B743F6">
        <w:rPr>
          <w:rFonts w:ascii="Times New Roman" w:hAnsi="Times New Roman" w:cs="Times New Roman"/>
          <w:sz w:val="24"/>
          <w:szCs w:val="24"/>
          <w:lang w:val="en-GB"/>
        </w:rPr>
        <w:t>, for the applicant</w:t>
      </w:r>
    </w:p>
    <w:p w:rsidR="00B743F6" w:rsidRDefault="00B743F6" w:rsidP="00B743F6">
      <w:pPr>
        <w:spacing w:after="0"/>
        <w:rPr>
          <w:rFonts w:ascii="Times New Roman" w:hAnsi="Times New Roman" w:cs="Times New Roman"/>
          <w:sz w:val="24"/>
          <w:szCs w:val="24"/>
          <w:lang w:val="en-GB"/>
        </w:rPr>
      </w:pPr>
      <w:r w:rsidRPr="00B743F6">
        <w:rPr>
          <w:rFonts w:ascii="Times New Roman" w:hAnsi="Times New Roman" w:cs="Times New Roman"/>
          <w:i/>
          <w:sz w:val="24"/>
          <w:szCs w:val="24"/>
          <w:lang w:val="en-GB"/>
        </w:rPr>
        <w:t>L Chipateni</w:t>
      </w:r>
      <w:r>
        <w:rPr>
          <w:rFonts w:ascii="Times New Roman" w:hAnsi="Times New Roman" w:cs="Times New Roman"/>
          <w:sz w:val="24"/>
          <w:szCs w:val="24"/>
          <w:lang w:val="en-GB"/>
        </w:rPr>
        <w:t>, for the respondent</w:t>
      </w:r>
    </w:p>
    <w:p w:rsidR="00B743F6" w:rsidRDefault="00B743F6" w:rsidP="00B743F6">
      <w:pPr>
        <w:spacing w:after="0"/>
        <w:rPr>
          <w:rFonts w:ascii="Times New Roman" w:hAnsi="Times New Roman" w:cs="Times New Roman"/>
          <w:sz w:val="24"/>
          <w:szCs w:val="24"/>
          <w:lang w:val="en-GB"/>
        </w:rPr>
      </w:pPr>
    </w:p>
    <w:p w:rsidR="00B743F6" w:rsidRDefault="00B743F6" w:rsidP="00B743F6">
      <w:pPr>
        <w:spacing w:after="0"/>
        <w:rPr>
          <w:rFonts w:ascii="Times New Roman" w:hAnsi="Times New Roman" w:cs="Times New Roman"/>
          <w:sz w:val="24"/>
          <w:szCs w:val="24"/>
          <w:lang w:val="en-GB"/>
        </w:rPr>
      </w:pPr>
    </w:p>
    <w:p w:rsidR="00B743F6" w:rsidRDefault="00B743F6" w:rsidP="00B743F6">
      <w:pPr>
        <w:spacing w:after="0" w:line="360" w:lineRule="auto"/>
        <w:rPr>
          <w:rFonts w:ascii="Times New Roman" w:hAnsi="Times New Roman" w:cs="Times New Roman"/>
          <w:sz w:val="24"/>
          <w:szCs w:val="24"/>
          <w:lang w:val="en-GB"/>
        </w:rPr>
      </w:pPr>
      <w:r>
        <w:rPr>
          <w:rFonts w:ascii="Times New Roman" w:hAnsi="Times New Roman" w:cs="Times New Roman"/>
          <w:sz w:val="24"/>
          <w:szCs w:val="24"/>
          <w:lang w:val="en-GB"/>
        </w:rPr>
        <w:tab/>
        <w:t xml:space="preserve">CHITAPI J: The applicant is employed by the respondent </w:t>
      </w:r>
      <w:r w:rsidR="00DC5837">
        <w:rPr>
          <w:rFonts w:ascii="Times New Roman" w:hAnsi="Times New Roman" w:cs="Times New Roman"/>
          <w:sz w:val="24"/>
          <w:szCs w:val="24"/>
          <w:lang w:val="en-GB"/>
        </w:rPr>
        <w:t>a</w:t>
      </w:r>
      <w:r>
        <w:rPr>
          <w:rFonts w:ascii="Times New Roman" w:hAnsi="Times New Roman" w:cs="Times New Roman"/>
          <w:sz w:val="24"/>
          <w:szCs w:val="24"/>
          <w:lang w:val="en-GB"/>
        </w:rPr>
        <w:t>s a revenue officer. The dispute between the parties relate</w:t>
      </w:r>
      <w:r w:rsidR="003E33C6">
        <w:rPr>
          <w:rFonts w:ascii="Times New Roman" w:hAnsi="Times New Roman" w:cs="Times New Roman"/>
          <w:sz w:val="24"/>
          <w:szCs w:val="24"/>
          <w:lang w:val="en-GB"/>
        </w:rPr>
        <w:t>s</w:t>
      </w:r>
      <w:r>
        <w:rPr>
          <w:rFonts w:ascii="Times New Roman" w:hAnsi="Times New Roman" w:cs="Times New Roman"/>
          <w:sz w:val="24"/>
          <w:szCs w:val="24"/>
          <w:lang w:val="en-GB"/>
        </w:rPr>
        <w:t xml:space="preserve"> to </w:t>
      </w:r>
      <w:r w:rsidR="00DC5837">
        <w:rPr>
          <w:rFonts w:ascii="Times New Roman" w:hAnsi="Times New Roman" w:cs="Times New Roman"/>
          <w:sz w:val="24"/>
          <w:szCs w:val="24"/>
          <w:lang w:val="en-GB"/>
        </w:rPr>
        <w:t xml:space="preserve">the </w:t>
      </w:r>
      <w:r>
        <w:rPr>
          <w:rFonts w:ascii="Times New Roman" w:hAnsi="Times New Roman" w:cs="Times New Roman"/>
          <w:sz w:val="24"/>
          <w:szCs w:val="24"/>
          <w:lang w:val="en-GB"/>
        </w:rPr>
        <w:t>alleged non-payment of the applicant’s salary by the respondent. The basic facts of the dispute</w:t>
      </w:r>
      <w:r w:rsidR="000002B1">
        <w:rPr>
          <w:rFonts w:ascii="Times New Roman" w:hAnsi="Times New Roman" w:cs="Times New Roman"/>
          <w:sz w:val="24"/>
          <w:szCs w:val="24"/>
          <w:lang w:val="en-GB"/>
        </w:rPr>
        <w:t xml:space="preserve"> are common cause. The respondent as part of its staff development has a policy wherein employees are permitted to </w:t>
      </w:r>
      <w:r w:rsidR="00DC5837">
        <w:rPr>
          <w:rFonts w:ascii="Times New Roman" w:hAnsi="Times New Roman" w:cs="Times New Roman"/>
          <w:sz w:val="24"/>
          <w:szCs w:val="24"/>
          <w:lang w:val="en-GB"/>
        </w:rPr>
        <w:t xml:space="preserve">improve themselves </w:t>
      </w:r>
      <w:r w:rsidR="000002B1">
        <w:rPr>
          <w:rFonts w:ascii="Times New Roman" w:hAnsi="Times New Roman" w:cs="Times New Roman"/>
          <w:sz w:val="24"/>
          <w:szCs w:val="24"/>
          <w:lang w:val="en-GB"/>
        </w:rPr>
        <w:t>academically or otherwise</w:t>
      </w:r>
      <w:r w:rsidR="00DC5837">
        <w:rPr>
          <w:rFonts w:ascii="Times New Roman" w:hAnsi="Times New Roman" w:cs="Times New Roman"/>
          <w:sz w:val="24"/>
          <w:szCs w:val="24"/>
          <w:lang w:val="en-GB"/>
        </w:rPr>
        <w:t>. To that end they may</w:t>
      </w:r>
      <w:r w:rsidR="000002B1">
        <w:rPr>
          <w:rFonts w:ascii="Times New Roman" w:hAnsi="Times New Roman" w:cs="Times New Roman"/>
          <w:sz w:val="24"/>
          <w:szCs w:val="24"/>
          <w:lang w:val="en-GB"/>
        </w:rPr>
        <w:t xml:space="preserve"> take study leave on conditions which are laid out in a document called “ZMIRA Staff Training and Development Polic</w:t>
      </w:r>
      <w:r w:rsidR="00DC5837">
        <w:rPr>
          <w:rFonts w:ascii="Times New Roman" w:hAnsi="Times New Roman" w:cs="Times New Roman"/>
          <w:sz w:val="24"/>
          <w:szCs w:val="24"/>
          <w:lang w:val="en-GB"/>
        </w:rPr>
        <w:t>y”. The policy document provide</w:t>
      </w:r>
      <w:r w:rsidR="000002B1">
        <w:rPr>
          <w:rFonts w:ascii="Times New Roman" w:hAnsi="Times New Roman" w:cs="Times New Roman"/>
          <w:sz w:val="24"/>
          <w:szCs w:val="24"/>
          <w:lang w:val="en-GB"/>
        </w:rPr>
        <w:t xml:space="preserve">s for study leave of a maximum thirteen days in a calendar year. This type of leave caters mostly for employees who may require to sit for examinations. There is also what is coined study leave (scholarship). This type of leave is the one which grounded this application. It is provided for in s 21 of the policy document as follows– </w:t>
      </w:r>
    </w:p>
    <w:p w:rsidR="00EB35A6" w:rsidRDefault="00EB35A6" w:rsidP="00B743F6">
      <w:pPr>
        <w:spacing w:after="0" w:line="360" w:lineRule="auto"/>
        <w:rPr>
          <w:rFonts w:ascii="Times New Roman" w:hAnsi="Times New Roman" w:cs="Times New Roman"/>
          <w:b/>
          <w:lang w:val="en-GB"/>
        </w:rPr>
      </w:pPr>
      <w:r>
        <w:rPr>
          <w:rFonts w:ascii="Times New Roman" w:hAnsi="Times New Roman" w:cs="Times New Roman"/>
          <w:sz w:val="24"/>
          <w:szCs w:val="24"/>
          <w:lang w:val="en-GB"/>
        </w:rPr>
        <w:tab/>
      </w:r>
      <w:r>
        <w:rPr>
          <w:rFonts w:ascii="Times New Roman" w:hAnsi="Times New Roman" w:cs="Times New Roman"/>
          <w:b/>
          <w:lang w:val="en-GB"/>
        </w:rPr>
        <w:t>“21. Personal Study</w:t>
      </w:r>
    </w:p>
    <w:p w:rsidR="00EB35A6" w:rsidRDefault="00DC5837" w:rsidP="005303AA">
      <w:pPr>
        <w:pStyle w:val="ListParagraph"/>
        <w:numPr>
          <w:ilvl w:val="0"/>
          <w:numId w:val="1"/>
        </w:numPr>
        <w:spacing w:after="0" w:line="360" w:lineRule="auto"/>
        <w:rPr>
          <w:rFonts w:ascii="Times New Roman" w:hAnsi="Times New Roman" w:cs="Times New Roman"/>
          <w:lang w:val="en-GB"/>
        </w:rPr>
      </w:pPr>
      <w:r>
        <w:rPr>
          <w:rFonts w:ascii="Times New Roman" w:hAnsi="Times New Roman" w:cs="Times New Roman"/>
          <w:lang w:val="en-GB"/>
        </w:rPr>
        <w:t>ZIMRA emp</w:t>
      </w:r>
      <w:r w:rsidR="00EB35A6">
        <w:rPr>
          <w:rFonts w:ascii="Times New Roman" w:hAnsi="Times New Roman" w:cs="Times New Roman"/>
          <w:lang w:val="en-GB"/>
        </w:rPr>
        <w:t>loyees are encouraged to develop themselves by engaging into personal study programmes of their choice which are relevant to their work.</w:t>
      </w:r>
    </w:p>
    <w:p w:rsidR="00EB35A6" w:rsidRDefault="00EB35A6" w:rsidP="005303AA">
      <w:pPr>
        <w:pStyle w:val="ListParagraph"/>
        <w:numPr>
          <w:ilvl w:val="0"/>
          <w:numId w:val="1"/>
        </w:numPr>
        <w:spacing w:after="0" w:line="360" w:lineRule="auto"/>
        <w:rPr>
          <w:rFonts w:ascii="Times New Roman" w:hAnsi="Times New Roman" w:cs="Times New Roman"/>
          <w:lang w:val="en-GB"/>
        </w:rPr>
      </w:pPr>
      <w:r>
        <w:rPr>
          <w:rFonts w:ascii="Times New Roman" w:hAnsi="Times New Roman" w:cs="Times New Roman"/>
          <w:lang w:val="en-GB"/>
        </w:rPr>
        <w:t>Study leave may be granted to those who intend to undertake a study programme on condition that they are bonded as detailed below.</w:t>
      </w:r>
    </w:p>
    <w:tbl>
      <w:tblPr>
        <w:tblW w:w="0" w:type="auto"/>
        <w:tblInd w:w="1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96"/>
        <w:gridCol w:w="1985"/>
        <w:gridCol w:w="2229"/>
      </w:tblGrid>
      <w:tr w:rsidR="00EB35A6" w:rsidTr="00EB35A6">
        <w:trPr>
          <w:trHeight w:val="225"/>
        </w:trPr>
        <w:tc>
          <w:tcPr>
            <w:tcW w:w="2896" w:type="dxa"/>
            <w:vMerge w:val="restart"/>
          </w:tcPr>
          <w:p w:rsidR="00EB35A6" w:rsidRDefault="00EB35A6" w:rsidP="005303AA">
            <w:pPr>
              <w:pStyle w:val="ListParagraph"/>
              <w:spacing w:after="0" w:line="240" w:lineRule="auto"/>
              <w:ind w:left="0"/>
              <w:rPr>
                <w:rFonts w:ascii="Times New Roman" w:hAnsi="Times New Roman" w:cs="Times New Roman"/>
                <w:lang w:val="en-GB"/>
              </w:rPr>
            </w:pPr>
            <w:r>
              <w:rPr>
                <w:rFonts w:ascii="Times New Roman" w:hAnsi="Times New Roman" w:cs="Times New Roman"/>
                <w:lang w:val="en-GB"/>
              </w:rPr>
              <w:t>Period of Absence</w:t>
            </w:r>
          </w:p>
        </w:tc>
        <w:tc>
          <w:tcPr>
            <w:tcW w:w="4214" w:type="dxa"/>
            <w:gridSpan w:val="2"/>
          </w:tcPr>
          <w:p w:rsidR="00EB35A6" w:rsidRDefault="00EB35A6" w:rsidP="005303AA">
            <w:pPr>
              <w:pStyle w:val="ListParagraph"/>
              <w:spacing w:after="0" w:line="240" w:lineRule="auto"/>
              <w:ind w:left="0"/>
              <w:rPr>
                <w:rFonts w:ascii="Times New Roman" w:hAnsi="Times New Roman" w:cs="Times New Roman"/>
                <w:lang w:val="en-GB"/>
              </w:rPr>
            </w:pPr>
            <w:r>
              <w:rPr>
                <w:rFonts w:ascii="Times New Roman" w:hAnsi="Times New Roman" w:cs="Times New Roman"/>
                <w:lang w:val="en-GB"/>
              </w:rPr>
              <w:t>Period of bonding for programme</w:t>
            </w:r>
          </w:p>
        </w:tc>
      </w:tr>
      <w:tr w:rsidR="00EB35A6" w:rsidTr="00EB35A6">
        <w:trPr>
          <w:trHeight w:val="240"/>
        </w:trPr>
        <w:tc>
          <w:tcPr>
            <w:tcW w:w="2896" w:type="dxa"/>
            <w:vMerge/>
          </w:tcPr>
          <w:p w:rsidR="00EB35A6" w:rsidRDefault="00EB35A6" w:rsidP="005303AA">
            <w:pPr>
              <w:pStyle w:val="ListParagraph"/>
              <w:spacing w:after="0" w:line="240" w:lineRule="auto"/>
              <w:ind w:left="0"/>
              <w:rPr>
                <w:rFonts w:ascii="Times New Roman" w:hAnsi="Times New Roman" w:cs="Times New Roman"/>
                <w:lang w:val="en-GB"/>
              </w:rPr>
            </w:pPr>
          </w:p>
        </w:tc>
        <w:tc>
          <w:tcPr>
            <w:tcW w:w="1985" w:type="dxa"/>
          </w:tcPr>
          <w:p w:rsidR="00EB35A6" w:rsidRDefault="00EB35A6" w:rsidP="005303AA">
            <w:pPr>
              <w:pStyle w:val="ListParagraph"/>
              <w:spacing w:after="0" w:line="240" w:lineRule="auto"/>
              <w:ind w:left="0"/>
              <w:rPr>
                <w:rFonts w:ascii="Times New Roman" w:hAnsi="Times New Roman" w:cs="Times New Roman"/>
                <w:lang w:val="en-GB"/>
              </w:rPr>
            </w:pPr>
            <w:r>
              <w:rPr>
                <w:rFonts w:ascii="Times New Roman" w:hAnsi="Times New Roman" w:cs="Times New Roman"/>
                <w:lang w:val="en-GB"/>
              </w:rPr>
              <w:t>Funded by ZIMRA</w:t>
            </w:r>
          </w:p>
        </w:tc>
        <w:tc>
          <w:tcPr>
            <w:tcW w:w="2229" w:type="dxa"/>
          </w:tcPr>
          <w:p w:rsidR="00EB35A6" w:rsidRDefault="00EB35A6" w:rsidP="005303AA">
            <w:pPr>
              <w:pStyle w:val="ListParagraph"/>
              <w:spacing w:after="0" w:line="240" w:lineRule="auto"/>
              <w:ind w:left="0"/>
              <w:rPr>
                <w:rFonts w:ascii="Times New Roman" w:hAnsi="Times New Roman" w:cs="Times New Roman"/>
                <w:lang w:val="en-GB"/>
              </w:rPr>
            </w:pPr>
            <w:r>
              <w:rPr>
                <w:rFonts w:ascii="Times New Roman" w:hAnsi="Times New Roman" w:cs="Times New Roman"/>
                <w:lang w:val="en-GB"/>
              </w:rPr>
              <w:t>Self-funded</w:t>
            </w:r>
          </w:p>
        </w:tc>
      </w:tr>
      <w:tr w:rsidR="00EB35A6" w:rsidTr="00EB35A6">
        <w:trPr>
          <w:trHeight w:val="330"/>
        </w:trPr>
        <w:tc>
          <w:tcPr>
            <w:tcW w:w="2896" w:type="dxa"/>
          </w:tcPr>
          <w:p w:rsidR="00EB35A6" w:rsidRDefault="00EB35A6" w:rsidP="005303AA">
            <w:pPr>
              <w:pStyle w:val="ListParagraph"/>
              <w:spacing w:after="0" w:line="240" w:lineRule="auto"/>
              <w:ind w:left="0"/>
              <w:rPr>
                <w:rFonts w:ascii="Times New Roman" w:hAnsi="Times New Roman" w:cs="Times New Roman"/>
                <w:lang w:val="en-GB"/>
              </w:rPr>
            </w:pPr>
            <w:r>
              <w:rPr>
                <w:rFonts w:ascii="Times New Roman" w:hAnsi="Times New Roman" w:cs="Times New Roman"/>
                <w:lang w:val="en-GB"/>
              </w:rPr>
              <w:t>Up to one year</w:t>
            </w:r>
          </w:p>
        </w:tc>
        <w:tc>
          <w:tcPr>
            <w:tcW w:w="1985" w:type="dxa"/>
          </w:tcPr>
          <w:p w:rsidR="00EB35A6" w:rsidRDefault="00EB35A6" w:rsidP="005303AA">
            <w:pPr>
              <w:pStyle w:val="ListParagraph"/>
              <w:spacing w:after="0" w:line="240" w:lineRule="auto"/>
              <w:ind w:left="0"/>
              <w:rPr>
                <w:rFonts w:ascii="Times New Roman" w:hAnsi="Times New Roman" w:cs="Times New Roman"/>
                <w:lang w:val="en-GB"/>
              </w:rPr>
            </w:pPr>
            <w:r>
              <w:rPr>
                <w:rFonts w:ascii="Times New Roman" w:hAnsi="Times New Roman" w:cs="Times New Roman"/>
                <w:lang w:val="en-GB"/>
              </w:rPr>
              <w:t>One year</w:t>
            </w:r>
          </w:p>
        </w:tc>
        <w:tc>
          <w:tcPr>
            <w:tcW w:w="2229" w:type="dxa"/>
          </w:tcPr>
          <w:p w:rsidR="00EB35A6" w:rsidRDefault="00EB35A6" w:rsidP="005303AA">
            <w:pPr>
              <w:pStyle w:val="ListParagraph"/>
              <w:spacing w:after="0" w:line="240" w:lineRule="auto"/>
              <w:ind w:left="0"/>
              <w:rPr>
                <w:rFonts w:ascii="Times New Roman" w:hAnsi="Times New Roman" w:cs="Times New Roman"/>
                <w:lang w:val="en-GB"/>
              </w:rPr>
            </w:pPr>
            <w:r>
              <w:rPr>
                <w:rFonts w:ascii="Times New Roman" w:hAnsi="Times New Roman" w:cs="Times New Roman"/>
                <w:lang w:val="en-GB"/>
              </w:rPr>
              <w:t>6 months</w:t>
            </w:r>
          </w:p>
        </w:tc>
      </w:tr>
      <w:tr w:rsidR="00EB35A6" w:rsidTr="00EB35A6">
        <w:trPr>
          <w:trHeight w:val="465"/>
        </w:trPr>
        <w:tc>
          <w:tcPr>
            <w:tcW w:w="2896" w:type="dxa"/>
          </w:tcPr>
          <w:p w:rsidR="00EB35A6" w:rsidRDefault="00EB35A6" w:rsidP="005303AA">
            <w:pPr>
              <w:pStyle w:val="ListParagraph"/>
              <w:spacing w:after="0" w:line="240" w:lineRule="auto"/>
              <w:ind w:left="0"/>
              <w:rPr>
                <w:rFonts w:ascii="Times New Roman" w:hAnsi="Times New Roman" w:cs="Times New Roman"/>
                <w:lang w:val="en-GB"/>
              </w:rPr>
            </w:pPr>
            <w:r>
              <w:rPr>
                <w:rFonts w:ascii="Times New Roman" w:hAnsi="Times New Roman" w:cs="Times New Roman"/>
                <w:lang w:val="en-GB"/>
              </w:rPr>
              <w:t>Up to two years</w:t>
            </w:r>
          </w:p>
        </w:tc>
        <w:tc>
          <w:tcPr>
            <w:tcW w:w="1985" w:type="dxa"/>
          </w:tcPr>
          <w:p w:rsidR="00EB35A6" w:rsidRDefault="00EB35A6" w:rsidP="005303AA">
            <w:pPr>
              <w:pStyle w:val="ListParagraph"/>
              <w:spacing w:after="0" w:line="240" w:lineRule="auto"/>
              <w:ind w:left="0"/>
              <w:rPr>
                <w:rFonts w:ascii="Times New Roman" w:hAnsi="Times New Roman" w:cs="Times New Roman"/>
                <w:lang w:val="en-GB"/>
              </w:rPr>
            </w:pPr>
            <w:r>
              <w:rPr>
                <w:rFonts w:ascii="Times New Roman" w:hAnsi="Times New Roman" w:cs="Times New Roman"/>
                <w:lang w:val="en-GB"/>
              </w:rPr>
              <w:t>Two years</w:t>
            </w:r>
          </w:p>
        </w:tc>
        <w:tc>
          <w:tcPr>
            <w:tcW w:w="2229" w:type="dxa"/>
          </w:tcPr>
          <w:p w:rsidR="00EB35A6" w:rsidRDefault="00EB35A6" w:rsidP="005303AA">
            <w:pPr>
              <w:pStyle w:val="ListParagraph"/>
              <w:spacing w:after="0" w:line="240" w:lineRule="auto"/>
              <w:ind w:left="0"/>
              <w:rPr>
                <w:rFonts w:ascii="Times New Roman" w:hAnsi="Times New Roman" w:cs="Times New Roman"/>
                <w:lang w:val="en-GB"/>
              </w:rPr>
            </w:pPr>
            <w:r>
              <w:rPr>
                <w:rFonts w:ascii="Times New Roman" w:hAnsi="Times New Roman" w:cs="Times New Roman"/>
                <w:lang w:val="en-GB"/>
              </w:rPr>
              <w:t>Twelve months</w:t>
            </w:r>
          </w:p>
        </w:tc>
      </w:tr>
      <w:tr w:rsidR="00EB35A6" w:rsidTr="005303AA">
        <w:trPr>
          <w:trHeight w:val="405"/>
        </w:trPr>
        <w:tc>
          <w:tcPr>
            <w:tcW w:w="2896" w:type="dxa"/>
          </w:tcPr>
          <w:p w:rsidR="00EB35A6" w:rsidRDefault="00EB35A6" w:rsidP="005303AA">
            <w:pPr>
              <w:pStyle w:val="ListParagraph"/>
              <w:spacing w:after="0" w:line="240" w:lineRule="auto"/>
              <w:ind w:left="0"/>
              <w:rPr>
                <w:rFonts w:ascii="Times New Roman" w:hAnsi="Times New Roman" w:cs="Times New Roman"/>
                <w:lang w:val="en-GB"/>
              </w:rPr>
            </w:pPr>
            <w:r>
              <w:rPr>
                <w:rFonts w:ascii="Times New Roman" w:hAnsi="Times New Roman" w:cs="Times New Roman"/>
                <w:lang w:val="en-GB"/>
              </w:rPr>
              <w:t>Up to three years</w:t>
            </w:r>
          </w:p>
        </w:tc>
        <w:tc>
          <w:tcPr>
            <w:tcW w:w="1985" w:type="dxa"/>
          </w:tcPr>
          <w:p w:rsidR="00EB35A6" w:rsidRDefault="00EB35A6" w:rsidP="005303AA">
            <w:pPr>
              <w:pStyle w:val="ListParagraph"/>
              <w:spacing w:after="0" w:line="240" w:lineRule="auto"/>
              <w:ind w:left="0"/>
              <w:rPr>
                <w:rFonts w:ascii="Times New Roman" w:hAnsi="Times New Roman" w:cs="Times New Roman"/>
                <w:lang w:val="en-GB"/>
              </w:rPr>
            </w:pPr>
            <w:r>
              <w:rPr>
                <w:rFonts w:ascii="Times New Roman" w:hAnsi="Times New Roman" w:cs="Times New Roman"/>
                <w:lang w:val="en-GB"/>
              </w:rPr>
              <w:t>Three years</w:t>
            </w:r>
          </w:p>
        </w:tc>
        <w:tc>
          <w:tcPr>
            <w:tcW w:w="2229" w:type="dxa"/>
          </w:tcPr>
          <w:p w:rsidR="00EB35A6" w:rsidRDefault="00EB35A6" w:rsidP="005303AA">
            <w:pPr>
              <w:pStyle w:val="ListParagraph"/>
              <w:spacing w:after="0" w:line="240" w:lineRule="auto"/>
              <w:ind w:left="0"/>
              <w:rPr>
                <w:rFonts w:ascii="Times New Roman" w:hAnsi="Times New Roman" w:cs="Times New Roman"/>
                <w:lang w:val="en-GB"/>
              </w:rPr>
            </w:pPr>
            <w:r>
              <w:rPr>
                <w:rFonts w:ascii="Times New Roman" w:hAnsi="Times New Roman" w:cs="Times New Roman"/>
                <w:lang w:val="en-GB"/>
              </w:rPr>
              <w:t>Eighteen months</w:t>
            </w:r>
          </w:p>
        </w:tc>
      </w:tr>
    </w:tbl>
    <w:p w:rsidR="00EB35A6" w:rsidRDefault="00EB35A6" w:rsidP="005303AA">
      <w:pPr>
        <w:pStyle w:val="ListParagraph"/>
        <w:numPr>
          <w:ilvl w:val="0"/>
          <w:numId w:val="1"/>
        </w:numPr>
        <w:spacing w:after="0" w:line="360" w:lineRule="auto"/>
        <w:rPr>
          <w:rFonts w:ascii="Times New Roman" w:hAnsi="Times New Roman" w:cs="Times New Roman"/>
          <w:lang w:val="en-GB"/>
        </w:rPr>
      </w:pPr>
      <w:r>
        <w:rPr>
          <w:rFonts w:ascii="Times New Roman" w:hAnsi="Times New Roman" w:cs="Times New Roman"/>
          <w:lang w:val="en-GB"/>
        </w:rPr>
        <w:lastRenderedPageBreak/>
        <w:t>Funding through a development partner (with ZIMRA) shall be deemed to be funding by ZIMRA</w:t>
      </w:r>
    </w:p>
    <w:p w:rsidR="00EB35A6" w:rsidRDefault="00EB35A6" w:rsidP="005303AA">
      <w:pPr>
        <w:pStyle w:val="ListParagraph"/>
        <w:numPr>
          <w:ilvl w:val="0"/>
          <w:numId w:val="1"/>
        </w:numPr>
        <w:spacing w:after="0" w:line="360" w:lineRule="auto"/>
        <w:rPr>
          <w:rFonts w:ascii="Times New Roman" w:hAnsi="Times New Roman" w:cs="Times New Roman"/>
          <w:lang w:val="en-GB"/>
        </w:rPr>
      </w:pPr>
      <w:r>
        <w:rPr>
          <w:rFonts w:ascii="Times New Roman" w:hAnsi="Times New Roman" w:cs="Times New Roman"/>
          <w:lang w:val="en-GB"/>
        </w:rPr>
        <w:t>ZIMRA may reimburse its employees tuition fees on successful completion of a relevant course after which the study programme shall be deemed to have been funded by ZIMRA</w:t>
      </w:r>
    </w:p>
    <w:p w:rsidR="00EB35A6" w:rsidRDefault="00EB35A6" w:rsidP="005303AA">
      <w:pPr>
        <w:pStyle w:val="ListParagraph"/>
        <w:numPr>
          <w:ilvl w:val="0"/>
          <w:numId w:val="1"/>
        </w:numPr>
        <w:spacing w:after="0" w:line="360" w:lineRule="auto"/>
        <w:rPr>
          <w:rFonts w:ascii="Times New Roman" w:hAnsi="Times New Roman" w:cs="Times New Roman"/>
          <w:lang w:val="en-GB"/>
        </w:rPr>
      </w:pPr>
      <w:r>
        <w:rPr>
          <w:rFonts w:ascii="Times New Roman" w:hAnsi="Times New Roman" w:cs="Times New Roman"/>
          <w:lang w:val="en-GB"/>
        </w:rPr>
        <w:t>ZIMRA employees on study leave will be entitled to:</w:t>
      </w:r>
    </w:p>
    <w:tbl>
      <w:tblPr>
        <w:tblStyle w:val="TableGrid"/>
        <w:tblW w:w="0" w:type="auto"/>
        <w:tblInd w:w="1080" w:type="dxa"/>
        <w:tblLook w:val="04A0" w:firstRow="1" w:lastRow="0" w:firstColumn="1" w:lastColumn="0" w:noHBand="0" w:noVBand="1"/>
      </w:tblPr>
      <w:tblGrid>
        <w:gridCol w:w="3026"/>
        <w:gridCol w:w="4111"/>
      </w:tblGrid>
      <w:tr w:rsidR="00EB35A6" w:rsidTr="005303AA">
        <w:tc>
          <w:tcPr>
            <w:tcW w:w="3026" w:type="dxa"/>
          </w:tcPr>
          <w:p w:rsidR="00EB35A6" w:rsidRDefault="005303AA" w:rsidP="005303AA">
            <w:pPr>
              <w:pStyle w:val="ListParagraph"/>
              <w:spacing w:line="360" w:lineRule="auto"/>
              <w:ind w:left="0"/>
              <w:rPr>
                <w:rFonts w:ascii="Times New Roman" w:hAnsi="Times New Roman" w:cs="Times New Roman"/>
                <w:lang w:val="en-GB"/>
              </w:rPr>
            </w:pPr>
            <w:r>
              <w:rPr>
                <w:rFonts w:ascii="Times New Roman" w:hAnsi="Times New Roman" w:cs="Times New Roman"/>
                <w:lang w:val="en-GB"/>
              </w:rPr>
              <w:t>Full salary</w:t>
            </w:r>
          </w:p>
        </w:tc>
        <w:tc>
          <w:tcPr>
            <w:tcW w:w="4111" w:type="dxa"/>
          </w:tcPr>
          <w:p w:rsidR="00EB35A6" w:rsidRDefault="005303AA" w:rsidP="005303AA">
            <w:pPr>
              <w:pStyle w:val="ListParagraph"/>
              <w:spacing w:line="360" w:lineRule="auto"/>
              <w:ind w:left="0"/>
              <w:rPr>
                <w:rFonts w:ascii="Times New Roman" w:hAnsi="Times New Roman" w:cs="Times New Roman"/>
                <w:lang w:val="en-GB"/>
              </w:rPr>
            </w:pPr>
            <w:r>
              <w:rPr>
                <w:rFonts w:ascii="Times New Roman" w:hAnsi="Times New Roman" w:cs="Times New Roman"/>
                <w:lang w:val="en-GB"/>
              </w:rPr>
              <w:t>First 12 months of absence</w:t>
            </w:r>
          </w:p>
        </w:tc>
      </w:tr>
      <w:tr w:rsidR="00EB35A6" w:rsidTr="005303AA">
        <w:tc>
          <w:tcPr>
            <w:tcW w:w="3026" w:type="dxa"/>
          </w:tcPr>
          <w:p w:rsidR="00EB35A6" w:rsidRDefault="005303AA" w:rsidP="005303AA">
            <w:pPr>
              <w:pStyle w:val="ListParagraph"/>
              <w:spacing w:line="360" w:lineRule="auto"/>
              <w:ind w:left="0"/>
              <w:rPr>
                <w:rFonts w:ascii="Times New Roman" w:hAnsi="Times New Roman" w:cs="Times New Roman"/>
                <w:lang w:val="en-GB"/>
              </w:rPr>
            </w:pPr>
            <w:r>
              <w:rPr>
                <w:rFonts w:ascii="Times New Roman" w:hAnsi="Times New Roman" w:cs="Times New Roman"/>
                <w:lang w:val="en-GB"/>
              </w:rPr>
              <w:t>Half salary</w:t>
            </w:r>
          </w:p>
        </w:tc>
        <w:tc>
          <w:tcPr>
            <w:tcW w:w="4111" w:type="dxa"/>
          </w:tcPr>
          <w:p w:rsidR="00EB35A6" w:rsidRDefault="005303AA" w:rsidP="005303AA">
            <w:pPr>
              <w:pStyle w:val="ListParagraph"/>
              <w:spacing w:line="360" w:lineRule="auto"/>
              <w:ind w:left="0"/>
              <w:rPr>
                <w:rFonts w:ascii="Times New Roman" w:hAnsi="Times New Roman" w:cs="Times New Roman"/>
                <w:lang w:val="en-GB"/>
              </w:rPr>
            </w:pPr>
            <w:r>
              <w:rPr>
                <w:rFonts w:ascii="Times New Roman" w:hAnsi="Times New Roman" w:cs="Times New Roman"/>
                <w:lang w:val="en-GB"/>
              </w:rPr>
              <w:t>Second 12 months of absence</w:t>
            </w:r>
          </w:p>
        </w:tc>
      </w:tr>
      <w:tr w:rsidR="00EB35A6" w:rsidTr="005303AA">
        <w:tc>
          <w:tcPr>
            <w:tcW w:w="3026" w:type="dxa"/>
          </w:tcPr>
          <w:p w:rsidR="00EB35A6" w:rsidRDefault="005303AA" w:rsidP="005303AA">
            <w:pPr>
              <w:pStyle w:val="ListParagraph"/>
              <w:spacing w:line="360" w:lineRule="auto"/>
              <w:ind w:left="0"/>
              <w:rPr>
                <w:rFonts w:ascii="Times New Roman" w:hAnsi="Times New Roman" w:cs="Times New Roman"/>
                <w:lang w:val="en-GB"/>
              </w:rPr>
            </w:pPr>
            <w:r>
              <w:rPr>
                <w:rFonts w:ascii="Times New Roman" w:hAnsi="Times New Roman" w:cs="Times New Roman"/>
                <w:lang w:val="en-GB"/>
              </w:rPr>
              <w:t>Nil salary</w:t>
            </w:r>
          </w:p>
        </w:tc>
        <w:tc>
          <w:tcPr>
            <w:tcW w:w="4111" w:type="dxa"/>
          </w:tcPr>
          <w:p w:rsidR="00EB35A6" w:rsidRDefault="005303AA" w:rsidP="005303AA">
            <w:pPr>
              <w:pStyle w:val="ListParagraph"/>
              <w:spacing w:line="360" w:lineRule="auto"/>
              <w:ind w:left="0"/>
              <w:rPr>
                <w:rFonts w:ascii="Times New Roman" w:hAnsi="Times New Roman" w:cs="Times New Roman"/>
                <w:lang w:val="en-GB"/>
              </w:rPr>
            </w:pPr>
            <w:r>
              <w:rPr>
                <w:rFonts w:ascii="Times New Roman" w:hAnsi="Times New Roman" w:cs="Times New Roman"/>
                <w:lang w:val="en-GB"/>
              </w:rPr>
              <w:t>From the third 12 months of absence”</w:t>
            </w:r>
          </w:p>
        </w:tc>
      </w:tr>
    </w:tbl>
    <w:p w:rsidR="00EB35A6" w:rsidRDefault="00EB35A6" w:rsidP="00EB35A6">
      <w:pPr>
        <w:pStyle w:val="ListParagraph"/>
        <w:spacing w:after="0" w:line="360" w:lineRule="auto"/>
        <w:ind w:left="1080"/>
        <w:rPr>
          <w:rFonts w:ascii="Times New Roman" w:hAnsi="Times New Roman" w:cs="Times New Roman"/>
          <w:lang w:val="en-GB"/>
        </w:rPr>
      </w:pPr>
    </w:p>
    <w:p w:rsidR="00A20314" w:rsidRDefault="005303AA" w:rsidP="00A20314">
      <w:pPr>
        <w:spacing w:after="0" w:line="360" w:lineRule="auto"/>
        <w:jc w:val="both"/>
        <w:rPr>
          <w:rFonts w:ascii="Times New Roman" w:hAnsi="Times New Roman" w:cs="Times New Roman"/>
          <w:sz w:val="24"/>
          <w:szCs w:val="24"/>
        </w:rPr>
      </w:pPr>
      <w:r>
        <w:rPr>
          <w:rFonts w:ascii="Times New Roman" w:hAnsi="Times New Roman" w:cs="Times New Roman"/>
          <w:sz w:val="24"/>
          <w:szCs w:val="24"/>
          <w:lang w:val="en-GB"/>
        </w:rPr>
        <w:t>The a</w:t>
      </w:r>
      <w:r w:rsidRPr="005303AA">
        <w:rPr>
          <w:rFonts w:ascii="Times New Roman" w:hAnsi="Times New Roman" w:cs="Times New Roman"/>
          <w:sz w:val="24"/>
          <w:szCs w:val="24"/>
          <w:lang w:val="en-GB"/>
        </w:rPr>
        <w:t>pplicant applied for and was accepted to study for a PHD in Finance</w:t>
      </w:r>
      <w:r>
        <w:rPr>
          <w:rFonts w:ascii="Times New Roman" w:hAnsi="Times New Roman" w:cs="Times New Roman"/>
          <w:sz w:val="24"/>
          <w:szCs w:val="24"/>
          <w:lang w:val="en-GB"/>
        </w:rPr>
        <w:t xml:space="preserve"> at the University of Johannesburg for a two-year duration commencing January 2020 to December 2021. Going by the study policy as enunciated hereinabove,</w:t>
      </w:r>
      <w:r w:rsidR="00EE291C">
        <w:rPr>
          <w:rFonts w:ascii="Times New Roman" w:hAnsi="Times New Roman" w:cs="Times New Roman"/>
          <w:sz w:val="24"/>
          <w:szCs w:val="24"/>
          <w:lang w:val="en-GB"/>
        </w:rPr>
        <w:t xml:space="preserve"> the applicant would have been entitled to full salary in the first year of study and half salary in the second year of study. The applicant was granted permission by the respondent to undertake the PHD programme in accordance with clause 21 of the study policy. Approval </w:t>
      </w:r>
      <w:r w:rsidR="00DC5837">
        <w:rPr>
          <w:rFonts w:ascii="Times New Roman" w:hAnsi="Times New Roman" w:cs="Times New Roman"/>
          <w:sz w:val="24"/>
          <w:szCs w:val="24"/>
          <w:lang w:val="en-GB"/>
        </w:rPr>
        <w:t>having been</w:t>
      </w:r>
      <w:r w:rsidR="00EE291C">
        <w:rPr>
          <w:rFonts w:ascii="Times New Roman" w:hAnsi="Times New Roman" w:cs="Times New Roman"/>
          <w:sz w:val="24"/>
          <w:szCs w:val="24"/>
          <w:lang w:val="en-GB"/>
        </w:rPr>
        <w:t xml:space="preserve"> granted</w:t>
      </w:r>
      <w:r w:rsidR="00C74593">
        <w:rPr>
          <w:rFonts w:ascii="Times New Roman" w:hAnsi="Times New Roman" w:cs="Times New Roman"/>
          <w:sz w:val="24"/>
          <w:szCs w:val="24"/>
          <w:lang w:val="en-GB"/>
        </w:rPr>
        <w:t>,</w:t>
      </w:r>
      <w:r w:rsidR="00EE291C">
        <w:rPr>
          <w:rFonts w:ascii="Times New Roman" w:hAnsi="Times New Roman" w:cs="Times New Roman"/>
          <w:sz w:val="24"/>
          <w:szCs w:val="24"/>
          <w:lang w:val="en-GB"/>
        </w:rPr>
        <w:t xml:space="preserve"> the effective study leave period was to commence on 1 January 2020. The applicant was therefore in terms of the study policy entitled to full salary from January 2020 to 31 December 2020 and thereafter to half salary from 1 January 2021 to 31 December 2021. The applicant was paid his salary until May 20</w:t>
      </w:r>
      <w:r w:rsidR="00A20314">
        <w:rPr>
          <w:rFonts w:ascii="Times New Roman" w:hAnsi="Times New Roman" w:cs="Times New Roman"/>
          <w:sz w:val="24"/>
          <w:szCs w:val="24"/>
          <w:lang w:val="en-GB"/>
        </w:rPr>
        <w:t>20. He therefore instituted t</w:t>
      </w:r>
      <w:r w:rsidR="00A20314">
        <w:rPr>
          <w:rFonts w:ascii="Times New Roman" w:hAnsi="Times New Roman" w:cs="Times New Roman"/>
          <w:sz w:val="24"/>
          <w:szCs w:val="24"/>
        </w:rPr>
        <w:t xml:space="preserve">his application for an order suffering the respondent to act in accordance with clause 21€ of the study policy document and pay him in accordance thereof. The applicant also prayed for costs on the attorney and client scale. </w:t>
      </w:r>
    </w:p>
    <w:p w:rsidR="00A20314" w:rsidRDefault="00A20314" w:rsidP="00A2031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respondent in its opposing affidavit and in so far as the affidavit is relevant to the determination I will make submitted that the applicant was not on scholarship which would justify his claim but on the occasional thirteen-day leave entitlement study leave. The respondent submitted that the applicant had not signed a bonding agreement which was a requirement to be fulfilled in terms of the study policy document. Indeed, clause 21(b) provides that study leave is granted on condition that an employee who intends to be granted such leave is bonded to the respondent so that the respondent as employer is assured of a return on its investment</w:t>
      </w:r>
      <w:r w:rsidR="00C74593">
        <w:rPr>
          <w:rFonts w:ascii="Times New Roman" w:hAnsi="Times New Roman" w:cs="Times New Roman"/>
          <w:sz w:val="24"/>
          <w:szCs w:val="24"/>
        </w:rPr>
        <w:t>. The value return on investments is achieved by</w:t>
      </w:r>
      <w:r>
        <w:rPr>
          <w:rFonts w:ascii="Times New Roman" w:hAnsi="Times New Roman" w:cs="Times New Roman"/>
          <w:sz w:val="24"/>
          <w:szCs w:val="24"/>
        </w:rPr>
        <w:t xml:space="preserve"> allowing the employee to take such leave but return to offer improved service to the employer</w:t>
      </w:r>
      <w:r w:rsidR="003E33C6">
        <w:rPr>
          <w:rFonts w:ascii="Times New Roman" w:hAnsi="Times New Roman" w:cs="Times New Roman"/>
          <w:sz w:val="24"/>
          <w:szCs w:val="24"/>
        </w:rPr>
        <w:t xml:space="preserve"> after completing studies</w:t>
      </w:r>
      <w:r>
        <w:rPr>
          <w:rFonts w:ascii="Times New Roman" w:hAnsi="Times New Roman" w:cs="Times New Roman"/>
          <w:sz w:val="24"/>
          <w:szCs w:val="24"/>
        </w:rPr>
        <w:t>. The respondent submitted that the applicant had not followed the procedures for the grant of scholarship leave. The filed documents on the paper trial submitted by the applicant clearly show that the respondent was aware of the nature of the leave which the applicant had applied</w:t>
      </w:r>
      <w:r w:rsidR="00C74593">
        <w:rPr>
          <w:rFonts w:ascii="Times New Roman" w:hAnsi="Times New Roman" w:cs="Times New Roman"/>
          <w:sz w:val="24"/>
          <w:szCs w:val="24"/>
        </w:rPr>
        <w:t xml:space="preserve"> </w:t>
      </w:r>
      <w:r w:rsidR="00C74593">
        <w:rPr>
          <w:rFonts w:ascii="Times New Roman" w:hAnsi="Times New Roman" w:cs="Times New Roman"/>
          <w:sz w:val="24"/>
          <w:szCs w:val="24"/>
        </w:rPr>
        <w:lastRenderedPageBreak/>
        <w:t>for</w:t>
      </w:r>
      <w:r>
        <w:rPr>
          <w:rFonts w:ascii="Times New Roman" w:hAnsi="Times New Roman" w:cs="Times New Roman"/>
          <w:sz w:val="24"/>
          <w:szCs w:val="24"/>
        </w:rPr>
        <w:t xml:space="preserve">. The application letter by the applicant was clear on the nature of the leave sought and approvals granted were based on the applicants stated nature of study he was to engage in and its duration. </w:t>
      </w:r>
    </w:p>
    <w:p w:rsidR="00A20314" w:rsidRDefault="00A20314" w:rsidP="00A2031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At the hearing of the application, counsel for the respondent submitted that the respondent was willing to have the application disposed of by consent provided that the applicant signed a bonding agreement which he had not done. I gave parties time to discuss a mutual resolution of the dispute. By letter dated 17 May 2021 the applicant’s legal practitioner advised that the parties had resolved the issue of the completion and signing of the bonding agreement. The applicant’s counsel further submitted that the parties were not agreed on costs and that I should determine the issue of costs. Parties had argued the </w:t>
      </w:r>
      <w:r w:rsidR="00261F4E">
        <w:rPr>
          <w:rFonts w:ascii="Times New Roman" w:hAnsi="Times New Roman" w:cs="Times New Roman"/>
          <w:sz w:val="24"/>
          <w:szCs w:val="24"/>
        </w:rPr>
        <w:t>merits</w:t>
      </w:r>
      <w:r w:rsidR="003E33C6">
        <w:rPr>
          <w:rFonts w:ascii="Times New Roman" w:hAnsi="Times New Roman" w:cs="Times New Roman"/>
          <w:sz w:val="24"/>
          <w:szCs w:val="24"/>
        </w:rPr>
        <w:t xml:space="preserve"> of the</w:t>
      </w:r>
      <w:r w:rsidR="00261F4E">
        <w:rPr>
          <w:rFonts w:ascii="Times New Roman" w:hAnsi="Times New Roman" w:cs="Times New Roman"/>
          <w:sz w:val="24"/>
          <w:szCs w:val="24"/>
        </w:rPr>
        <w:t xml:space="preserve"> </w:t>
      </w:r>
      <w:r>
        <w:rPr>
          <w:rFonts w:ascii="Times New Roman" w:hAnsi="Times New Roman" w:cs="Times New Roman"/>
          <w:sz w:val="24"/>
          <w:szCs w:val="24"/>
        </w:rPr>
        <w:t xml:space="preserve">application including </w:t>
      </w:r>
      <w:r w:rsidR="00261F4E">
        <w:rPr>
          <w:rFonts w:ascii="Times New Roman" w:hAnsi="Times New Roman" w:cs="Times New Roman"/>
          <w:sz w:val="24"/>
          <w:szCs w:val="24"/>
        </w:rPr>
        <w:t xml:space="preserve">award of </w:t>
      </w:r>
      <w:r>
        <w:rPr>
          <w:rFonts w:ascii="Times New Roman" w:hAnsi="Times New Roman" w:cs="Times New Roman"/>
          <w:sz w:val="24"/>
          <w:szCs w:val="24"/>
        </w:rPr>
        <w:t>costs before I arrested judgment upon agreement</w:t>
      </w:r>
      <w:r w:rsidR="00261F4E">
        <w:rPr>
          <w:rFonts w:ascii="Times New Roman" w:hAnsi="Times New Roman" w:cs="Times New Roman"/>
          <w:sz w:val="24"/>
          <w:szCs w:val="24"/>
        </w:rPr>
        <w:t xml:space="preserve"> of the parties</w:t>
      </w:r>
      <w:r>
        <w:rPr>
          <w:rFonts w:ascii="Times New Roman" w:hAnsi="Times New Roman" w:cs="Times New Roman"/>
          <w:sz w:val="24"/>
          <w:szCs w:val="24"/>
        </w:rPr>
        <w:t xml:space="preserve"> that the matter could be resolved by agreement. </w:t>
      </w:r>
      <w:r w:rsidR="003E33C6">
        <w:rPr>
          <w:rFonts w:ascii="Times New Roman" w:hAnsi="Times New Roman" w:cs="Times New Roman"/>
          <w:sz w:val="24"/>
          <w:szCs w:val="24"/>
        </w:rPr>
        <w:t>T</w:t>
      </w:r>
      <w:r>
        <w:rPr>
          <w:rFonts w:ascii="Times New Roman" w:hAnsi="Times New Roman" w:cs="Times New Roman"/>
          <w:sz w:val="24"/>
          <w:szCs w:val="24"/>
        </w:rPr>
        <w:t xml:space="preserve">he proper way </w:t>
      </w:r>
      <w:r w:rsidR="003E33C6">
        <w:rPr>
          <w:rFonts w:ascii="Times New Roman" w:hAnsi="Times New Roman" w:cs="Times New Roman"/>
          <w:sz w:val="24"/>
          <w:szCs w:val="24"/>
        </w:rPr>
        <w:t xml:space="preserve">then </w:t>
      </w:r>
      <w:r>
        <w:rPr>
          <w:rFonts w:ascii="Times New Roman" w:hAnsi="Times New Roman" w:cs="Times New Roman"/>
          <w:sz w:val="24"/>
          <w:szCs w:val="24"/>
        </w:rPr>
        <w:t xml:space="preserve">to dispose of the matter and as agreed to by the respondent’s counsel </w:t>
      </w:r>
      <w:r w:rsidR="003E33C6">
        <w:rPr>
          <w:rFonts w:ascii="Times New Roman" w:hAnsi="Times New Roman" w:cs="Times New Roman"/>
          <w:sz w:val="24"/>
          <w:szCs w:val="24"/>
        </w:rPr>
        <w:t>was</w:t>
      </w:r>
      <w:r>
        <w:rPr>
          <w:rFonts w:ascii="Times New Roman" w:hAnsi="Times New Roman" w:cs="Times New Roman"/>
          <w:sz w:val="24"/>
          <w:szCs w:val="24"/>
        </w:rPr>
        <w:t xml:space="preserve"> to order the reinstatement of the applicant’s salary against the applicant signing the bonding agreement. </w:t>
      </w:r>
      <w:r w:rsidR="003E33C6">
        <w:rPr>
          <w:rFonts w:ascii="Times New Roman" w:hAnsi="Times New Roman" w:cs="Times New Roman"/>
          <w:sz w:val="24"/>
          <w:szCs w:val="24"/>
        </w:rPr>
        <w:t>T</w:t>
      </w:r>
      <w:r>
        <w:rPr>
          <w:rFonts w:ascii="Times New Roman" w:hAnsi="Times New Roman" w:cs="Times New Roman"/>
          <w:sz w:val="24"/>
          <w:szCs w:val="24"/>
        </w:rPr>
        <w:t xml:space="preserve">he issue of </w:t>
      </w:r>
      <w:r w:rsidR="0005272A">
        <w:rPr>
          <w:rFonts w:ascii="Times New Roman" w:hAnsi="Times New Roman" w:cs="Times New Roman"/>
          <w:sz w:val="24"/>
          <w:szCs w:val="24"/>
        </w:rPr>
        <w:t>costs</w:t>
      </w:r>
      <w:r w:rsidR="0007430A">
        <w:rPr>
          <w:rFonts w:ascii="Times New Roman" w:hAnsi="Times New Roman" w:cs="Times New Roman"/>
          <w:sz w:val="24"/>
          <w:szCs w:val="24"/>
        </w:rPr>
        <w:t xml:space="preserve"> remained outstanding</w:t>
      </w:r>
      <w:r w:rsidR="003E33C6">
        <w:rPr>
          <w:rFonts w:ascii="Times New Roman" w:hAnsi="Times New Roman" w:cs="Times New Roman"/>
          <w:sz w:val="24"/>
          <w:szCs w:val="24"/>
        </w:rPr>
        <w:t xml:space="preserve"> and has necessitated this judgment</w:t>
      </w:r>
      <w:r>
        <w:rPr>
          <w:rFonts w:ascii="Times New Roman" w:hAnsi="Times New Roman" w:cs="Times New Roman"/>
          <w:sz w:val="24"/>
          <w:szCs w:val="24"/>
        </w:rPr>
        <w:t xml:space="preserve">. </w:t>
      </w:r>
    </w:p>
    <w:p w:rsidR="00A20314" w:rsidRDefault="00A20314" w:rsidP="00A2031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Mr </w:t>
      </w:r>
      <w:r w:rsidRPr="00A04AEA">
        <w:rPr>
          <w:rFonts w:ascii="Times New Roman" w:hAnsi="Times New Roman" w:cs="Times New Roman"/>
          <w:i/>
          <w:sz w:val="24"/>
          <w:szCs w:val="24"/>
        </w:rPr>
        <w:t>Mashizha</w:t>
      </w:r>
      <w:r>
        <w:rPr>
          <w:rFonts w:ascii="Times New Roman" w:hAnsi="Times New Roman" w:cs="Times New Roman"/>
          <w:sz w:val="24"/>
          <w:szCs w:val="24"/>
        </w:rPr>
        <w:t xml:space="preserve"> in support of applicants’ claim for attorney and client costs submitted that the costs were justified because the applicant, a public juristic persona unilaterally stopped the applicant’s salary without engaging him yet the applicant was still </w:t>
      </w:r>
      <w:r w:rsidR="003E33C6">
        <w:rPr>
          <w:rFonts w:ascii="Times New Roman" w:hAnsi="Times New Roman" w:cs="Times New Roman"/>
          <w:sz w:val="24"/>
          <w:szCs w:val="24"/>
        </w:rPr>
        <w:t>in the respondent’s employment</w:t>
      </w:r>
      <w:r>
        <w:rPr>
          <w:rFonts w:ascii="Times New Roman" w:hAnsi="Times New Roman" w:cs="Times New Roman"/>
          <w:sz w:val="24"/>
          <w:szCs w:val="24"/>
        </w:rPr>
        <w:t>. Counsel further submitted that the respondent did not respond to e-mails</w:t>
      </w:r>
      <w:r w:rsidR="0007430A">
        <w:rPr>
          <w:rFonts w:ascii="Times New Roman" w:hAnsi="Times New Roman" w:cs="Times New Roman"/>
          <w:sz w:val="24"/>
          <w:szCs w:val="24"/>
        </w:rPr>
        <w:t xml:space="preserve"> sent to it by the applicant</w:t>
      </w:r>
      <w:r>
        <w:rPr>
          <w:rFonts w:ascii="Times New Roman" w:hAnsi="Times New Roman" w:cs="Times New Roman"/>
          <w:sz w:val="24"/>
          <w:szCs w:val="24"/>
        </w:rPr>
        <w:t xml:space="preserve"> and only paid outstanding salary </w:t>
      </w:r>
      <w:r w:rsidR="0005272A">
        <w:rPr>
          <w:rFonts w:ascii="Times New Roman" w:hAnsi="Times New Roman" w:cs="Times New Roman"/>
          <w:sz w:val="24"/>
          <w:szCs w:val="24"/>
        </w:rPr>
        <w:t>accru</w:t>
      </w:r>
      <w:r w:rsidR="003E33C6">
        <w:rPr>
          <w:rFonts w:ascii="Times New Roman" w:hAnsi="Times New Roman" w:cs="Times New Roman"/>
          <w:sz w:val="24"/>
          <w:szCs w:val="24"/>
        </w:rPr>
        <w:t xml:space="preserve">ed </w:t>
      </w:r>
      <w:r>
        <w:rPr>
          <w:rFonts w:ascii="Times New Roman" w:hAnsi="Times New Roman" w:cs="Times New Roman"/>
          <w:sz w:val="24"/>
          <w:szCs w:val="24"/>
        </w:rPr>
        <w:t>since June 2020</w:t>
      </w:r>
      <w:r w:rsidR="003E33C6">
        <w:rPr>
          <w:rFonts w:ascii="Times New Roman" w:hAnsi="Times New Roman" w:cs="Times New Roman"/>
          <w:sz w:val="24"/>
          <w:szCs w:val="24"/>
        </w:rPr>
        <w:t>,</w:t>
      </w:r>
      <w:r>
        <w:rPr>
          <w:rFonts w:ascii="Times New Roman" w:hAnsi="Times New Roman" w:cs="Times New Roman"/>
          <w:sz w:val="24"/>
          <w:szCs w:val="24"/>
        </w:rPr>
        <w:t xml:space="preserve"> in April 2021.</w:t>
      </w:r>
    </w:p>
    <w:p w:rsidR="0030352B" w:rsidRDefault="00A20314" w:rsidP="0030352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respondents counsel submitted that each party should</w:t>
      </w:r>
      <w:r w:rsidR="0007430A">
        <w:rPr>
          <w:rFonts w:ascii="Times New Roman" w:hAnsi="Times New Roman" w:cs="Times New Roman"/>
          <w:sz w:val="24"/>
          <w:szCs w:val="24"/>
        </w:rPr>
        <w:t xml:space="preserve"> </w:t>
      </w:r>
      <w:r w:rsidR="0030352B">
        <w:rPr>
          <w:rFonts w:ascii="Times New Roman" w:hAnsi="Times New Roman" w:cs="Times New Roman"/>
          <w:sz w:val="24"/>
          <w:szCs w:val="24"/>
        </w:rPr>
        <w:t>bear its own costs. Counsel submitted that as far as the punitive costs order sought by the applicant was concerned</w:t>
      </w:r>
      <w:r w:rsidR="0007430A">
        <w:rPr>
          <w:rFonts w:ascii="Times New Roman" w:hAnsi="Times New Roman" w:cs="Times New Roman"/>
          <w:sz w:val="24"/>
          <w:szCs w:val="24"/>
        </w:rPr>
        <w:t>,</w:t>
      </w:r>
      <w:r w:rsidR="0030352B">
        <w:rPr>
          <w:rFonts w:ascii="Times New Roman" w:hAnsi="Times New Roman" w:cs="Times New Roman"/>
          <w:sz w:val="24"/>
          <w:szCs w:val="24"/>
        </w:rPr>
        <w:t xml:space="preserve"> there was no justification for such award of costs. Counsel submitted that the respondent did not act dishonestly nor with malice nor was the opposition filed </w:t>
      </w:r>
      <w:r w:rsidR="0007430A">
        <w:rPr>
          <w:rFonts w:ascii="Times New Roman" w:hAnsi="Times New Roman" w:cs="Times New Roman"/>
          <w:sz w:val="24"/>
          <w:szCs w:val="24"/>
        </w:rPr>
        <w:t xml:space="preserve">a </w:t>
      </w:r>
      <w:r w:rsidR="0030352B">
        <w:rPr>
          <w:rFonts w:ascii="Times New Roman" w:hAnsi="Times New Roman" w:cs="Times New Roman"/>
          <w:sz w:val="24"/>
          <w:szCs w:val="24"/>
        </w:rPr>
        <w:t>vexatious</w:t>
      </w:r>
      <w:r w:rsidR="0007430A">
        <w:rPr>
          <w:rFonts w:ascii="Times New Roman" w:hAnsi="Times New Roman" w:cs="Times New Roman"/>
          <w:sz w:val="24"/>
          <w:szCs w:val="24"/>
        </w:rPr>
        <w:t xml:space="preserve"> one</w:t>
      </w:r>
      <w:r w:rsidR="0030352B">
        <w:rPr>
          <w:rFonts w:ascii="Times New Roman" w:hAnsi="Times New Roman" w:cs="Times New Roman"/>
          <w:sz w:val="24"/>
          <w:szCs w:val="24"/>
        </w:rPr>
        <w:t xml:space="preserve">. </w:t>
      </w:r>
      <w:r w:rsidR="0007430A">
        <w:rPr>
          <w:rFonts w:ascii="Times New Roman" w:hAnsi="Times New Roman" w:cs="Times New Roman"/>
          <w:sz w:val="24"/>
          <w:szCs w:val="24"/>
        </w:rPr>
        <w:t>T</w:t>
      </w:r>
      <w:r w:rsidR="003E33C6">
        <w:rPr>
          <w:rFonts w:ascii="Times New Roman" w:hAnsi="Times New Roman" w:cs="Times New Roman"/>
          <w:sz w:val="24"/>
          <w:szCs w:val="24"/>
        </w:rPr>
        <w:t>he respondent’s counsel</w:t>
      </w:r>
      <w:r w:rsidR="0030352B">
        <w:rPr>
          <w:rFonts w:ascii="Times New Roman" w:hAnsi="Times New Roman" w:cs="Times New Roman"/>
          <w:sz w:val="24"/>
          <w:szCs w:val="24"/>
        </w:rPr>
        <w:t xml:space="preserve"> </w:t>
      </w:r>
      <w:r w:rsidR="0007430A">
        <w:rPr>
          <w:rFonts w:ascii="Times New Roman" w:hAnsi="Times New Roman" w:cs="Times New Roman"/>
          <w:sz w:val="24"/>
          <w:szCs w:val="24"/>
        </w:rPr>
        <w:t>submitted</w:t>
      </w:r>
      <w:r w:rsidR="0030352B">
        <w:rPr>
          <w:rFonts w:ascii="Times New Roman" w:hAnsi="Times New Roman" w:cs="Times New Roman"/>
          <w:sz w:val="24"/>
          <w:szCs w:val="24"/>
        </w:rPr>
        <w:t xml:space="preserve"> that the e-mails </w:t>
      </w:r>
      <w:r w:rsidR="003E33C6">
        <w:rPr>
          <w:rFonts w:ascii="Times New Roman" w:hAnsi="Times New Roman" w:cs="Times New Roman"/>
          <w:sz w:val="24"/>
          <w:szCs w:val="24"/>
        </w:rPr>
        <w:t xml:space="preserve">which were </w:t>
      </w:r>
      <w:r w:rsidR="0030352B">
        <w:rPr>
          <w:rFonts w:ascii="Times New Roman" w:hAnsi="Times New Roman" w:cs="Times New Roman"/>
          <w:sz w:val="24"/>
          <w:szCs w:val="24"/>
        </w:rPr>
        <w:t xml:space="preserve">allegedly not responded to </w:t>
      </w:r>
      <w:r w:rsidR="003E33C6">
        <w:rPr>
          <w:rFonts w:ascii="Times New Roman" w:hAnsi="Times New Roman" w:cs="Times New Roman"/>
          <w:sz w:val="24"/>
          <w:szCs w:val="24"/>
        </w:rPr>
        <w:t xml:space="preserve">by the respondent </w:t>
      </w:r>
      <w:r w:rsidR="0030352B">
        <w:rPr>
          <w:rFonts w:ascii="Times New Roman" w:hAnsi="Times New Roman" w:cs="Times New Roman"/>
          <w:sz w:val="24"/>
          <w:szCs w:val="24"/>
        </w:rPr>
        <w:t xml:space="preserve">were addressed to lower level employees who did not bring them to the attention of higher authority with decision making powers. Counsel submitted that </w:t>
      </w:r>
      <w:r w:rsidR="00315FE4">
        <w:rPr>
          <w:rFonts w:ascii="Times New Roman" w:hAnsi="Times New Roman" w:cs="Times New Roman"/>
          <w:sz w:val="24"/>
          <w:szCs w:val="24"/>
        </w:rPr>
        <w:t>if</w:t>
      </w:r>
      <w:r w:rsidR="0030352B">
        <w:rPr>
          <w:rFonts w:ascii="Times New Roman" w:hAnsi="Times New Roman" w:cs="Times New Roman"/>
          <w:sz w:val="24"/>
          <w:szCs w:val="24"/>
        </w:rPr>
        <w:t xml:space="preserve"> a costs order </w:t>
      </w:r>
      <w:r w:rsidR="00315FE4">
        <w:rPr>
          <w:rFonts w:ascii="Times New Roman" w:hAnsi="Times New Roman" w:cs="Times New Roman"/>
          <w:sz w:val="24"/>
          <w:szCs w:val="24"/>
        </w:rPr>
        <w:t xml:space="preserve">were to </w:t>
      </w:r>
      <w:r w:rsidR="0030352B">
        <w:rPr>
          <w:rFonts w:ascii="Times New Roman" w:hAnsi="Times New Roman" w:cs="Times New Roman"/>
          <w:sz w:val="24"/>
          <w:szCs w:val="24"/>
        </w:rPr>
        <w:t>be made</w:t>
      </w:r>
      <w:r w:rsidR="00315FE4">
        <w:rPr>
          <w:rFonts w:ascii="Times New Roman" w:hAnsi="Times New Roman" w:cs="Times New Roman"/>
          <w:sz w:val="24"/>
          <w:szCs w:val="24"/>
        </w:rPr>
        <w:t>,</w:t>
      </w:r>
      <w:r w:rsidR="0030352B">
        <w:rPr>
          <w:rFonts w:ascii="Times New Roman" w:hAnsi="Times New Roman" w:cs="Times New Roman"/>
          <w:sz w:val="24"/>
          <w:szCs w:val="24"/>
        </w:rPr>
        <w:t xml:space="preserve"> it should be made against the applicant.</w:t>
      </w:r>
    </w:p>
    <w:p w:rsidR="0030352B" w:rsidRDefault="0030352B" w:rsidP="0030352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courts’ approach to determining the issue of costs is guided by the trite principle that the award of costs is in the discretion of the court. In this regard, note should be taken of s 69 (3) of the Constitution. The provision</w:t>
      </w:r>
      <w:r w:rsidR="00315FE4">
        <w:rPr>
          <w:rFonts w:ascii="Times New Roman" w:hAnsi="Times New Roman" w:cs="Times New Roman"/>
          <w:sz w:val="24"/>
          <w:szCs w:val="24"/>
        </w:rPr>
        <w:t>s</w:t>
      </w:r>
      <w:r>
        <w:rPr>
          <w:rFonts w:ascii="Times New Roman" w:hAnsi="Times New Roman" w:cs="Times New Roman"/>
          <w:sz w:val="24"/>
          <w:szCs w:val="24"/>
        </w:rPr>
        <w:t xml:space="preserve"> of that section provides-</w:t>
      </w:r>
    </w:p>
    <w:p w:rsidR="0030352B" w:rsidRDefault="0030352B" w:rsidP="0030352B">
      <w:pPr>
        <w:spacing w:after="0" w:line="240" w:lineRule="auto"/>
        <w:ind w:left="720"/>
        <w:jc w:val="both"/>
        <w:rPr>
          <w:rFonts w:ascii="Times New Roman" w:hAnsi="Times New Roman" w:cs="Times New Roman"/>
        </w:rPr>
      </w:pPr>
      <w:r>
        <w:rPr>
          <w:rFonts w:ascii="Times New Roman" w:hAnsi="Times New Roman" w:cs="Times New Roman"/>
        </w:rPr>
        <w:t>“69 (3) Every person has the right of access to the courts, or to some other tribunal or forum established by law for the resolution of any dispute.”</w:t>
      </w:r>
    </w:p>
    <w:p w:rsidR="003754C1" w:rsidRDefault="003754C1" w:rsidP="0030352B">
      <w:pPr>
        <w:spacing w:after="0" w:line="240" w:lineRule="auto"/>
        <w:ind w:left="720"/>
        <w:jc w:val="both"/>
        <w:rPr>
          <w:rFonts w:ascii="Times New Roman" w:hAnsi="Times New Roman" w:cs="Times New Roman"/>
        </w:rPr>
      </w:pPr>
    </w:p>
    <w:p w:rsidR="0030352B" w:rsidRPr="003754C1" w:rsidRDefault="003754C1" w:rsidP="003754C1">
      <w:pPr>
        <w:spacing w:after="0" w:line="360" w:lineRule="auto"/>
        <w:ind w:firstLine="720"/>
        <w:jc w:val="both"/>
        <w:rPr>
          <w:rFonts w:ascii="Times New Roman" w:hAnsi="Times New Roman" w:cs="Times New Roman"/>
          <w:sz w:val="24"/>
          <w:szCs w:val="24"/>
        </w:rPr>
      </w:pPr>
      <w:r w:rsidRPr="003754C1">
        <w:rPr>
          <w:rFonts w:ascii="Times New Roman" w:hAnsi="Times New Roman" w:cs="Times New Roman"/>
          <w:sz w:val="24"/>
          <w:szCs w:val="24"/>
        </w:rPr>
        <w:lastRenderedPageBreak/>
        <w:t>Costs awards should</w:t>
      </w:r>
      <w:r w:rsidR="0005272A">
        <w:rPr>
          <w:rFonts w:ascii="Times New Roman" w:hAnsi="Times New Roman" w:cs="Times New Roman"/>
          <w:sz w:val="24"/>
          <w:szCs w:val="24"/>
        </w:rPr>
        <w:t xml:space="preserve"> therefore</w:t>
      </w:r>
      <w:r w:rsidRPr="003754C1">
        <w:rPr>
          <w:rFonts w:ascii="Times New Roman" w:hAnsi="Times New Roman" w:cs="Times New Roman"/>
          <w:sz w:val="24"/>
          <w:szCs w:val="24"/>
        </w:rPr>
        <w:t xml:space="preserve"> be made in the context of promoting and fulfilling the right of access to court and other</w:t>
      </w:r>
      <w:r>
        <w:rPr>
          <w:rFonts w:ascii="Times New Roman" w:hAnsi="Times New Roman" w:cs="Times New Roman"/>
          <w:sz w:val="24"/>
          <w:szCs w:val="24"/>
        </w:rPr>
        <w:t xml:space="preserve"> institutions established by law which perform the role of dispute resolution.</w:t>
      </w:r>
    </w:p>
    <w:p w:rsidR="0030352B" w:rsidRDefault="0030352B" w:rsidP="0030352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 costs order is punitive in nature notwithstanding the scale or level of a costs award. The order is punitive because costs are invariably awarded against the losing party. It is often stated that costs follow the result. It is therefore arguable and a moot point which I will not interrogate </w:t>
      </w:r>
      <w:r w:rsidR="00315FE4">
        <w:rPr>
          <w:rFonts w:ascii="Times New Roman" w:hAnsi="Times New Roman" w:cs="Times New Roman"/>
          <w:sz w:val="24"/>
          <w:szCs w:val="24"/>
        </w:rPr>
        <w:t>in detail</w:t>
      </w:r>
      <w:r>
        <w:rPr>
          <w:rFonts w:ascii="Times New Roman" w:hAnsi="Times New Roman" w:cs="Times New Roman"/>
          <w:sz w:val="24"/>
          <w:szCs w:val="24"/>
        </w:rPr>
        <w:t>, whether costs award</w:t>
      </w:r>
      <w:r w:rsidR="00315FE4">
        <w:rPr>
          <w:rFonts w:ascii="Times New Roman" w:hAnsi="Times New Roman" w:cs="Times New Roman"/>
          <w:sz w:val="24"/>
          <w:szCs w:val="24"/>
        </w:rPr>
        <w:t>s</w:t>
      </w:r>
      <w:r>
        <w:rPr>
          <w:rFonts w:ascii="Times New Roman" w:hAnsi="Times New Roman" w:cs="Times New Roman"/>
          <w:sz w:val="24"/>
          <w:szCs w:val="24"/>
        </w:rPr>
        <w:t xml:space="preserve"> do not impact on the individual</w:t>
      </w:r>
      <w:r w:rsidR="00315FE4">
        <w:rPr>
          <w:rFonts w:ascii="Times New Roman" w:hAnsi="Times New Roman" w:cs="Times New Roman"/>
          <w:sz w:val="24"/>
          <w:szCs w:val="24"/>
        </w:rPr>
        <w:t>’s</w:t>
      </w:r>
      <w:r>
        <w:rPr>
          <w:rFonts w:ascii="Times New Roman" w:hAnsi="Times New Roman" w:cs="Times New Roman"/>
          <w:sz w:val="24"/>
          <w:szCs w:val="24"/>
        </w:rPr>
        <w:t xml:space="preserve"> right of access to court in that </w:t>
      </w:r>
      <w:r w:rsidR="003754C1">
        <w:rPr>
          <w:rFonts w:ascii="Times New Roman" w:hAnsi="Times New Roman" w:cs="Times New Roman"/>
          <w:sz w:val="24"/>
          <w:szCs w:val="24"/>
        </w:rPr>
        <w:t xml:space="preserve">by invariably awarding cots to the successful party, </w:t>
      </w:r>
      <w:r>
        <w:rPr>
          <w:rFonts w:ascii="Times New Roman" w:hAnsi="Times New Roman" w:cs="Times New Roman"/>
          <w:sz w:val="24"/>
          <w:szCs w:val="24"/>
        </w:rPr>
        <w:t xml:space="preserve">a court is viewed as an institution which is sympathetic to the </w:t>
      </w:r>
      <w:r w:rsidR="00315FE4">
        <w:rPr>
          <w:rFonts w:ascii="Times New Roman" w:hAnsi="Times New Roman" w:cs="Times New Roman"/>
          <w:sz w:val="24"/>
          <w:szCs w:val="24"/>
        </w:rPr>
        <w:t>winners</w:t>
      </w:r>
      <w:r>
        <w:rPr>
          <w:rFonts w:ascii="Times New Roman" w:hAnsi="Times New Roman" w:cs="Times New Roman"/>
          <w:sz w:val="24"/>
          <w:szCs w:val="24"/>
        </w:rPr>
        <w:t xml:space="preserve"> of a litigation as it punishes the loser. It is therefore proper that the award of costs is left to the court to determine in its discretion taking account of the circumstances of each individual case in which the issue of costs must be determined. The determination of costs should therefore not be based upon the sole consideration that the loser is mulcted with an order of costs. People may be</w:t>
      </w:r>
      <w:r w:rsidR="003754C1">
        <w:rPr>
          <w:rFonts w:ascii="Times New Roman" w:hAnsi="Times New Roman" w:cs="Times New Roman"/>
          <w:sz w:val="24"/>
          <w:szCs w:val="24"/>
        </w:rPr>
        <w:t xml:space="preserve"> discouraged to approach the cour</w:t>
      </w:r>
      <w:r>
        <w:rPr>
          <w:rFonts w:ascii="Times New Roman" w:hAnsi="Times New Roman" w:cs="Times New Roman"/>
          <w:sz w:val="24"/>
          <w:szCs w:val="24"/>
        </w:rPr>
        <w:t xml:space="preserve">t for fear of costs orders being made against them. The role of courts </w:t>
      </w:r>
      <w:r w:rsidR="00315FE4">
        <w:rPr>
          <w:rFonts w:ascii="Times New Roman" w:hAnsi="Times New Roman" w:cs="Times New Roman"/>
          <w:sz w:val="24"/>
          <w:szCs w:val="24"/>
        </w:rPr>
        <w:t>is</w:t>
      </w:r>
      <w:r>
        <w:rPr>
          <w:rFonts w:ascii="Times New Roman" w:hAnsi="Times New Roman" w:cs="Times New Roman"/>
          <w:sz w:val="24"/>
          <w:szCs w:val="24"/>
        </w:rPr>
        <w:t xml:space="preserve"> paramount in promoting</w:t>
      </w:r>
      <w:r w:rsidR="00315FE4">
        <w:rPr>
          <w:rFonts w:ascii="Times New Roman" w:hAnsi="Times New Roman" w:cs="Times New Roman"/>
          <w:sz w:val="24"/>
          <w:szCs w:val="24"/>
        </w:rPr>
        <w:t xml:space="preserve"> human rights and</w:t>
      </w:r>
      <w:r>
        <w:rPr>
          <w:rFonts w:ascii="Times New Roman" w:hAnsi="Times New Roman" w:cs="Times New Roman"/>
          <w:sz w:val="24"/>
          <w:szCs w:val="24"/>
        </w:rPr>
        <w:t xml:space="preserve"> the interests of justice and safeguarding them. Court</w:t>
      </w:r>
      <w:r w:rsidR="00315FE4">
        <w:rPr>
          <w:rFonts w:ascii="Times New Roman" w:hAnsi="Times New Roman" w:cs="Times New Roman"/>
          <w:sz w:val="24"/>
          <w:szCs w:val="24"/>
        </w:rPr>
        <w:t>s</w:t>
      </w:r>
      <w:r>
        <w:rPr>
          <w:rFonts w:ascii="Times New Roman" w:hAnsi="Times New Roman" w:cs="Times New Roman"/>
          <w:sz w:val="24"/>
          <w:szCs w:val="24"/>
        </w:rPr>
        <w:t xml:space="preserve"> must remain open</w:t>
      </w:r>
      <w:r w:rsidR="004F6B46">
        <w:rPr>
          <w:rFonts w:ascii="Times New Roman" w:hAnsi="Times New Roman" w:cs="Times New Roman"/>
          <w:sz w:val="24"/>
          <w:szCs w:val="24"/>
        </w:rPr>
        <w:t xml:space="preserve"> and accessible</w:t>
      </w:r>
      <w:r>
        <w:rPr>
          <w:rFonts w:ascii="Times New Roman" w:hAnsi="Times New Roman" w:cs="Times New Roman"/>
          <w:sz w:val="24"/>
          <w:szCs w:val="24"/>
        </w:rPr>
        <w:t xml:space="preserve"> institutions for every person to seek a determination of his or her rights and for the person sued to feel free to defend a claim made against </w:t>
      </w:r>
      <w:r w:rsidR="004F6B46">
        <w:rPr>
          <w:rFonts w:ascii="Times New Roman" w:hAnsi="Times New Roman" w:cs="Times New Roman"/>
          <w:sz w:val="24"/>
          <w:szCs w:val="24"/>
        </w:rPr>
        <w:t>him or her</w:t>
      </w:r>
      <w:r w:rsidR="00315FE4">
        <w:rPr>
          <w:rFonts w:ascii="Times New Roman" w:hAnsi="Times New Roman" w:cs="Times New Roman"/>
          <w:sz w:val="24"/>
          <w:szCs w:val="24"/>
        </w:rPr>
        <w:t xml:space="preserve"> without fear of ending up insolvent on account of costs of litigation having to be paid by order of the very same courts which hold its doors open to every litigant</w:t>
      </w:r>
      <w:r>
        <w:rPr>
          <w:rFonts w:ascii="Times New Roman" w:hAnsi="Times New Roman" w:cs="Times New Roman"/>
          <w:sz w:val="24"/>
          <w:szCs w:val="24"/>
        </w:rPr>
        <w:t>. The rules of cou</w:t>
      </w:r>
      <w:r w:rsidR="004F6B46">
        <w:rPr>
          <w:rFonts w:ascii="Times New Roman" w:hAnsi="Times New Roman" w:cs="Times New Roman"/>
          <w:sz w:val="24"/>
          <w:szCs w:val="24"/>
        </w:rPr>
        <w:t>rt however provide for what is</w:t>
      </w:r>
      <w:r w:rsidR="00315FE4">
        <w:rPr>
          <w:rFonts w:ascii="Times New Roman" w:hAnsi="Times New Roman" w:cs="Times New Roman"/>
          <w:sz w:val="24"/>
          <w:szCs w:val="24"/>
        </w:rPr>
        <w:t xml:space="preserve"> consider</w:t>
      </w:r>
      <w:r w:rsidR="004F6B46">
        <w:rPr>
          <w:rFonts w:ascii="Times New Roman" w:hAnsi="Times New Roman" w:cs="Times New Roman"/>
          <w:sz w:val="24"/>
          <w:szCs w:val="24"/>
        </w:rPr>
        <w:t>ed</w:t>
      </w:r>
      <w:r>
        <w:rPr>
          <w:rFonts w:ascii="Times New Roman" w:hAnsi="Times New Roman" w:cs="Times New Roman"/>
          <w:sz w:val="24"/>
          <w:szCs w:val="24"/>
        </w:rPr>
        <w:t xml:space="preserve"> a reasonable tariff o</w:t>
      </w:r>
      <w:r w:rsidR="00315FE4">
        <w:rPr>
          <w:rFonts w:ascii="Times New Roman" w:hAnsi="Times New Roman" w:cs="Times New Roman"/>
          <w:sz w:val="24"/>
          <w:szCs w:val="24"/>
        </w:rPr>
        <w:t>f</w:t>
      </w:r>
      <w:r>
        <w:rPr>
          <w:rFonts w:ascii="Times New Roman" w:hAnsi="Times New Roman" w:cs="Times New Roman"/>
          <w:sz w:val="24"/>
          <w:szCs w:val="24"/>
        </w:rPr>
        <w:t xml:space="preserve"> court costs as well as party and party costs. </w:t>
      </w:r>
      <w:r w:rsidR="004F6B46">
        <w:rPr>
          <w:rFonts w:ascii="Times New Roman" w:hAnsi="Times New Roman" w:cs="Times New Roman"/>
          <w:sz w:val="24"/>
          <w:szCs w:val="24"/>
        </w:rPr>
        <w:t xml:space="preserve">The default position must therefore be to award party and party costs where an award of costs is made. </w:t>
      </w:r>
      <w:r>
        <w:rPr>
          <w:rFonts w:ascii="Times New Roman" w:hAnsi="Times New Roman" w:cs="Times New Roman"/>
          <w:sz w:val="24"/>
          <w:szCs w:val="24"/>
        </w:rPr>
        <w:t>There must therefore be special cause established by a litigant who claims costs at a more punitive level that such level of costs is deserved or justified.</w:t>
      </w:r>
    </w:p>
    <w:p w:rsidR="0030352B" w:rsidRDefault="0030352B" w:rsidP="0030352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the case of </w:t>
      </w:r>
      <w:r>
        <w:rPr>
          <w:rFonts w:ascii="Times New Roman" w:hAnsi="Times New Roman" w:cs="Times New Roman"/>
          <w:i/>
          <w:sz w:val="24"/>
          <w:szCs w:val="24"/>
        </w:rPr>
        <w:t>Ferreira</w:t>
      </w:r>
      <w:r>
        <w:rPr>
          <w:rFonts w:ascii="Times New Roman" w:hAnsi="Times New Roman" w:cs="Times New Roman"/>
          <w:sz w:val="24"/>
          <w:szCs w:val="24"/>
        </w:rPr>
        <w:t xml:space="preserve"> v </w:t>
      </w:r>
      <w:r>
        <w:rPr>
          <w:rFonts w:ascii="Times New Roman" w:hAnsi="Times New Roman" w:cs="Times New Roman"/>
          <w:i/>
          <w:sz w:val="24"/>
          <w:szCs w:val="24"/>
        </w:rPr>
        <w:t>Levin N</w:t>
      </w:r>
      <w:r w:rsidR="00315FE4">
        <w:rPr>
          <w:rFonts w:ascii="Times New Roman" w:hAnsi="Times New Roman" w:cs="Times New Roman"/>
          <w:i/>
          <w:sz w:val="24"/>
          <w:szCs w:val="24"/>
        </w:rPr>
        <w:t>.</w:t>
      </w:r>
      <w:r>
        <w:rPr>
          <w:rFonts w:ascii="Times New Roman" w:hAnsi="Times New Roman" w:cs="Times New Roman"/>
          <w:i/>
          <w:sz w:val="24"/>
          <w:szCs w:val="24"/>
        </w:rPr>
        <w:t>O and Others</w:t>
      </w:r>
      <w:r>
        <w:rPr>
          <w:rFonts w:ascii="Times New Roman" w:hAnsi="Times New Roman" w:cs="Times New Roman"/>
          <w:sz w:val="24"/>
          <w:szCs w:val="24"/>
        </w:rPr>
        <w:t xml:space="preserve"> 1996 (2) SA</w:t>
      </w:r>
      <w:r w:rsidR="00315FE4">
        <w:rPr>
          <w:rFonts w:ascii="Times New Roman" w:hAnsi="Times New Roman" w:cs="Times New Roman"/>
          <w:sz w:val="24"/>
          <w:szCs w:val="24"/>
        </w:rPr>
        <w:t xml:space="preserve"> 984 (CC)</w:t>
      </w:r>
      <w:r w:rsidR="0005272A">
        <w:rPr>
          <w:rFonts w:ascii="Times New Roman" w:hAnsi="Times New Roman" w:cs="Times New Roman"/>
          <w:sz w:val="24"/>
          <w:szCs w:val="24"/>
        </w:rPr>
        <w:t xml:space="preserve"> it is stated</w:t>
      </w:r>
      <w:r>
        <w:rPr>
          <w:rFonts w:ascii="Times New Roman" w:hAnsi="Times New Roman" w:cs="Times New Roman"/>
          <w:sz w:val="24"/>
          <w:szCs w:val="24"/>
        </w:rPr>
        <w:t xml:space="preserve"> at p</w:t>
      </w:r>
      <w:r w:rsidR="00315FE4">
        <w:rPr>
          <w:rFonts w:ascii="Times New Roman" w:hAnsi="Times New Roman" w:cs="Times New Roman"/>
          <w:sz w:val="24"/>
          <w:szCs w:val="24"/>
        </w:rPr>
        <w:t xml:space="preserve"> 1012 </w:t>
      </w:r>
      <w:r>
        <w:rPr>
          <w:rFonts w:ascii="Times New Roman" w:hAnsi="Times New Roman" w:cs="Times New Roman"/>
          <w:sz w:val="24"/>
          <w:szCs w:val="24"/>
        </w:rPr>
        <w:t>as follows-</w:t>
      </w:r>
    </w:p>
    <w:p w:rsidR="0030352B" w:rsidRDefault="0030352B" w:rsidP="0030352B">
      <w:pPr>
        <w:spacing w:after="0" w:line="240" w:lineRule="auto"/>
        <w:ind w:left="720"/>
        <w:jc w:val="both"/>
        <w:rPr>
          <w:rFonts w:ascii="Times New Roman" w:hAnsi="Times New Roman" w:cs="Times New Roman"/>
        </w:rPr>
      </w:pPr>
      <w:r>
        <w:rPr>
          <w:rFonts w:ascii="Times New Roman" w:hAnsi="Times New Roman" w:cs="Times New Roman"/>
        </w:rPr>
        <w:t>“The Supreme Court has over the years developed a flexible approach to costs which proceeds from two basic principles, the first being that the award of costs, unless expressly otherwise enacted is in the discretion of the court and the second that a successful party should, as a general rule, have his or her costs. Even the second principle is subject to a large number of exceptions where the successful part is deprived of his or her costs. Without attempting either comprehensiveness or complete analytical accuracy depriving successful parties of their costs can depend on circumstances such as for example; the conduct of the parties, the conduct of their legal representatives, whether a party achieves technical success only, the nature of the litigants and the nature of the proceedings.”</w:t>
      </w:r>
    </w:p>
    <w:p w:rsidR="0030352B" w:rsidRDefault="0030352B" w:rsidP="0030352B">
      <w:pPr>
        <w:spacing w:after="0" w:line="240" w:lineRule="auto"/>
        <w:jc w:val="both"/>
        <w:rPr>
          <w:rFonts w:ascii="Times New Roman" w:hAnsi="Times New Roman" w:cs="Times New Roman"/>
        </w:rPr>
      </w:pPr>
    </w:p>
    <w:p w:rsidR="0030352B" w:rsidRDefault="0030352B" w:rsidP="0030352B">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In the case of </w:t>
      </w:r>
      <w:r>
        <w:rPr>
          <w:rFonts w:ascii="Times New Roman" w:hAnsi="Times New Roman" w:cs="Times New Roman"/>
          <w:i/>
          <w:sz w:val="24"/>
          <w:szCs w:val="24"/>
        </w:rPr>
        <w:t>Mutunhu</w:t>
      </w:r>
      <w:r>
        <w:rPr>
          <w:rFonts w:ascii="Times New Roman" w:hAnsi="Times New Roman" w:cs="Times New Roman"/>
          <w:sz w:val="24"/>
          <w:szCs w:val="24"/>
        </w:rPr>
        <w:t xml:space="preserve"> v </w:t>
      </w:r>
      <w:r>
        <w:rPr>
          <w:rFonts w:ascii="Times New Roman" w:hAnsi="Times New Roman" w:cs="Times New Roman"/>
          <w:i/>
          <w:sz w:val="24"/>
          <w:szCs w:val="24"/>
        </w:rPr>
        <w:t>Crest Poultry Group (Pvt) Ltd</w:t>
      </w:r>
      <w:r>
        <w:rPr>
          <w:rFonts w:ascii="Times New Roman" w:hAnsi="Times New Roman" w:cs="Times New Roman"/>
          <w:sz w:val="24"/>
          <w:szCs w:val="24"/>
        </w:rPr>
        <w:t xml:space="preserve"> HH 399/17 </w:t>
      </w:r>
      <w:r>
        <w:rPr>
          <w:rFonts w:ascii="Times New Roman" w:hAnsi="Times New Roman" w:cs="Times New Roman"/>
          <w:smallCaps/>
          <w:sz w:val="24"/>
          <w:szCs w:val="24"/>
        </w:rPr>
        <w:t>Mushore J</w:t>
      </w:r>
      <w:r>
        <w:rPr>
          <w:rFonts w:ascii="Times New Roman" w:hAnsi="Times New Roman" w:cs="Times New Roman"/>
          <w:sz w:val="24"/>
          <w:szCs w:val="24"/>
        </w:rPr>
        <w:t xml:space="preserve"> in making an order for costs on the legal practitioner scale as claimed by the applicant herein stated at p </w:t>
      </w:r>
      <w:r w:rsidR="00315FE4">
        <w:rPr>
          <w:rFonts w:ascii="Times New Roman" w:hAnsi="Times New Roman" w:cs="Times New Roman"/>
          <w:sz w:val="24"/>
          <w:szCs w:val="24"/>
        </w:rPr>
        <w:t>22</w:t>
      </w:r>
      <w:r>
        <w:rPr>
          <w:rFonts w:ascii="Times New Roman" w:hAnsi="Times New Roman" w:cs="Times New Roman"/>
          <w:sz w:val="24"/>
          <w:szCs w:val="24"/>
        </w:rPr>
        <w:t xml:space="preserve"> of the cyclostyled judgment:</w:t>
      </w:r>
    </w:p>
    <w:p w:rsidR="0030352B" w:rsidRDefault="0030352B" w:rsidP="0030352B">
      <w:pPr>
        <w:spacing w:after="0" w:line="240" w:lineRule="auto"/>
        <w:ind w:left="720"/>
        <w:jc w:val="both"/>
        <w:rPr>
          <w:rFonts w:ascii="Times New Roman" w:hAnsi="Times New Roman" w:cs="Times New Roman"/>
        </w:rPr>
      </w:pPr>
      <w:r>
        <w:rPr>
          <w:rFonts w:ascii="Times New Roman" w:hAnsi="Times New Roman" w:cs="Times New Roman"/>
          <w:sz w:val="24"/>
          <w:szCs w:val="24"/>
        </w:rPr>
        <w:t>“</w:t>
      </w:r>
      <w:r>
        <w:rPr>
          <w:rFonts w:ascii="Times New Roman" w:hAnsi="Times New Roman" w:cs="Times New Roman"/>
        </w:rPr>
        <w:t xml:space="preserve">The defendant has sought an award of damages (sic) on a higher scale. It is settled law that the award costs on an attorney/client scale is likely to be granted if the conduct of the litigant from which such an award is sought amount to an abuse of the court process and that his actions thereby </w:t>
      </w:r>
      <w:r>
        <w:rPr>
          <w:rFonts w:ascii="Times New Roman" w:hAnsi="Times New Roman" w:cs="Times New Roman"/>
        </w:rPr>
        <w:tab/>
        <w:t>b</w:t>
      </w:r>
      <w:r w:rsidR="00315FE4">
        <w:rPr>
          <w:rFonts w:ascii="Times New Roman" w:hAnsi="Times New Roman" w:cs="Times New Roman"/>
        </w:rPr>
        <w:t xml:space="preserve">rought </w:t>
      </w:r>
      <w:r>
        <w:rPr>
          <w:rFonts w:ascii="Times New Roman" w:hAnsi="Times New Roman" w:cs="Times New Roman"/>
        </w:rPr>
        <w:t xml:space="preserve">additional and unwarranted expenses to the other party. The leading case on the issue is </w:t>
      </w:r>
      <w:r>
        <w:rPr>
          <w:rFonts w:ascii="Times New Roman" w:hAnsi="Times New Roman" w:cs="Times New Roman"/>
          <w:i/>
        </w:rPr>
        <w:t>Nel</w:t>
      </w:r>
      <w:r>
        <w:rPr>
          <w:rFonts w:ascii="Times New Roman" w:hAnsi="Times New Roman" w:cs="Times New Roman"/>
        </w:rPr>
        <w:t xml:space="preserve"> v </w:t>
      </w:r>
      <w:r>
        <w:rPr>
          <w:rFonts w:ascii="Times New Roman" w:hAnsi="Times New Roman" w:cs="Times New Roman"/>
          <w:i/>
        </w:rPr>
        <w:t>Waterbuung Landbouwers Ko-operative</w:t>
      </w:r>
      <w:r>
        <w:rPr>
          <w:rFonts w:ascii="Times New Roman" w:hAnsi="Times New Roman" w:cs="Times New Roman"/>
        </w:rPr>
        <w:t xml:space="preserve"> Vereenining 1946 AD 54 where the court found that the party ought not to be put out of pocket for unnecessary proceedings. Also see </w:t>
      </w:r>
      <w:r>
        <w:rPr>
          <w:rFonts w:ascii="Times New Roman" w:hAnsi="Times New Roman" w:cs="Times New Roman"/>
          <w:i/>
        </w:rPr>
        <w:t>Muduma</w:t>
      </w:r>
      <w:r>
        <w:rPr>
          <w:rFonts w:ascii="Times New Roman" w:hAnsi="Times New Roman" w:cs="Times New Roman"/>
        </w:rPr>
        <w:t xml:space="preserve"> v </w:t>
      </w:r>
      <w:r>
        <w:rPr>
          <w:rFonts w:ascii="Times New Roman" w:hAnsi="Times New Roman" w:cs="Times New Roman"/>
          <w:i/>
        </w:rPr>
        <w:t>Municipality of Chinhoyi and Samuriwo</w:t>
      </w:r>
      <w:r>
        <w:rPr>
          <w:rFonts w:ascii="Times New Roman" w:hAnsi="Times New Roman" w:cs="Times New Roman"/>
        </w:rPr>
        <w:t xml:space="preserve"> 1986(1) ZLR 12 (HC) where </w:t>
      </w:r>
      <w:r>
        <w:rPr>
          <w:rFonts w:ascii="Times New Roman" w:hAnsi="Times New Roman" w:cs="Times New Roman"/>
          <w:smallCaps/>
        </w:rPr>
        <w:t>Reynolds J</w:t>
      </w:r>
      <w:r>
        <w:rPr>
          <w:rFonts w:ascii="Times New Roman" w:hAnsi="Times New Roman" w:cs="Times New Roman"/>
        </w:rPr>
        <w:t xml:space="preserve"> found that one party was put through considerable inconvenience by virtue of the </w:t>
      </w:r>
      <w:r w:rsidR="00356165">
        <w:rPr>
          <w:rFonts w:ascii="Times New Roman" w:hAnsi="Times New Roman" w:cs="Times New Roman"/>
        </w:rPr>
        <w:t>respondent’s</w:t>
      </w:r>
      <w:r>
        <w:rPr>
          <w:rFonts w:ascii="Times New Roman" w:hAnsi="Times New Roman" w:cs="Times New Roman"/>
        </w:rPr>
        <w:t xml:space="preserve"> unreasonable objections and behaviour.”</w:t>
      </w:r>
    </w:p>
    <w:p w:rsidR="0030352B" w:rsidRDefault="0030352B" w:rsidP="0030352B">
      <w:pPr>
        <w:spacing w:after="0" w:line="240" w:lineRule="auto"/>
        <w:jc w:val="both"/>
        <w:rPr>
          <w:rFonts w:ascii="Times New Roman" w:hAnsi="Times New Roman" w:cs="Times New Roman"/>
        </w:rPr>
      </w:pPr>
    </w:p>
    <w:p w:rsidR="0030352B" w:rsidRDefault="0030352B" w:rsidP="0030352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two authorities emphasize respectively that the award of costs is in the discretion of the court. Like every exercise of discretion, it must be judiciously exercised taking into account all relevant facts and always guided by the general principle that costs ordinarily follow the event unless circumstances of the case justify a deprivation of costs or award of punitive costs. Where costs are awarded they are generally awarded on the party and party scale. Secondly, an award of costs on the scale of attorney and client as sought by the applicant amount</w:t>
      </w:r>
      <w:r w:rsidR="00315FE4">
        <w:rPr>
          <w:rFonts w:ascii="Times New Roman" w:hAnsi="Times New Roman" w:cs="Times New Roman"/>
          <w:sz w:val="24"/>
          <w:szCs w:val="24"/>
        </w:rPr>
        <w:t>s</w:t>
      </w:r>
      <w:r>
        <w:rPr>
          <w:rFonts w:ascii="Times New Roman" w:hAnsi="Times New Roman" w:cs="Times New Roman"/>
          <w:sz w:val="24"/>
          <w:szCs w:val="24"/>
        </w:rPr>
        <w:t xml:space="preserve"> to a special award which is punitive and as such special circumstances must be established by the party claiming costs on that scale to justify the award.</w:t>
      </w:r>
    </w:p>
    <w:p w:rsidR="0030352B" w:rsidRDefault="0030352B" w:rsidP="0030352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w:t>
      </w:r>
      <w:r>
        <w:rPr>
          <w:rFonts w:ascii="Times New Roman" w:hAnsi="Times New Roman" w:cs="Times New Roman"/>
          <w:i/>
          <w:sz w:val="24"/>
          <w:szCs w:val="24"/>
        </w:rPr>
        <w:t>casu</w:t>
      </w:r>
      <w:r>
        <w:rPr>
          <w:rFonts w:ascii="Times New Roman" w:hAnsi="Times New Roman" w:cs="Times New Roman"/>
          <w:sz w:val="24"/>
          <w:szCs w:val="24"/>
        </w:rPr>
        <w:t xml:space="preserve">, </w:t>
      </w:r>
      <w:r w:rsidRPr="0030352B">
        <w:rPr>
          <w:rFonts w:ascii="Times New Roman" w:hAnsi="Times New Roman" w:cs="Times New Roman"/>
          <w:sz w:val="24"/>
          <w:szCs w:val="24"/>
        </w:rPr>
        <w:t>Mr</w:t>
      </w:r>
      <w:r>
        <w:rPr>
          <w:rFonts w:ascii="Times New Roman" w:hAnsi="Times New Roman" w:cs="Times New Roman"/>
          <w:i/>
          <w:sz w:val="24"/>
          <w:szCs w:val="24"/>
        </w:rPr>
        <w:t xml:space="preserve"> Mashizha</w:t>
      </w:r>
      <w:r>
        <w:rPr>
          <w:rFonts w:ascii="Times New Roman" w:hAnsi="Times New Roman" w:cs="Times New Roman"/>
          <w:sz w:val="24"/>
          <w:szCs w:val="24"/>
        </w:rPr>
        <w:t xml:space="preserve"> justified the applicant’s prayer for the award of punitive costs on the fact that the respondent mistreated the applicant, its employee </w:t>
      </w:r>
      <w:r w:rsidR="00315FE4">
        <w:rPr>
          <w:rFonts w:ascii="Times New Roman" w:hAnsi="Times New Roman" w:cs="Times New Roman"/>
          <w:sz w:val="24"/>
          <w:szCs w:val="24"/>
        </w:rPr>
        <w:t xml:space="preserve">by holding on to payment of salary </w:t>
      </w:r>
      <w:r>
        <w:rPr>
          <w:rFonts w:ascii="Times New Roman" w:hAnsi="Times New Roman" w:cs="Times New Roman"/>
          <w:sz w:val="24"/>
          <w:szCs w:val="24"/>
        </w:rPr>
        <w:t xml:space="preserve">and also failed to respond to correspondence. </w:t>
      </w:r>
      <w:r>
        <w:rPr>
          <w:rFonts w:ascii="Times New Roman" w:hAnsi="Times New Roman" w:cs="Times New Roman"/>
          <w:i/>
          <w:sz w:val="24"/>
          <w:szCs w:val="24"/>
        </w:rPr>
        <w:t>Ms Chipetani</w:t>
      </w:r>
      <w:r>
        <w:rPr>
          <w:rFonts w:ascii="Times New Roman" w:hAnsi="Times New Roman" w:cs="Times New Roman"/>
          <w:sz w:val="24"/>
          <w:szCs w:val="24"/>
        </w:rPr>
        <w:t xml:space="preserve"> for the respondent submitted that the communications were addressed to lower level </w:t>
      </w:r>
      <w:r w:rsidR="00356165">
        <w:rPr>
          <w:rFonts w:ascii="Times New Roman" w:hAnsi="Times New Roman" w:cs="Times New Roman"/>
          <w:sz w:val="24"/>
          <w:szCs w:val="24"/>
        </w:rPr>
        <w:t>employees instead of to the H</w:t>
      </w:r>
      <w:r w:rsidR="00315FE4">
        <w:rPr>
          <w:rFonts w:ascii="Times New Roman" w:hAnsi="Times New Roman" w:cs="Times New Roman"/>
          <w:sz w:val="24"/>
          <w:szCs w:val="24"/>
        </w:rPr>
        <w:t>ea</w:t>
      </w:r>
      <w:r>
        <w:rPr>
          <w:rFonts w:ascii="Times New Roman" w:hAnsi="Times New Roman" w:cs="Times New Roman"/>
          <w:sz w:val="24"/>
          <w:szCs w:val="24"/>
        </w:rPr>
        <w:t xml:space="preserve">d of the respondent. Ordinarily communications addressed to and for the attention of a juristic person are addressed to the person at the top of the organization, in this case, the Commissioner General, though it can be referenced for the attention of a named person. This was not the case in this case because the correspondence </w:t>
      </w:r>
      <w:r w:rsidR="00DB5D2A">
        <w:rPr>
          <w:rFonts w:ascii="Times New Roman" w:hAnsi="Times New Roman" w:cs="Times New Roman"/>
          <w:sz w:val="24"/>
          <w:szCs w:val="24"/>
        </w:rPr>
        <w:t xml:space="preserve">by the applicant </w:t>
      </w:r>
      <w:r>
        <w:rPr>
          <w:rFonts w:ascii="Times New Roman" w:hAnsi="Times New Roman" w:cs="Times New Roman"/>
          <w:sz w:val="24"/>
          <w:szCs w:val="24"/>
        </w:rPr>
        <w:t>was directed to persons whose designation was not mentioned but appear to have had some connection with salary payments. Under the circumstances, I cannot hold that the respondent be penalized for a failure to respond to correspondence and e-mail</w:t>
      </w:r>
      <w:r w:rsidR="00356165">
        <w:rPr>
          <w:rFonts w:ascii="Times New Roman" w:hAnsi="Times New Roman" w:cs="Times New Roman"/>
          <w:sz w:val="24"/>
          <w:szCs w:val="24"/>
        </w:rPr>
        <w:t xml:space="preserve">s where it was </w:t>
      </w:r>
      <w:r w:rsidR="0005272A">
        <w:rPr>
          <w:rFonts w:ascii="Times New Roman" w:hAnsi="Times New Roman" w:cs="Times New Roman"/>
          <w:sz w:val="24"/>
          <w:szCs w:val="24"/>
        </w:rPr>
        <w:t>not</w:t>
      </w:r>
      <w:r w:rsidR="00356165">
        <w:rPr>
          <w:rFonts w:ascii="Times New Roman" w:hAnsi="Times New Roman" w:cs="Times New Roman"/>
          <w:sz w:val="24"/>
          <w:szCs w:val="24"/>
        </w:rPr>
        <w:t>shown that the correspondence was directed to the head of the respondent</w:t>
      </w:r>
      <w:r>
        <w:rPr>
          <w:rFonts w:ascii="Times New Roman" w:hAnsi="Times New Roman" w:cs="Times New Roman"/>
          <w:sz w:val="24"/>
          <w:szCs w:val="24"/>
        </w:rPr>
        <w:t xml:space="preserve">. It also occurred to me that the facts of this matter clearly revealed a labour dispute regarding stoppage of salary payments. </w:t>
      </w:r>
      <w:r w:rsidR="00DB5D2A">
        <w:rPr>
          <w:rFonts w:ascii="Times New Roman" w:hAnsi="Times New Roman" w:cs="Times New Roman"/>
          <w:sz w:val="24"/>
          <w:szCs w:val="24"/>
        </w:rPr>
        <w:t>The</w:t>
      </w:r>
      <w:r>
        <w:rPr>
          <w:rFonts w:ascii="Times New Roman" w:hAnsi="Times New Roman" w:cs="Times New Roman"/>
          <w:sz w:val="24"/>
          <w:szCs w:val="24"/>
        </w:rPr>
        <w:t xml:space="preserve"> matter </w:t>
      </w:r>
      <w:r w:rsidR="00DB5D2A" w:rsidRPr="00DB5D2A">
        <w:rPr>
          <w:rFonts w:ascii="Times New Roman" w:hAnsi="Times New Roman" w:cs="Times New Roman"/>
          <w:i/>
          <w:sz w:val="24"/>
          <w:szCs w:val="24"/>
        </w:rPr>
        <w:t>in casu</w:t>
      </w:r>
      <w:r w:rsidR="00DB5D2A">
        <w:rPr>
          <w:rFonts w:ascii="Times New Roman" w:hAnsi="Times New Roman" w:cs="Times New Roman"/>
          <w:sz w:val="24"/>
          <w:szCs w:val="24"/>
        </w:rPr>
        <w:t xml:space="preserve"> </w:t>
      </w:r>
      <w:r>
        <w:rPr>
          <w:rFonts w:ascii="Times New Roman" w:hAnsi="Times New Roman" w:cs="Times New Roman"/>
          <w:sz w:val="24"/>
          <w:szCs w:val="24"/>
        </w:rPr>
        <w:t>could have been resolved internally by the applicant escalating the dispute within labour dispute resolution mechanisms</w:t>
      </w:r>
      <w:r w:rsidR="00356165">
        <w:rPr>
          <w:rFonts w:ascii="Times New Roman" w:hAnsi="Times New Roman" w:cs="Times New Roman"/>
          <w:sz w:val="24"/>
          <w:szCs w:val="24"/>
        </w:rPr>
        <w:t xml:space="preserve"> starting at the workplace</w:t>
      </w:r>
      <w:r>
        <w:rPr>
          <w:rFonts w:ascii="Times New Roman" w:hAnsi="Times New Roman" w:cs="Times New Roman"/>
          <w:sz w:val="24"/>
          <w:szCs w:val="24"/>
        </w:rPr>
        <w:t xml:space="preserve">. The applicant was not without recourse. On the other hand, I did not appreciate the fact that the respondent also adopted an aggressive attitude to </w:t>
      </w:r>
      <w:r>
        <w:rPr>
          <w:rFonts w:ascii="Times New Roman" w:hAnsi="Times New Roman" w:cs="Times New Roman"/>
          <w:sz w:val="24"/>
          <w:szCs w:val="24"/>
        </w:rPr>
        <w:lastRenderedPageBreak/>
        <w:t>strenuously defend the claim without making a tender of payment of withheld salary on condition that the applicants completed all leave documents required of him.</w:t>
      </w:r>
      <w:r w:rsidR="00356165">
        <w:rPr>
          <w:rFonts w:ascii="Times New Roman" w:hAnsi="Times New Roman" w:cs="Times New Roman"/>
          <w:sz w:val="24"/>
          <w:szCs w:val="24"/>
        </w:rPr>
        <w:t xml:space="preserve"> Had such tender made, the litigation may have been resolved earlier or part</w:t>
      </w:r>
      <w:r w:rsidR="00DB5D2A">
        <w:rPr>
          <w:rFonts w:ascii="Times New Roman" w:hAnsi="Times New Roman" w:cs="Times New Roman"/>
          <w:sz w:val="24"/>
          <w:szCs w:val="24"/>
        </w:rPr>
        <w:t>l</w:t>
      </w:r>
      <w:r w:rsidR="00356165">
        <w:rPr>
          <w:rFonts w:ascii="Times New Roman" w:hAnsi="Times New Roman" w:cs="Times New Roman"/>
          <w:sz w:val="24"/>
          <w:szCs w:val="24"/>
        </w:rPr>
        <w:t>y so.</w:t>
      </w:r>
    </w:p>
    <w:p w:rsidR="001337E5" w:rsidRDefault="0030352B" w:rsidP="0030352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considering a costs award I also take account of the behaviour of the parties. They settled the dispute amicably save for costs. They therefore b</w:t>
      </w:r>
      <w:r w:rsidR="00356165">
        <w:rPr>
          <w:rFonts w:ascii="Times New Roman" w:hAnsi="Times New Roman" w:cs="Times New Roman"/>
          <w:sz w:val="24"/>
          <w:szCs w:val="24"/>
        </w:rPr>
        <w:t>uried the hatchet</w:t>
      </w:r>
      <w:r>
        <w:rPr>
          <w:rFonts w:ascii="Times New Roman" w:hAnsi="Times New Roman" w:cs="Times New Roman"/>
          <w:sz w:val="24"/>
          <w:szCs w:val="24"/>
        </w:rPr>
        <w:t xml:space="preserve"> in a continuing relationship of employer and employee. However, </w:t>
      </w:r>
      <w:r w:rsidR="00356165">
        <w:rPr>
          <w:rFonts w:ascii="Times New Roman" w:hAnsi="Times New Roman" w:cs="Times New Roman"/>
          <w:sz w:val="24"/>
          <w:szCs w:val="24"/>
        </w:rPr>
        <w:t>t</w:t>
      </w:r>
      <w:r>
        <w:rPr>
          <w:rFonts w:ascii="Times New Roman" w:hAnsi="Times New Roman" w:cs="Times New Roman"/>
          <w:sz w:val="24"/>
          <w:szCs w:val="24"/>
        </w:rPr>
        <w:t>he applicant has succeeded in his claim because the</w:t>
      </w:r>
      <w:r w:rsidR="00356165">
        <w:rPr>
          <w:rFonts w:ascii="Times New Roman" w:hAnsi="Times New Roman" w:cs="Times New Roman"/>
          <w:sz w:val="24"/>
          <w:szCs w:val="24"/>
        </w:rPr>
        <w:t xml:space="preserve"> payment of</w:t>
      </w:r>
      <w:r>
        <w:rPr>
          <w:rFonts w:ascii="Times New Roman" w:hAnsi="Times New Roman" w:cs="Times New Roman"/>
          <w:sz w:val="24"/>
          <w:szCs w:val="24"/>
        </w:rPr>
        <w:t xml:space="preserve"> salary was </w:t>
      </w:r>
      <w:r w:rsidR="00356165">
        <w:rPr>
          <w:rFonts w:ascii="Times New Roman" w:hAnsi="Times New Roman" w:cs="Times New Roman"/>
          <w:sz w:val="24"/>
          <w:szCs w:val="24"/>
        </w:rPr>
        <w:t>withheld</w:t>
      </w:r>
      <w:r>
        <w:rPr>
          <w:rFonts w:ascii="Times New Roman" w:hAnsi="Times New Roman" w:cs="Times New Roman"/>
          <w:sz w:val="24"/>
          <w:szCs w:val="24"/>
        </w:rPr>
        <w:t xml:space="preserve"> without his consent</w:t>
      </w:r>
      <w:r w:rsidR="00356165">
        <w:rPr>
          <w:rFonts w:ascii="Times New Roman" w:hAnsi="Times New Roman" w:cs="Times New Roman"/>
          <w:sz w:val="24"/>
          <w:szCs w:val="24"/>
        </w:rPr>
        <w:t>.</w:t>
      </w:r>
      <w:r>
        <w:rPr>
          <w:rFonts w:ascii="Times New Roman" w:hAnsi="Times New Roman" w:cs="Times New Roman"/>
          <w:sz w:val="24"/>
          <w:szCs w:val="24"/>
        </w:rPr>
        <w:t xml:space="preserve"> </w:t>
      </w:r>
      <w:r w:rsidR="00356165">
        <w:rPr>
          <w:rFonts w:ascii="Times New Roman" w:hAnsi="Times New Roman" w:cs="Times New Roman"/>
          <w:sz w:val="24"/>
          <w:szCs w:val="24"/>
        </w:rPr>
        <w:t>T</w:t>
      </w:r>
      <w:r>
        <w:rPr>
          <w:rFonts w:ascii="Times New Roman" w:hAnsi="Times New Roman" w:cs="Times New Roman"/>
          <w:sz w:val="24"/>
          <w:szCs w:val="24"/>
        </w:rPr>
        <w:t xml:space="preserve">he </w:t>
      </w:r>
      <w:r w:rsidR="001337E5">
        <w:rPr>
          <w:rFonts w:ascii="Times New Roman" w:hAnsi="Times New Roman" w:cs="Times New Roman"/>
          <w:sz w:val="24"/>
          <w:szCs w:val="24"/>
        </w:rPr>
        <w:t>respondent</w:t>
      </w:r>
      <w:r>
        <w:rPr>
          <w:rFonts w:ascii="Times New Roman" w:hAnsi="Times New Roman" w:cs="Times New Roman"/>
          <w:sz w:val="24"/>
          <w:szCs w:val="24"/>
        </w:rPr>
        <w:t xml:space="preserve"> did not make demand that the applicant should properly complete leave documentation. It took the position that the applicant had not taken proper leave or followed procedures. It ought to have simply properly directed the applicant to do the correct thing or take</w:t>
      </w:r>
      <w:r w:rsidR="001337E5">
        <w:rPr>
          <w:rFonts w:ascii="Times New Roman" w:hAnsi="Times New Roman" w:cs="Times New Roman"/>
          <w:sz w:val="24"/>
          <w:szCs w:val="24"/>
        </w:rPr>
        <w:t>n</w:t>
      </w:r>
      <w:r>
        <w:rPr>
          <w:rFonts w:ascii="Times New Roman" w:hAnsi="Times New Roman" w:cs="Times New Roman"/>
          <w:sz w:val="24"/>
          <w:szCs w:val="24"/>
        </w:rPr>
        <w:t xml:space="preserve"> steps to discipline him if he had committed a labour misconduct. Ordinarily labour disputes are not visited with an order of costs. I </w:t>
      </w:r>
      <w:r w:rsidR="001337E5">
        <w:rPr>
          <w:rFonts w:ascii="Times New Roman" w:hAnsi="Times New Roman" w:cs="Times New Roman"/>
          <w:sz w:val="24"/>
          <w:szCs w:val="24"/>
        </w:rPr>
        <w:t xml:space="preserve">therefore </w:t>
      </w:r>
      <w:r>
        <w:rPr>
          <w:rFonts w:ascii="Times New Roman" w:hAnsi="Times New Roman" w:cs="Times New Roman"/>
          <w:sz w:val="24"/>
          <w:szCs w:val="24"/>
        </w:rPr>
        <w:t xml:space="preserve">take the view that both parties sized each other up and prepared to fight in court when they could easily have resolved the dispute herein internally. I have resolved to make an order which recognizes that there has been no winner or loser in this litigation but a mutual settlement of a clear labour dispute. </w:t>
      </w:r>
    </w:p>
    <w:p w:rsidR="00DB5D2A" w:rsidRDefault="00DB5D2A" w:rsidP="0030352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DISPOSITION</w:t>
      </w:r>
    </w:p>
    <w:p w:rsidR="0030352B" w:rsidRDefault="001337E5" w:rsidP="001337E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30352B">
        <w:rPr>
          <w:rFonts w:ascii="Times New Roman" w:hAnsi="Times New Roman" w:cs="Times New Roman"/>
          <w:sz w:val="24"/>
          <w:szCs w:val="24"/>
        </w:rPr>
        <w:t>The main claim for payment of arrear withhel</w:t>
      </w:r>
      <w:r>
        <w:rPr>
          <w:rFonts w:ascii="Times New Roman" w:hAnsi="Times New Roman" w:cs="Times New Roman"/>
          <w:sz w:val="24"/>
          <w:szCs w:val="24"/>
        </w:rPr>
        <w:t xml:space="preserve">d salary having been mutually </w:t>
      </w:r>
      <w:r>
        <w:rPr>
          <w:rFonts w:ascii="Times New Roman" w:hAnsi="Times New Roman" w:cs="Times New Roman"/>
          <w:sz w:val="24"/>
          <w:szCs w:val="24"/>
        </w:rPr>
        <w:tab/>
      </w:r>
      <w:r w:rsidR="0030352B">
        <w:rPr>
          <w:rFonts w:ascii="Times New Roman" w:hAnsi="Times New Roman" w:cs="Times New Roman"/>
          <w:sz w:val="24"/>
          <w:szCs w:val="24"/>
        </w:rPr>
        <w:t>resolved</w:t>
      </w:r>
      <w:r>
        <w:rPr>
          <w:rFonts w:ascii="Times New Roman" w:hAnsi="Times New Roman" w:cs="Times New Roman"/>
          <w:sz w:val="24"/>
          <w:szCs w:val="24"/>
        </w:rPr>
        <w:t xml:space="preserve"> and the parties having requested for a determination on the issue of costs:</w:t>
      </w:r>
    </w:p>
    <w:p w:rsidR="0030352B" w:rsidRDefault="001337E5" w:rsidP="001337E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determined that </w:t>
      </w:r>
      <w:r w:rsidR="0005272A">
        <w:rPr>
          <w:rFonts w:ascii="Times New Roman" w:hAnsi="Times New Roman" w:cs="Times New Roman"/>
          <w:sz w:val="24"/>
          <w:szCs w:val="24"/>
        </w:rPr>
        <w:t>e</w:t>
      </w:r>
      <w:r w:rsidR="0030352B">
        <w:rPr>
          <w:rFonts w:ascii="Times New Roman" w:hAnsi="Times New Roman" w:cs="Times New Roman"/>
          <w:sz w:val="24"/>
          <w:szCs w:val="24"/>
        </w:rPr>
        <w:t>ach party pays its own costs.</w:t>
      </w:r>
    </w:p>
    <w:p w:rsidR="0030352B" w:rsidRDefault="0030352B" w:rsidP="0030352B">
      <w:pPr>
        <w:spacing w:after="0" w:line="360" w:lineRule="auto"/>
        <w:jc w:val="both"/>
        <w:rPr>
          <w:rFonts w:ascii="Times New Roman" w:hAnsi="Times New Roman" w:cs="Times New Roman"/>
          <w:sz w:val="24"/>
          <w:szCs w:val="24"/>
        </w:rPr>
      </w:pPr>
    </w:p>
    <w:p w:rsidR="0030352B" w:rsidRDefault="0030352B" w:rsidP="0030352B">
      <w:pPr>
        <w:spacing w:after="0" w:line="360" w:lineRule="auto"/>
        <w:jc w:val="both"/>
        <w:rPr>
          <w:rFonts w:ascii="Times New Roman" w:hAnsi="Times New Roman" w:cs="Times New Roman"/>
          <w:sz w:val="24"/>
          <w:szCs w:val="24"/>
        </w:rPr>
      </w:pPr>
    </w:p>
    <w:p w:rsidR="0030352B" w:rsidRDefault="0030352B" w:rsidP="0030352B">
      <w:pPr>
        <w:spacing w:after="0" w:line="360" w:lineRule="auto"/>
        <w:jc w:val="both"/>
        <w:rPr>
          <w:rFonts w:ascii="Times New Roman" w:hAnsi="Times New Roman" w:cs="Times New Roman"/>
          <w:sz w:val="24"/>
          <w:szCs w:val="24"/>
        </w:rPr>
      </w:pPr>
    </w:p>
    <w:p w:rsidR="0030352B" w:rsidRDefault="0030352B" w:rsidP="0030352B">
      <w:pPr>
        <w:spacing w:after="0" w:line="360" w:lineRule="auto"/>
        <w:jc w:val="both"/>
        <w:rPr>
          <w:rFonts w:ascii="Times New Roman" w:hAnsi="Times New Roman" w:cs="Times New Roman"/>
          <w:sz w:val="24"/>
          <w:szCs w:val="24"/>
        </w:rPr>
      </w:pPr>
      <w:r>
        <w:rPr>
          <w:rFonts w:ascii="Times New Roman" w:hAnsi="Times New Roman" w:cs="Times New Roman"/>
          <w:i/>
          <w:sz w:val="24"/>
          <w:szCs w:val="24"/>
        </w:rPr>
        <w:t>Mashizha and Associates</w:t>
      </w:r>
      <w:r>
        <w:rPr>
          <w:rFonts w:ascii="Times New Roman" w:hAnsi="Times New Roman" w:cs="Times New Roman"/>
          <w:sz w:val="24"/>
          <w:szCs w:val="24"/>
        </w:rPr>
        <w:t>, applicant’s legal practitioners</w:t>
      </w:r>
    </w:p>
    <w:p w:rsidR="0030352B" w:rsidRDefault="0030352B" w:rsidP="0030352B">
      <w:pPr>
        <w:spacing w:after="0" w:line="360" w:lineRule="auto"/>
        <w:jc w:val="both"/>
        <w:rPr>
          <w:rFonts w:ascii="Times New Roman" w:hAnsi="Times New Roman" w:cs="Times New Roman"/>
          <w:sz w:val="24"/>
          <w:szCs w:val="24"/>
        </w:rPr>
      </w:pPr>
    </w:p>
    <w:p w:rsidR="0030352B" w:rsidRDefault="0030352B" w:rsidP="0030352B">
      <w:pPr>
        <w:spacing w:after="0" w:line="240" w:lineRule="auto"/>
        <w:ind w:left="720"/>
        <w:jc w:val="both"/>
        <w:rPr>
          <w:rFonts w:ascii="Times New Roman" w:hAnsi="Times New Roman" w:cs="Times New Roman"/>
        </w:rPr>
      </w:pPr>
    </w:p>
    <w:p w:rsidR="00A20314" w:rsidRPr="00F6263B" w:rsidRDefault="00A20314" w:rsidP="00A20314">
      <w:pPr>
        <w:spacing w:after="0" w:line="360" w:lineRule="auto"/>
        <w:jc w:val="both"/>
        <w:rPr>
          <w:rFonts w:ascii="Times New Roman" w:hAnsi="Times New Roman" w:cs="Times New Roman"/>
          <w:sz w:val="24"/>
          <w:szCs w:val="24"/>
        </w:rPr>
      </w:pPr>
    </w:p>
    <w:p w:rsidR="005303AA" w:rsidRPr="005303AA" w:rsidRDefault="005303AA" w:rsidP="005303AA">
      <w:pPr>
        <w:spacing w:after="0" w:line="360" w:lineRule="auto"/>
        <w:ind w:firstLine="720"/>
        <w:rPr>
          <w:rFonts w:ascii="Times New Roman" w:hAnsi="Times New Roman" w:cs="Times New Roman"/>
          <w:sz w:val="24"/>
          <w:szCs w:val="24"/>
          <w:lang w:val="en-GB"/>
        </w:rPr>
      </w:pPr>
    </w:p>
    <w:sectPr w:rsidR="005303AA" w:rsidRPr="005303AA">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17D1" w:rsidRDefault="000317D1" w:rsidP="00B743F6">
      <w:pPr>
        <w:spacing w:after="0" w:line="240" w:lineRule="auto"/>
      </w:pPr>
      <w:r>
        <w:separator/>
      </w:r>
    </w:p>
  </w:endnote>
  <w:endnote w:type="continuationSeparator" w:id="0">
    <w:p w:rsidR="000317D1" w:rsidRDefault="000317D1" w:rsidP="00B743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17D1" w:rsidRDefault="000317D1" w:rsidP="00B743F6">
      <w:pPr>
        <w:spacing w:after="0" w:line="240" w:lineRule="auto"/>
      </w:pPr>
      <w:r>
        <w:separator/>
      </w:r>
    </w:p>
  </w:footnote>
  <w:footnote w:type="continuationSeparator" w:id="0">
    <w:p w:rsidR="000317D1" w:rsidRDefault="000317D1" w:rsidP="00B743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74805517"/>
      <w:docPartObj>
        <w:docPartGallery w:val="Page Numbers (Top of Page)"/>
        <w:docPartUnique/>
      </w:docPartObj>
    </w:sdtPr>
    <w:sdtEndPr>
      <w:rPr>
        <w:noProof/>
      </w:rPr>
    </w:sdtEndPr>
    <w:sdtContent>
      <w:p w:rsidR="00B743F6" w:rsidRDefault="00B743F6">
        <w:pPr>
          <w:pStyle w:val="Header"/>
          <w:jc w:val="right"/>
          <w:rPr>
            <w:noProof/>
          </w:rPr>
        </w:pPr>
        <w:r>
          <w:fldChar w:fldCharType="begin"/>
        </w:r>
        <w:r>
          <w:instrText xml:space="preserve"> PAGE   \* MERGEFORMAT </w:instrText>
        </w:r>
        <w:r>
          <w:fldChar w:fldCharType="separate"/>
        </w:r>
        <w:r w:rsidR="004B4842">
          <w:rPr>
            <w:noProof/>
          </w:rPr>
          <w:t>1</w:t>
        </w:r>
        <w:r>
          <w:rPr>
            <w:noProof/>
          </w:rPr>
          <w:fldChar w:fldCharType="end"/>
        </w:r>
      </w:p>
      <w:p w:rsidR="00B743F6" w:rsidRDefault="00B743F6">
        <w:pPr>
          <w:pStyle w:val="Header"/>
          <w:jc w:val="right"/>
          <w:rPr>
            <w:noProof/>
          </w:rPr>
        </w:pPr>
        <w:r>
          <w:rPr>
            <w:noProof/>
          </w:rPr>
          <w:t>HH</w:t>
        </w:r>
        <w:r w:rsidR="006D4D73">
          <w:rPr>
            <w:noProof/>
          </w:rPr>
          <w:t xml:space="preserve"> </w:t>
        </w:r>
        <w:r w:rsidR="00C073B3">
          <w:rPr>
            <w:noProof/>
          </w:rPr>
          <w:t>301-21</w:t>
        </w:r>
      </w:p>
      <w:p w:rsidR="00B743F6" w:rsidRDefault="00B743F6">
        <w:pPr>
          <w:pStyle w:val="Header"/>
          <w:jc w:val="right"/>
        </w:pPr>
        <w:r>
          <w:rPr>
            <w:noProof/>
          </w:rPr>
          <w:t>HC 3056/20</w:t>
        </w:r>
      </w:p>
    </w:sdtContent>
  </w:sdt>
  <w:p w:rsidR="00B743F6" w:rsidRDefault="00B743F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EF07D8"/>
    <w:multiLevelType w:val="hybridMultilevel"/>
    <w:tmpl w:val="5F84D2BE"/>
    <w:lvl w:ilvl="0" w:tplc="70701810">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43F6"/>
    <w:rsid w:val="000002B1"/>
    <w:rsid w:val="000317D1"/>
    <w:rsid w:val="0005272A"/>
    <w:rsid w:val="0007430A"/>
    <w:rsid w:val="00075374"/>
    <w:rsid w:val="000B3805"/>
    <w:rsid w:val="001337E5"/>
    <w:rsid w:val="001E6DB4"/>
    <w:rsid w:val="00261F4E"/>
    <w:rsid w:val="002B0E55"/>
    <w:rsid w:val="0030352B"/>
    <w:rsid w:val="00315FE4"/>
    <w:rsid w:val="00332CAC"/>
    <w:rsid w:val="00356165"/>
    <w:rsid w:val="00356C7A"/>
    <w:rsid w:val="003754C1"/>
    <w:rsid w:val="003E33C6"/>
    <w:rsid w:val="004B4842"/>
    <w:rsid w:val="004F6B46"/>
    <w:rsid w:val="005303AA"/>
    <w:rsid w:val="005E182B"/>
    <w:rsid w:val="006D4D73"/>
    <w:rsid w:val="00875488"/>
    <w:rsid w:val="008D4BF1"/>
    <w:rsid w:val="00A20314"/>
    <w:rsid w:val="00AC6BEF"/>
    <w:rsid w:val="00B743F6"/>
    <w:rsid w:val="00C073B3"/>
    <w:rsid w:val="00C74593"/>
    <w:rsid w:val="00CA4B33"/>
    <w:rsid w:val="00DB5D2A"/>
    <w:rsid w:val="00DC5837"/>
    <w:rsid w:val="00EB35A6"/>
    <w:rsid w:val="00EE291C"/>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E4C8E5-85DC-40ED-BEEF-AFEA13966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743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B743F6"/>
  </w:style>
  <w:style w:type="paragraph" w:styleId="Footer">
    <w:name w:val="footer"/>
    <w:basedOn w:val="Normal"/>
    <w:link w:val="FooterChar"/>
    <w:uiPriority w:val="99"/>
    <w:unhideWhenUsed/>
    <w:rsid w:val="00B743F6"/>
    <w:pPr>
      <w:tabs>
        <w:tab w:val="center" w:pos="4513"/>
        <w:tab w:val="right" w:pos="9026"/>
      </w:tabs>
      <w:spacing w:after="0" w:line="240" w:lineRule="auto"/>
    </w:pPr>
  </w:style>
  <w:style w:type="character" w:customStyle="1" w:styleId="FooterChar">
    <w:name w:val="Footer Char"/>
    <w:basedOn w:val="DefaultParagraphFont"/>
    <w:link w:val="Footer"/>
    <w:uiPriority w:val="99"/>
    <w:rsid w:val="00B743F6"/>
  </w:style>
  <w:style w:type="paragraph" w:styleId="ListParagraph">
    <w:name w:val="List Paragraph"/>
    <w:basedOn w:val="Normal"/>
    <w:uiPriority w:val="34"/>
    <w:qFormat/>
    <w:rsid w:val="00EB35A6"/>
    <w:pPr>
      <w:ind w:left="720"/>
      <w:contextualSpacing/>
    </w:pPr>
  </w:style>
  <w:style w:type="table" w:styleId="TableGrid">
    <w:name w:val="Table Grid"/>
    <w:basedOn w:val="TableNormal"/>
    <w:uiPriority w:val="39"/>
    <w:rsid w:val="00EB35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1472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2212</Words>
  <Characters>12610</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14793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JSC</dc:creator>
  <cp:keywords/>
  <dc:description/>
  <cp:lastModifiedBy>JSC</cp:lastModifiedBy>
  <cp:revision>2</cp:revision>
  <dcterms:created xsi:type="dcterms:W3CDTF">2021-06-25T07:58:00Z</dcterms:created>
  <dcterms:modified xsi:type="dcterms:W3CDTF">2021-06-25T07:58:00Z</dcterms:modified>
</cp:coreProperties>
</file>