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52" w:rsidRDefault="00AB3252" w:rsidP="00AB3252">
      <w:pPr>
        <w:spacing w:line="360" w:lineRule="auto"/>
        <w:jc w:val="both"/>
        <w:rPr>
          <w:b/>
        </w:rPr>
      </w:pPr>
      <w:proofErr w:type="gramStart"/>
      <w:r>
        <w:rPr>
          <w:b/>
        </w:rPr>
        <w:t>IN THE LABOUR COURT</w:t>
      </w:r>
      <w:r>
        <w:rPr>
          <w:b/>
        </w:rPr>
        <w:tab/>
        <w:t xml:space="preserve"> OF ZIMBABWE</w:t>
      </w:r>
      <w:r>
        <w:rPr>
          <w:b/>
        </w:rPr>
        <w:tab/>
      </w:r>
      <w:r>
        <w:rPr>
          <w:b/>
        </w:rPr>
        <w:tab/>
        <w:t>JUDGMENT NO.</w:t>
      </w:r>
      <w:proofErr w:type="gramEnd"/>
      <w:r>
        <w:rPr>
          <w:b/>
        </w:rPr>
        <w:t xml:space="preserve"> LC/H/</w:t>
      </w:r>
      <w:r w:rsidR="004319DD">
        <w:rPr>
          <w:b/>
        </w:rPr>
        <w:t>628</w:t>
      </w:r>
      <w:r>
        <w:rPr>
          <w:b/>
        </w:rPr>
        <w:t>/13</w:t>
      </w:r>
    </w:p>
    <w:p w:rsidR="00AB3252" w:rsidRDefault="00AB3252" w:rsidP="00AB3252">
      <w:pPr>
        <w:spacing w:line="360" w:lineRule="auto"/>
        <w:jc w:val="both"/>
        <w:rPr>
          <w:b/>
        </w:rPr>
      </w:pPr>
      <w:proofErr w:type="gramStart"/>
      <w:r>
        <w:rPr>
          <w:b/>
        </w:rPr>
        <w:t>HARARE, 11</w:t>
      </w:r>
      <w:r w:rsidRPr="00024317">
        <w:rPr>
          <w:b/>
          <w:vertAlign w:val="superscript"/>
        </w:rPr>
        <w:t>th</w:t>
      </w:r>
      <w:r>
        <w:rPr>
          <w:b/>
        </w:rPr>
        <w:t xml:space="preserve"> NOVEMBER, 2013</w:t>
      </w:r>
      <w:r>
        <w:rPr>
          <w:b/>
        </w:rPr>
        <w:tab/>
      </w:r>
      <w:r>
        <w:rPr>
          <w:b/>
        </w:rPr>
        <w:tab/>
      </w:r>
      <w:r>
        <w:rPr>
          <w:b/>
        </w:rPr>
        <w:tab/>
        <w:t>CASE NO.</w:t>
      </w:r>
      <w:proofErr w:type="gramEnd"/>
      <w:r>
        <w:rPr>
          <w:b/>
        </w:rPr>
        <w:t xml:space="preserve"> LC/H/406/2012</w:t>
      </w:r>
    </w:p>
    <w:p w:rsidR="00F62517" w:rsidRDefault="00F62517" w:rsidP="00AB3252">
      <w:pPr>
        <w:spacing w:line="360" w:lineRule="auto"/>
        <w:jc w:val="both"/>
        <w:rPr>
          <w:b/>
        </w:rPr>
      </w:pPr>
      <w:r>
        <w:rPr>
          <w:b/>
        </w:rPr>
        <w:t xml:space="preserve">AND </w:t>
      </w:r>
      <w:r w:rsidR="00F50F3F">
        <w:rPr>
          <w:b/>
        </w:rPr>
        <w:t>31</w:t>
      </w:r>
      <w:r w:rsidR="00F50F3F" w:rsidRPr="00F50F3F">
        <w:rPr>
          <w:b/>
          <w:vertAlign w:val="superscript"/>
        </w:rPr>
        <w:t>st</w:t>
      </w:r>
      <w:r w:rsidR="00F50F3F">
        <w:rPr>
          <w:b/>
        </w:rPr>
        <w:t xml:space="preserve"> JANUARY</w:t>
      </w:r>
      <w:bookmarkStart w:id="0" w:name="_GoBack"/>
      <w:bookmarkEnd w:id="0"/>
      <w:r>
        <w:rPr>
          <w:b/>
        </w:rPr>
        <w:t>, 2014</w:t>
      </w:r>
    </w:p>
    <w:p w:rsidR="00AB3252" w:rsidRPr="009C2682" w:rsidRDefault="00AB3252" w:rsidP="00AB3252">
      <w:pPr>
        <w:spacing w:line="360" w:lineRule="auto"/>
        <w:jc w:val="both"/>
      </w:pPr>
      <w:r>
        <w:t>In the matter between:-</w:t>
      </w:r>
    </w:p>
    <w:p w:rsidR="00AB3252" w:rsidRDefault="00AB3252" w:rsidP="00AB3252">
      <w:pPr>
        <w:spacing w:line="360" w:lineRule="auto"/>
        <w:jc w:val="both"/>
        <w:rPr>
          <w:b/>
        </w:rPr>
      </w:pPr>
    </w:p>
    <w:p w:rsidR="00AB3252" w:rsidRDefault="00AB3252" w:rsidP="00AB3252">
      <w:pPr>
        <w:spacing w:line="360" w:lineRule="auto"/>
        <w:jc w:val="both"/>
        <w:rPr>
          <w:b/>
        </w:rPr>
      </w:pPr>
    </w:p>
    <w:p w:rsidR="00AB3252" w:rsidRDefault="00AB3252" w:rsidP="00AB3252">
      <w:pPr>
        <w:spacing w:line="360" w:lineRule="auto"/>
        <w:jc w:val="both"/>
        <w:rPr>
          <w:b/>
        </w:rPr>
      </w:pPr>
      <w:r>
        <w:rPr>
          <w:b/>
        </w:rPr>
        <w:t>J. GUTSIRE</w:t>
      </w:r>
      <w:r>
        <w:rPr>
          <w:b/>
        </w:rPr>
        <w:tab/>
        <w:t>&amp; 53 OTHERS</w:t>
      </w:r>
      <w:r>
        <w:rPr>
          <w:b/>
        </w:rPr>
        <w:tab/>
      </w:r>
      <w:r>
        <w:rPr>
          <w:b/>
        </w:rPr>
        <w:tab/>
      </w:r>
      <w:r>
        <w:rPr>
          <w:b/>
        </w:rPr>
        <w:tab/>
      </w:r>
      <w:r>
        <w:rPr>
          <w:b/>
        </w:rPr>
        <w:tab/>
        <w:t xml:space="preserve"> </w:t>
      </w:r>
      <w:r>
        <w:rPr>
          <w:b/>
        </w:rPr>
        <w:tab/>
        <w:t>-</w:t>
      </w:r>
      <w:r>
        <w:rPr>
          <w:b/>
        </w:rPr>
        <w:tab/>
        <w:t>APPELLANTS</w:t>
      </w:r>
    </w:p>
    <w:p w:rsidR="00AB3252" w:rsidRDefault="00AB3252" w:rsidP="00AB3252">
      <w:pPr>
        <w:spacing w:line="360" w:lineRule="auto"/>
        <w:jc w:val="both"/>
        <w:rPr>
          <w:b/>
        </w:rPr>
      </w:pPr>
    </w:p>
    <w:p w:rsidR="00AB3252" w:rsidRDefault="00AB3252" w:rsidP="00AB3252">
      <w:pPr>
        <w:spacing w:line="360" w:lineRule="auto"/>
        <w:jc w:val="both"/>
        <w:rPr>
          <w:b/>
        </w:rPr>
      </w:pPr>
      <w:r>
        <w:rPr>
          <w:b/>
        </w:rPr>
        <w:t>AND</w:t>
      </w:r>
    </w:p>
    <w:p w:rsidR="00AB3252" w:rsidRDefault="00AB3252" w:rsidP="00AB3252">
      <w:pPr>
        <w:spacing w:line="360" w:lineRule="auto"/>
        <w:jc w:val="both"/>
        <w:rPr>
          <w:b/>
        </w:rPr>
      </w:pPr>
    </w:p>
    <w:p w:rsidR="00AB3252" w:rsidRDefault="00AB3252" w:rsidP="00AB3252">
      <w:pPr>
        <w:spacing w:line="360" w:lineRule="auto"/>
        <w:jc w:val="both"/>
        <w:rPr>
          <w:b/>
        </w:rPr>
      </w:pPr>
      <w:r>
        <w:rPr>
          <w:b/>
        </w:rPr>
        <w:t>LAFARGE CEMENT P/C</w:t>
      </w:r>
      <w:r>
        <w:rPr>
          <w:b/>
        </w:rPr>
        <w:tab/>
      </w:r>
      <w:r>
        <w:rPr>
          <w:b/>
        </w:rPr>
        <w:tab/>
      </w:r>
      <w:r>
        <w:rPr>
          <w:b/>
        </w:rPr>
        <w:tab/>
      </w:r>
      <w:r>
        <w:rPr>
          <w:b/>
        </w:rPr>
        <w:tab/>
      </w:r>
      <w:r>
        <w:rPr>
          <w:b/>
        </w:rPr>
        <w:tab/>
      </w:r>
      <w:r>
        <w:rPr>
          <w:b/>
        </w:rPr>
        <w:tab/>
        <w:t>-</w:t>
      </w:r>
      <w:r>
        <w:rPr>
          <w:b/>
        </w:rPr>
        <w:tab/>
        <w:t>RESPONDENT</w:t>
      </w:r>
    </w:p>
    <w:p w:rsidR="00AB3252" w:rsidRDefault="00AB3252" w:rsidP="00AB3252">
      <w:pPr>
        <w:spacing w:line="360" w:lineRule="auto"/>
        <w:jc w:val="both"/>
        <w:rPr>
          <w:b/>
        </w:rPr>
      </w:pPr>
    </w:p>
    <w:p w:rsidR="00AB3252" w:rsidRDefault="00AB3252" w:rsidP="00AB3252">
      <w:pPr>
        <w:spacing w:line="360" w:lineRule="auto"/>
        <w:jc w:val="both"/>
        <w:rPr>
          <w:b/>
        </w:rPr>
      </w:pPr>
    </w:p>
    <w:p w:rsidR="00AB3252" w:rsidRDefault="00AB3252" w:rsidP="00AB3252">
      <w:pPr>
        <w:spacing w:line="360" w:lineRule="auto"/>
        <w:jc w:val="both"/>
        <w:rPr>
          <w:b/>
        </w:rPr>
      </w:pPr>
      <w:proofErr w:type="gramStart"/>
      <w:r>
        <w:rPr>
          <w:b/>
        </w:rPr>
        <w:t>Before the Honourable E. Makamure, J.</w:t>
      </w:r>
      <w:proofErr w:type="gramEnd"/>
    </w:p>
    <w:p w:rsidR="00AB3252" w:rsidRDefault="00AB3252" w:rsidP="00AB3252">
      <w:pPr>
        <w:spacing w:line="360" w:lineRule="auto"/>
        <w:jc w:val="both"/>
        <w:rPr>
          <w:b/>
        </w:rPr>
      </w:pPr>
      <w:r>
        <w:rPr>
          <w:b/>
        </w:rPr>
        <w:t>For The Appellants:</w:t>
      </w:r>
      <w:r>
        <w:rPr>
          <w:b/>
        </w:rPr>
        <w:tab/>
      </w:r>
      <w:r>
        <w:rPr>
          <w:b/>
        </w:rPr>
        <w:tab/>
        <w:t>C. Chengeta (Legal Practitioner)</w:t>
      </w:r>
    </w:p>
    <w:p w:rsidR="00AB3252" w:rsidRDefault="00AB3252" w:rsidP="00AB3252">
      <w:pPr>
        <w:spacing w:line="360" w:lineRule="auto"/>
        <w:jc w:val="both"/>
        <w:rPr>
          <w:b/>
        </w:rPr>
      </w:pPr>
      <w:r>
        <w:rPr>
          <w:b/>
        </w:rPr>
        <w:t>For The Respondent:</w:t>
      </w:r>
      <w:r>
        <w:rPr>
          <w:b/>
        </w:rPr>
        <w:tab/>
        <w:t>T. Hussein (Legal Practitioner)</w:t>
      </w:r>
    </w:p>
    <w:p w:rsidR="00AB3252" w:rsidRDefault="00AB3252" w:rsidP="00AB3252">
      <w:pPr>
        <w:spacing w:line="360" w:lineRule="auto"/>
        <w:jc w:val="both"/>
        <w:rPr>
          <w:b/>
        </w:rPr>
      </w:pPr>
    </w:p>
    <w:p w:rsidR="00AB3252" w:rsidRDefault="00AB3252" w:rsidP="00AB3252">
      <w:pPr>
        <w:spacing w:line="360" w:lineRule="auto"/>
        <w:jc w:val="both"/>
        <w:rPr>
          <w:rFonts w:ascii="Tahoma" w:hAnsi="Tahoma" w:cs="Tahoma"/>
          <w:b/>
        </w:rPr>
      </w:pPr>
    </w:p>
    <w:p w:rsidR="00AB3252" w:rsidRDefault="00AB3252" w:rsidP="00AB3252">
      <w:pPr>
        <w:spacing w:line="360" w:lineRule="auto"/>
        <w:jc w:val="both"/>
        <w:rPr>
          <w:rFonts w:ascii="Tahoma" w:hAnsi="Tahoma" w:cs="Tahoma"/>
        </w:rPr>
      </w:pPr>
      <w:r>
        <w:rPr>
          <w:rFonts w:ascii="Tahoma" w:hAnsi="Tahoma" w:cs="Tahoma"/>
          <w:b/>
        </w:rPr>
        <w:t>MAKAMURE, J.</w:t>
      </w:r>
    </w:p>
    <w:p w:rsidR="00754960" w:rsidRDefault="00754960" w:rsidP="00AB3252">
      <w:pPr>
        <w:spacing w:line="360" w:lineRule="auto"/>
        <w:jc w:val="both"/>
        <w:rPr>
          <w:rFonts w:ascii="Tahoma" w:hAnsi="Tahoma" w:cs="Tahoma"/>
        </w:rPr>
      </w:pPr>
    </w:p>
    <w:p w:rsidR="00CB7503" w:rsidRPr="00F62517" w:rsidRDefault="00AB3252" w:rsidP="00AB3252">
      <w:pPr>
        <w:spacing w:line="360" w:lineRule="auto"/>
        <w:jc w:val="both"/>
        <w:rPr>
          <w:sz w:val="28"/>
          <w:szCs w:val="28"/>
        </w:rPr>
      </w:pPr>
      <w:r>
        <w:rPr>
          <w:rFonts w:ascii="Tahoma" w:hAnsi="Tahoma" w:cs="Tahoma"/>
        </w:rPr>
        <w:tab/>
      </w:r>
      <w:r w:rsidR="00754960" w:rsidRPr="00F62517">
        <w:rPr>
          <w:sz w:val="28"/>
          <w:szCs w:val="28"/>
        </w:rPr>
        <w:t>At the conclusion of the hearing in this matter, the appeal was dismissed for wa</w:t>
      </w:r>
      <w:r w:rsidR="006803CB" w:rsidRPr="00F62517">
        <w:rPr>
          <w:sz w:val="28"/>
          <w:szCs w:val="28"/>
        </w:rPr>
        <w:t>nt</w:t>
      </w:r>
      <w:r w:rsidR="00754960" w:rsidRPr="00F62517">
        <w:rPr>
          <w:sz w:val="28"/>
          <w:szCs w:val="28"/>
        </w:rPr>
        <w:t xml:space="preserve"> of jurisdiction. </w:t>
      </w:r>
    </w:p>
    <w:p w:rsidR="00754960" w:rsidRPr="00F62517" w:rsidRDefault="00CB7503" w:rsidP="00CB7503">
      <w:pPr>
        <w:spacing w:line="360" w:lineRule="auto"/>
        <w:ind w:firstLine="720"/>
        <w:jc w:val="both"/>
        <w:rPr>
          <w:sz w:val="28"/>
          <w:szCs w:val="28"/>
        </w:rPr>
      </w:pPr>
      <w:r w:rsidRPr="00F62517">
        <w:rPr>
          <w:sz w:val="28"/>
          <w:szCs w:val="28"/>
        </w:rPr>
        <w:t xml:space="preserve">The </w:t>
      </w:r>
      <w:proofErr w:type="spellStart"/>
      <w:r w:rsidR="00754960" w:rsidRPr="00F62517">
        <w:rPr>
          <w:sz w:val="28"/>
          <w:szCs w:val="28"/>
        </w:rPr>
        <w:t>L</w:t>
      </w:r>
      <w:r w:rsidR="00AB3252" w:rsidRPr="00F62517">
        <w:rPr>
          <w:sz w:val="28"/>
          <w:szCs w:val="28"/>
        </w:rPr>
        <w:t>abour</w:t>
      </w:r>
      <w:proofErr w:type="spellEnd"/>
      <w:r w:rsidR="00AB3252" w:rsidRPr="00F62517">
        <w:rPr>
          <w:sz w:val="28"/>
          <w:szCs w:val="28"/>
        </w:rPr>
        <w:t xml:space="preserve"> Court is a creature of statute.  </w:t>
      </w:r>
      <w:r w:rsidR="006803CB" w:rsidRPr="00F62517">
        <w:rPr>
          <w:sz w:val="28"/>
          <w:szCs w:val="28"/>
        </w:rPr>
        <w:t>For that reason</w:t>
      </w:r>
      <w:r w:rsidRPr="00F62517">
        <w:rPr>
          <w:sz w:val="28"/>
          <w:szCs w:val="28"/>
        </w:rPr>
        <w:t>,</w:t>
      </w:r>
      <w:r w:rsidR="006803CB" w:rsidRPr="00F62517">
        <w:rPr>
          <w:sz w:val="28"/>
          <w:szCs w:val="28"/>
        </w:rPr>
        <w:t xml:space="preserve"> only matters specifically provided for in the </w:t>
      </w:r>
      <w:proofErr w:type="spellStart"/>
      <w:r w:rsidR="006803CB" w:rsidRPr="00F62517">
        <w:rPr>
          <w:sz w:val="28"/>
          <w:szCs w:val="28"/>
        </w:rPr>
        <w:t>Labour</w:t>
      </w:r>
      <w:proofErr w:type="spellEnd"/>
      <w:r w:rsidR="006803CB" w:rsidRPr="00F62517">
        <w:rPr>
          <w:sz w:val="28"/>
          <w:szCs w:val="28"/>
        </w:rPr>
        <w:t xml:space="preserve"> Act [Cap 28:01] (The Act) fall for consideration by this Court.</w:t>
      </w:r>
    </w:p>
    <w:p w:rsidR="00754960" w:rsidRPr="00F62517" w:rsidRDefault="00AB3252" w:rsidP="00754960">
      <w:pPr>
        <w:spacing w:line="360" w:lineRule="auto"/>
        <w:ind w:firstLine="720"/>
        <w:jc w:val="both"/>
        <w:rPr>
          <w:sz w:val="28"/>
          <w:szCs w:val="28"/>
        </w:rPr>
      </w:pPr>
      <w:r w:rsidRPr="00F62517">
        <w:rPr>
          <w:sz w:val="28"/>
          <w:szCs w:val="28"/>
        </w:rPr>
        <w:t xml:space="preserve">This matter is an appeal </w:t>
      </w:r>
      <w:r w:rsidR="001A38A8" w:rsidRPr="00F62517">
        <w:rPr>
          <w:sz w:val="28"/>
          <w:szCs w:val="28"/>
        </w:rPr>
        <w:t>against a</w:t>
      </w:r>
      <w:r w:rsidRPr="00F62517">
        <w:rPr>
          <w:sz w:val="28"/>
          <w:szCs w:val="28"/>
        </w:rPr>
        <w:t xml:space="preserve"> decision by </w:t>
      </w:r>
      <w:r w:rsidR="004319DD" w:rsidRPr="00F62517">
        <w:rPr>
          <w:sz w:val="28"/>
          <w:szCs w:val="28"/>
        </w:rPr>
        <w:t>the Minister</w:t>
      </w:r>
      <w:r w:rsidR="001A38A8" w:rsidRPr="00F62517">
        <w:rPr>
          <w:sz w:val="28"/>
          <w:szCs w:val="28"/>
        </w:rPr>
        <w:t xml:space="preserve"> of Public Service Labour and Social Welfare (The Minister)</w:t>
      </w:r>
      <w:r w:rsidRPr="00F62517">
        <w:rPr>
          <w:sz w:val="28"/>
          <w:szCs w:val="28"/>
        </w:rPr>
        <w:t xml:space="preserve"> to </w:t>
      </w:r>
      <w:r w:rsidR="001A38A8" w:rsidRPr="00F62517">
        <w:rPr>
          <w:sz w:val="28"/>
          <w:szCs w:val="28"/>
        </w:rPr>
        <w:t>retrench</w:t>
      </w:r>
      <w:r w:rsidR="004319DD" w:rsidRPr="00F62517">
        <w:rPr>
          <w:sz w:val="28"/>
          <w:szCs w:val="28"/>
        </w:rPr>
        <w:t xml:space="preserve"> the </w:t>
      </w:r>
      <w:r w:rsidR="00F62517">
        <w:rPr>
          <w:sz w:val="28"/>
          <w:szCs w:val="28"/>
        </w:rPr>
        <w:t>A</w:t>
      </w:r>
      <w:r w:rsidR="004319DD" w:rsidRPr="00F62517">
        <w:rPr>
          <w:sz w:val="28"/>
          <w:szCs w:val="28"/>
        </w:rPr>
        <w:t>ppellants</w:t>
      </w:r>
      <w:r w:rsidR="001A38A8" w:rsidRPr="00F62517">
        <w:rPr>
          <w:sz w:val="28"/>
          <w:szCs w:val="28"/>
        </w:rPr>
        <w:t xml:space="preserve"> in terms of section 12C</w:t>
      </w:r>
      <w:r w:rsidRPr="00F62517">
        <w:rPr>
          <w:sz w:val="28"/>
          <w:szCs w:val="28"/>
        </w:rPr>
        <w:t>(9) of The Act.  There is no specific direction</w:t>
      </w:r>
      <w:r w:rsidR="004319DD" w:rsidRPr="00F62517">
        <w:rPr>
          <w:sz w:val="28"/>
          <w:szCs w:val="28"/>
        </w:rPr>
        <w:t xml:space="preserve"> within th</w:t>
      </w:r>
      <w:r w:rsidR="00754960" w:rsidRPr="00F62517">
        <w:rPr>
          <w:sz w:val="28"/>
          <w:szCs w:val="28"/>
        </w:rPr>
        <w:t>e Minister</w:t>
      </w:r>
      <w:r w:rsidR="006803CB" w:rsidRPr="00F62517">
        <w:rPr>
          <w:sz w:val="28"/>
          <w:szCs w:val="28"/>
        </w:rPr>
        <w:t>’s</w:t>
      </w:r>
      <w:r w:rsidR="00754960" w:rsidRPr="00F62517">
        <w:rPr>
          <w:sz w:val="28"/>
          <w:szCs w:val="28"/>
        </w:rPr>
        <w:t xml:space="preserve"> </w:t>
      </w:r>
      <w:r w:rsidR="004319DD" w:rsidRPr="00F62517">
        <w:rPr>
          <w:sz w:val="28"/>
          <w:szCs w:val="28"/>
        </w:rPr>
        <w:t>decision</w:t>
      </w:r>
      <w:r w:rsidRPr="00F62517">
        <w:rPr>
          <w:sz w:val="28"/>
          <w:szCs w:val="28"/>
        </w:rPr>
        <w:t xml:space="preserve"> for parties to appeal to this Court should the parties be not satisfied with </w:t>
      </w:r>
      <w:r w:rsidR="00CB7503" w:rsidRPr="00F62517">
        <w:rPr>
          <w:sz w:val="28"/>
          <w:szCs w:val="28"/>
        </w:rPr>
        <w:t>that</w:t>
      </w:r>
      <w:r w:rsidRPr="00F62517">
        <w:rPr>
          <w:sz w:val="28"/>
          <w:szCs w:val="28"/>
        </w:rPr>
        <w:t xml:space="preserve"> decision.</w:t>
      </w:r>
      <w:r w:rsidR="001A38A8" w:rsidRPr="00F62517">
        <w:rPr>
          <w:sz w:val="28"/>
          <w:szCs w:val="28"/>
        </w:rPr>
        <w:t xml:space="preserve">  F</w:t>
      </w:r>
      <w:r w:rsidR="00C94637" w:rsidRPr="00F62517">
        <w:rPr>
          <w:sz w:val="28"/>
          <w:szCs w:val="28"/>
        </w:rPr>
        <w:t xml:space="preserve">urther The Act does not specify what should </w:t>
      </w:r>
      <w:r w:rsidR="00C94637" w:rsidRPr="00F62517">
        <w:rPr>
          <w:sz w:val="28"/>
          <w:szCs w:val="28"/>
        </w:rPr>
        <w:lastRenderedPageBreak/>
        <w:t xml:space="preserve">happen in the event that one of the </w:t>
      </w:r>
      <w:r w:rsidR="005A6358" w:rsidRPr="00F62517">
        <w:rPr>
          <w:sz w:val="28"/>
          <w:szCs w:val="28"/>
        </w:rPr>
        <w:t>parties is</w:t>
      </w:r>
      <w:r w:rsidR="00C94637" w:rsidRPr="00F62517">
        <w:rPr>
          <w:sz w:val="28"/>
          <w:szCs w:val="28"/>
        </w:rPr>
        <w:t xml:space="preserve"> aggrieved.   Sections regarding appeals in terms of The Act are quite specific.</w:t>
      </w:r>
    </w:p>
    <w:p w:rsidR="00C94637" w:rsidRPr="00F62517" w:rsidRDefault="004319DD" w:rsidP="00AB3252">
      <w:pPr>
        <w:spacing w:line="360" w:lineRule="auto"/>
        <w:jc w:val="both"/>
        <w:rPr>
          <w:sz w:val="28"/>
          <w:szCs w:val="28"/>
        </w:rPr>
      </w:pPr>
      <w:r w:rsidRPr="00F62517">
        <w:rPr>
          <w:sz w:val="28"/>
          <w:szCs w:val="28"/>
        </w:rPr>
        <w:tab/>
        <w:t>Sections 46, 47,</w:t>
      </w:r>
      <w:r w:rsidR="00C94637" w:rsidRPr="00F62517">
        <w:rPr>
          <w:sz w:val="28"/>
          <w:szCs w:val="28"/>
        </w:rPr>
        <w:t xml:space="preserve"> 92D and 92E deal with appeals or matters to be determined by the Labour Court.  These sectio</w:t>
      </w:r>
      <w:r w:rsidR="001A38A8" w:rsidRPr="00F62517">
        <w:rPr>
          <w:sz w:val="28"/>
          <w:szCs w:val="28"/>
        </w:rPr>
        <w:t>ns read as follows respectively:</w:t>
      </w:r>
    </w:p>
    <w:p w:rsidR="00C94637" w:rsidRPr="00F62517" w:rsidRDefault="00C94637" w:rsidP="00AB3252">
      <w:pPr>
        <w:spacing w:line="360" w:lineRule="auto"/>
        <w:jc w:val="both"/>
      </w:pPr>
      <w:r w:rsidRPr="00754960">
        <w:tab/>
      </w:r>
      <w:r w:rsidRPr="00F62517">
        <w:rPr>
          <w:i/>
        </w:rPr>
        <w:t>“</w:t>
      </w:r>
      <w:proofErr w:type="gramStart"/>
      <w:r w:rsidRPr="00F62517">
        <w:rPr>
          <w:b/>
        </w:rPr>
        <w:t>46 .</w:t>
      </w:r>
      <w:proofErr w:type="gramEnd"/>
      <w:r w:rsidRPr="00F62517">
        <w:t xml:space="preserve">  </w:t>
      </w:r>
      <w:r w:rsidR="00754960" w:rsidRPr="00F62517">
        <w:tab/>
      </w:r>
      <w:proofErr w:type="gramStart"/>
      <w:r w:rsidRPr="00F62517">
        <w:rPr>
          <w:b/>
        </w:rPr>
        <w:t>Matters to be determined by Labour Court</w:t>
      </w:r>
      <w:r w:rsidRPr="00F62517">
        <w:t>.</w:t>
      </w:r>
      <w:proofErr w:type="gramEnd"/>
    </w:p>
    <w:p w:rsidR="00C94637" w:rsidRPr="00F62517" w:rsidRDefault="00C94637" w:rsidP="00AB3252">
      <w:pPr>
        <w:spacing w:line="360" w:lineRule="auto"/>
        <w:jc w:val="both"/>
      </w:pPr>
      <w:r w:rsidRPr="00F62517">
        <w:tab/>
      </w:r>
      <w:r w:rsidR="00754960" w:rsidRPr="00F62517">
        <w:tab/>
      </w:r>
      <w:r w:rsidRPr="00F62517">
        <w:t>In the event of any dispute as to-</w:t>
      </w:r>
    </w:p>
    <w:p w:rsidR="00C94637" w:rsidRPr="00F62517" w:rsidRDefault="00C94637" w:rsidP="00C94637">
      <w:pPr>
        <w:pStyle w:val="ListParagraph"/>
        <w:numPr>
          <w:ilvl w:val="0"/>
          <w:numId w:val="2"/>
        </w:numPr>
        <w:spacing w:line="360" w:lineRule="auto"/>
        <w:jc w:val="both"/>
      </w:pPr>
      <w:r w:rsidRPr="00F62517">
        <w:t>The extent or description of any undertaking or industry; or</w:t>
      </w:r>
    </w:p>
    <w:p w:rsidR="00C94637" w:rsidRPr="00F62517" w:rsidRDefault="00C94637" w:rsidP="00C94637">
      <w:pPr>
        <w:pStyle w:val="ListParagraph"/>
        <w:numPr>
          <w:ilvl w:val="0"/>
          <w:numId w:val="2"/>
        </w:numPr>
        <w:spacing w:line="360" w:lineRule="auto"/>
        <w:jc w:val="both"/>
      </w:pPr>
      <w:r w:rsidRPr="00F62517">
        <w:t>Whether any employees are managerial employees;</w:t>
      </w:r>
    </w:p>
    <w:p w:rsidR="00C94637" w:rsidRPr="00F62517" w:rsidRDefault="00C94637" w:rsidP="00754960">
      <w:pPr>
        <w:spacing w:line="360" w:lineRule="auto"/>
        <w:ind w:left="720"/>
        <w:jc w:val="both"/>
        <w:rPr>
          <w:i/>
        </w:rPr>
      </w:pPr>
      <w:r w:rsidRPr="00F62517">
        <w:t>The matter shall be referred to the Labour Court for determination</w:t>
      </w:r>
      <w:r w:rsidRPr="00F62517">
        <w:rPr>
          <w:i/>
        </w:rPr>
        <w:t>.</w:t>
      </w:r>
    </w:p>
    <w:p w:rsidR="00C94637" w:rsidRPr="00F62517" w:rsidRDefault="00C94637" w:rsidP="00C94637">
      <w:pPr>
        <w:spacing w:line="360" w:lineRule="auto"/>
        <w:ind w:left="720"/>
        <w:jc w:val="both"/>
      </w:pPr>
      <w:r w:rsidRPr="00F62517">
        <w:rPr>
          <w:b/>
        </w:rPr>
        <w:t>47.</w:t>
      </w:r>
      <w:r w:rsidRPr="00F62517">
        <w:t xml:space="preserve">  </w:t>
      </w:r>
      <w:r w:rsidRPr="00F62517">
        <w:rPr>
          <w:b/>
        </w:rPr>
        <w:t>Right of Appeal</w:t>
      </w:r>
    </w:p>
    <w:p w:rsidR="00C94637" w:rsidRPr="00F62517" w:rsidRDefault="00C94637" w:rsidP="00754960">
      <w:pPr>
        <w:spacing w:line="360" w:lineRule="auto"/>
        <w:ind w:left="720" w:firstLine="360"/>
        <w:jc w:val="both"/>
      </w:pPr>
      <w:r w:rsidRPr="00F62517">
        <w:t>Any person who is aggrieved by a decision of the Registrar-</w:t>
      </w:r>
    </w:p>
    <w:p w:rsidR="00C94637" w:rsidRPr="00F62517" w:rsidRDefault="001A38A8" w:rsidP="00C94637">
      <w:pPr>
        <w:pStyle w:val="ListParagraph"/>
        <w:numPr>
          <w:ilvl w:val="0"/>
          <w:numId w:val="3"/>
        </w:numPr>
        <w:spacing w:line="360" w:lineRule="auto"/>
        <w:jc w:val="both"/>
      </w:pPr>
      <w:r w:rsidRPr="00F62517">
        <w:t>t</w:t>
      </w:r>
      <w:r w:rsidR="00C94637" w:rsidRPr="00F62517">
        <w:t xml:space="preserve">o register a trade union or </w:t>
      </w:r>
      <w:r w:rsidR="005A6358" w:rsidRPr="00F62517">
        <w:t>employers’</w:t>
      </w:r>
      <w:r w:rsidR="00C94637" w:rsidRPr="00F62517">
        <w:t xml:space="preserve"> organization; or</w:t>
      </w:r>
    </w:p>
    <w:p w:rsidR="00C94637" w:rsidRPr="00F62517" w:rsidRDefault="00C94637" w:rsidP="00C94637">
      <w:pPr>
        <w:pStyle w:val="ListParagraph"/>
        <w:numPr>
          <w:ilvl w:val="0"/>
          <w:numId w:val="3"/>
        </w:numPr>
        <w:spacing w:line="360" w:lineRule="auto"/>
        <w:jc w:val="both"/>
      </w:pPr>
      <w:r w:rsidRPr="00F62517">
        <w:t>… to (d)</w:t>
      </w:r>
    </w:p>
    <w:p w:rsidR="00C94637" w:rsidRPr="00F62517" w:rsidRDefault="001A38A8" w:rsidP="001A38A8">
      <w:pPr>
        <w:pStyle w:val="ListParagraph"/>
        <w:numPr>
          <w:ilvl w:val="0"/>
          <w:numId w:val="4"/>
        </w:numPr>
        <w:spacing w:line="360" w:lineRule="auto"/>
        <w:jc w:val="both"/>
      </w:pPr>
      <w:proofErr w:type="gramStart"/>
      <w:r w:rsidRPr="00F62517">
        <w:t>t</w:t>
      </w:r>
      <w:r w:rsidR="00C94637" w:rsidRPr="00F62517">
        <w:t>o</w:t>
      </w:r>
      <w:proofErr w:type="gramEnd"/>
      <w:r w:rsidR="00C94637" w:rsidRPr="00F62517">
        <w:t xml:space="preserve"> decline to hold accreditation proceedings.</w:t>
      </w:r>
    </w:p>
    <w:p w:rsidR="00C94637" w:rsidRPr="00F62517" w:rsidRDefault="001A38A8" w:rsidP="00754960">
      <w:pPr>
        <w:spacing w:line="360" w:lineRule="auto"/>
        <w:ind w:left="720" w:firstLine="360"/>
        <w:jc w:val="both"/>
        <w:rPr>
          <w:i/>
        </w:rPr>
      </w:pPr>
      <w:proofErr w:type="gramStart"/>
      <w:r w:rsidRPr="00F62517">
        <w:t>m</w:t>
      </w:r>
      <w:r w:rsidR="00C94637" w:rsidRPr="00F62517">
        <w:t>ay</w:t>
      </w:r>
      <w:proofErr w:type="gramEnd"/>
      <w:r w:rsidR="00C94637" w:rsidRPr="00F62517">
        <w:t xml:space="preserve"> subject to this Part, appeal to the Labour Court</w:t>
      </w:r>
      <w:r w:rsidR="00C94637" w:rsidRPr="00F62517">
        <w:rPr>
          <w:i/>
        </w:rPr>
        <w:t>.”</w:t>
      </w:r>
    </w:p>
    <w:p w:rsidR="005A6358" w:rsidRPr="00F62517" w:rsidRDefault="001A38A8" w:rsidP="00754960">
      <w:pPr>
        <w:spacing w:line="360" w:lineRule="auto"/>
        <w:ind w:left="360" w:firstLine="720"/>
        <w:jc w:val="both"/>
      </w:pPr>
      <w:proofErr w:type="gramStart"/>
      <w:r w:rsidRPr="00F62517">
        <w:t>a</w:t>
      </w:r>
      <w:r w:rsidR="005A6358" w:rsidRPr="00F62517">
        <w:t>nd</w:t>
      </w:r>
      <w:proofErr w:type="gramEnd"/>
      <w:r w:rsidR="005A6358" w:rsidRPr="00F62517">
        <w:t xml:space="preserve"> </w:t>
      </w:r>
    </w:p>
    <w:p w:rsidR="005A6358" w:rsidRPr="00F62517" w:rsidRDefault="005A6358" w:rsidP="00C94637">
      <w:pPr>
        <w:spacing w:line="360" w:lineRule="auto"/>
        <w:jc w:val="both"/>
      </w:pPr>
      <w:r w:rsidRPr="00F62517">
        <w:tab/>
        <w:t>Section</w:t>
      </w:r>
      <w:r w:rsidR="00CB7503" w:rsidRPr="00F62517">
        <w:t>s</w:t>
      </w:r>
      <w:r w:rsidRPr="00F62517">
        <w:t xml:space="preserve"> 92D </w:t>
      </w:r>
      <w:r w:rsidR="001A38A8" w:rsidRPr="00F62517">
        <w:t>and 92E read</w:t>
      </w:r>
      <w:r w:rsidRPr="00F62517">
        <w:t xml:space="preserve"> as follows respectively:</w:t>
      </w:r>
    </w:p>
    <w:p w:rsidR="001A38A8" w:rsidRPr="00F62517" w:rsidRDefault="005A6358" w:rsidP="005A6358">
      <w:pPr>
        <w:spacing w:line="360" w:lineRule="auto"/>
        <w:ind w:left="720"/>
        <w:jc w:val="both"/>
      </w:pPr>
      <w:r w:rsidRPr="00F62517">
        <w:t>“</w:t>
      </w:r>
      <w:r w:rsidRPr="00F62517">
        <w:rPr>
          <w:b/>
        </w:rPr>
        <w:t xml:space="preserve">92D.  </w:t>
      </w:r>
      <w:r w:rsidR="00754960" w:rsidRPr="00F62517">
        <w:rPr>
          <w:b/>
        </w:rPr>
        <w:tab/>
      </w:r>
      <w:r w:rsidRPr="00F62517">
        <w:rPr>
          <w:b/>
        </w:rPr>
        <w:t>Appeals to the Labour Court not provided for elsewhere in this Act</w:t>
      </w:r>
      <w:r w:rsidRPr="00F62517">
        <w:t xml:space="preserve">.  </w:t>
      </w:r>
    </w:p>
    <w:p w:rsidR="00AB3252" w:rsidRPr="00F62517" w:rsidRDefault="005A6358" w:rsidP="00754960">
      <w:pPr>
        <w:spacing w:line="360" w:lineRule="auto"/>
        <w:ind w:left="1440"/>
        <w:jc w:val="both"/>
      </w:pPr>
      <w:r w:rsidRPr="00F62517">
        <w:t>A person who is aggrieved by a determination made under an employment code, may, within such time and in such manner as may be p</w:t>
      </w:r>
      <w:r w:rsidR="00AB3252" w:rsidRPr="00F62517">
        <w:t>rescribed, appeal to the Labour Court</w:t>
      </w:r>
      <w:r w:rsidR="00AB3252" w:rsidRPr="00F62517">
        <w:rPr>
          <w:i/>
        </w:rPr>
        <w:t>.</w:t>
      </w:r>
      <w:r w:rsidRPr="00F62517">
        <w:rPr>
          <w:i/>
        </w:rPr>
        <w:t>”</w:t>
      </w:r>
    </w:p>
    <w:p w:rsidR="00AB3252" w:rsidRPr="00F62517" w:rsidRDefault="00AB3252" w:rsidP="005A6358">
      <w:pPr>
        <w:spacing w:line="360" w:lineRule="auto"/>
        <w:ind w:firstLine="720"/>
        <w:jc w:val="both"/>
        <w:rPr>
          <w:b/>
        </w:rPr>
      </w:pPr>
      <w:r w:rsidRPr="00F62517">
        <w:rPr>
          <w:b/>
        </w:rPr>
        <w:t xml:space="preserve">92E.  </w:t>
      </w:r>
      <w:r w:rsidR="00754960" w:rsidRPr="00F62517">
        <w:rPr>
          <w:b/>
        </w:rPr>
        <w:tab/>
      </w:r>
      <w:r w:rsidRPr="00F62517">
        <w:rPr>
          <w:b/>
        </w:rPr>
        <w:t xml:space="preserve">Appeals to the Labour Court generally </w:t>
      </w:r>
    </w:p>
    <w:p w:rsidR="00AB3252" w:rsidRPr="00F62517" w:rsidRDefault="00AB3252" w:rsidP="00AB3252">
      <w:pPr>
        <w:pStyle w:val="ListParagraph"/>
        <w:numPr>
          <w:ilvl w:val="0"/>
          <w:numId w:val="1"/>
        </w:numPr>
        <w:spacing w:line="360" w:lineRule="auto"/>
        <w:jc w:val="both"/>
      </w:pPr>
      <w:r w:rsidRPr="00F62517">
        <w:t xml:space="preserve">An appeal </w:t>
      </w:r>
      <w:r w:rsidRPr="00F62517">
        <w:rPr>
          <w:b/>
        </w:rPr>
        <w:t>in terms of this Act</w:t>
      </w:r>
      <w:r w:rsidRPr="00F62517">
        <w:t xml:space="preserve"> may address the merits of the determination.</w:t>
      </w:r>
    </w:p>
    <w:p w:rsidR="00AB3252" w:rsidRPr="00F62517" w:rsidRDefault="00AB3252" w:rsidP="005A6358">
      <w:pPr>
        <w:pStyle w:val="ListParagraph"/>
        <w:numPr>
          <w:ilvl w:val="0"/>
          <w:numId w:val="1"/>
        </w:numPr>
        <w:spacing w:line="360" w:lineRule="auto"/>
        <w:jc w:val="both"/>
      </w:pPr>
      <w:r w:rsidRPr="00F62517">
        <w:t>…</w:t>
      </w:r>
    </w:p>
    <w:p w:rsidR="00AB3252" w:rsidRPr="00F62517" w:rsidRDefault="00AB3252" w:rsidP="005A6358">
      <w:pPr>
        <w:pStyle w:val="ListParagraph"/>
        <w:numPr>
          <w:ilvl w:val="0"/>
          <w:numId w:val="1"/>
        </w:numPr>
        <w:spacing w:line="360" w:lineRule="auto"/>
        <w:jc w:val="both"/>
      </w:pPr>
      <w:r w:rsidRPr="00F62517">
        <w:t>…</w:t>
      </w:r>
      <w:r w:rsidR="005A6358" w:rsidRPr="00F62517">
        <w:t>”</w:t>
      </w:r>
    </w:p>
    <w:p w:rsidR="005A6358" w:rsidRPr="00F62517" w:rsidRDefault="001A38A8" w:rsidP="00754960">
      <w:pPr>
        <w:spacing w:line="360" w:lineRule="auto"/>
        <w:ind w:left="1440"/>
        <w:jc w:val="both"/>
      </w:pPr>
      <w:r w:rsidRPr="00F62517">
        <w:t>(Emphasis added)</w:t>
      </w:r>
    </w:p>
    <w:p w:rsidR="00AB3252" w:rsidRPr="00F62517" w:rsidRDefault="00AB3252" w:rsidP="00754960">
      <w:pPr>
        <w:spacing w:line="360" w:lineRule="auto"/>
        <w:ind w:firstLine="360"/>
        <w:jc w:val="both"/>
        <w:rPr>
          <w:sz w:val="28"/>
          <w:szCs w:val="28"/>
        </w:rPr>
      </w:pPr>
      <w:r w:rsidRPr="00F62517">
        <w:rPr>
          <w:sz w:val="28"/>
          <w:szCs w:val="28"/>
        </w:rPr>
        <w:t>W</w:t>
      </w:r>
      <w:r w:rsidR="001A38A8" w:rsidRPr="00F62517">
        <w:rPr>
          <w:sz w:val="28"/>
          <w:szCs w:val="28"/>
        </w:rPr>
        <w:t xml:space="preserve">hat is apparent from the above </w:t>
      </w:r>
      <w:r w:rsidR="006803CB" w:rsidRPr="00F62517">
        <w:rPr>
          <w:sz w:val="28"/>
          <w:szCs w:val="28"/>
        </w:rPr>
        <w:t>s</w:t>
      </w:r>
      <w:r w:rsidRPr="00F62517">
        <w:rPr>
          <w:sz w:val="28"/>
          <w:szCs w:val="28"/>
        </w:rPr>
        <w:t>ection</w:t>
      </w:r>
      <w:r w:rsidR="001A38A8" w:rsidRPr="00F62517">
        <w:rPr>
          <w:sz w:val="28"/>
          <w:szCs w:val="28"/>
        </w:rPr>
        <w:t>s</w:t>
      </w:r>
      <w:r w:rsidRPr="00F62517">
        <w:rPr>
          <w:sz w:val="28"/>
          <w:szCs w:val="28"/>
        </w:rPr>
        <w:t xml:space="preserve"> is that the Labour Court can only deal with appeals as provided for by the Act.  Section 12C </w:t>
      </w:r>
      <w:r w:rsidR="006803CB" w:rsidRPr="00F62517">
        <w:rPr>
          <w:sz w:val="28"/>
          <w:szCs w:val="28"/>
        </w:rPr>
        <w:t>of The</w:t>
      </w:r>
      <w:r w:rsidRPr="00F62517">
        <w:rPr>
          <w:sz w:val="28"/>
          <w:szCs w:val="28"/>
        </w:rPr>
        <w:t xml:space="preserve"> </w:t>
      </w:r>
      <w:r w:rsidR="006803CB" w:rsidRPr="00F62517">
        <w:rPr>
          <w:sz w:val="28"/>
          <w:szCs w:val="28"/>
        </w:rPr>
        <w:t>Act provides</w:t>
      </w:r>
      <w:r w:rsidRPr="00F62517">
        <w:rPr>
          <w:sz w:val="28"/>
          <w:szCs w:val="28"/>
        </w:rPr>
        <w:t xml:space="preserve"> for Retrenchment.</w:t>
      </w:r>
      <w:r w:rsidR="00754960" w:rsidRPr="00F62517">
        <w:rPr>
          <w:sz w:val="28"/>
          <w:szCs w:val="28"/>
        </w:rPr>
        <w:t xml:space="preserve"> The </w:t>
      </w:r>
      <w:r w:rsidR="006803CB" w:rsidRPr="00F62517">
        <w:rPr>
          <w:sz w:val="28"/>
          <w:szCs w:val="28"/>
        </w:rPr>
        <w:t>section lays</w:t>
      </w:r>
      <w:r w:rsidR="00754960" w:rsidRPr="00F62517">
        <w:rPr>
          <w:sz w:val="28"/>
          <w:szCs w:val="28"/>
        </w:rPr>
        <w:t xml:space="preserve"> down</w:t>
      </w:r>
      <w:r w:rsidR="006803CB" w:rsidRPr="00F62517">
        <w:rPr>
          <w:sz w:val="28"/>
          <w:szCs w:val="28"/>
        </w:rPr>
        <w:t xml:space="preserve"> a</w:t>
      </w:r>
      <w:r w:rsidR="00754960" w:rsidRPr="00F62517">
        <w:rPr>
          <w:sz w:val="28"/>
          <w:szCs w:val="28"/>
        </w:rPr>
        <w:t xml:space="preserve"> detailed procedure of what should be done.</w:t>
      </w:r>
    </w:p>
    <w:p w:rsidR="00AB3252" w:rsidRPr="00F62517" w:rsidRDefault="00AB3252" w:rsidP="00754960">
      <w:pPr>
        <w:spacing w:line="360" w:lineRule="auto"/>
        <w:ind w:firstLine="360"/>
        <w:jc w:val="both"/>
        <w:rPr>
          <w:sz w:val="28"/>
          <w:szCs w:val="28"/>
        </w:rPr>
      </w:pPr>
      <w:r w:rsidRPr="00F62517">
        <w:rPr>
          <w:sz w:val="28"/>
          <w:szCs w:val="28"/>
        </w:rPr>
        <w:lastRenderedPageBreak/>
        <w:t>Appeals from retrenchments do not appear to have been provided for.  Sin</w:t>
      </w:r>
      <w:r w:rsidR="001A38A8" w:rsidRPr="00F62517">
        <w:rPr>
          <w:sz w:val="28"/>
          <w:szCs w:val="28"/>
        </w:rPr>
        <w:t>c</w:t>
      </w:r>
      <w:r w:rsidRPr="00F62517">
        <w:rPr>
          <w:sz w:val="28"/>
          <w:szCs w:val="28"/>
        </w:rPr>
        <w:t>e this Court is a creature of stature, it has no jurisdiction to hear any matter which has not been specifically provided for.  I can do no better than refer</w:t>
      </w:r>
      <w:r w:rsidR="00C94637" w:rsidRPr="00F62517">
        <w:rPr>
          <w:sz w:val="28"/>
          <w:szCs w:val="28"/>
        </w:rPr>
        <w:t xml:space="preserve"> </w:t>
      </w:r>
      <w:r w:rsidR="001A38A8" w:rsidRPr="00F62517">
        <w:rPr>
          <w:sz w:val="28"/>
          <w:szCs w:val="28"/>
        </w:rPr>
        <w:t>to the cas</w:t>
      </w:r>
      <w:r w:rsidRPr="00F62517">
        <w:rPr>
          <w:sz w:val="28"/>
          <w:szCs w:val="28"/>
        </w:rPr>
        <w:t xml:space="preserve">e of </w:t>
      </w:r>
      <w:r w:rsidRPr="00F62517">
        <w:rPr>
          <w:i/>
          <w:sz w:val="28"/>
          <w:szCs w:val="28"/>
        </w:rPr>
        <w:t>Ma</w:t>
      </w:r>
      <w:r w:rsidR="001A38A8" w:rsidRPr="00F62517">
        <w:rPr>
          <w:i/>
          <w:sz w:val="28"/>
          <w:szCs w:val="28"/>
        </w:rPr>
        <w:t>rtin Sibanda and Godfrey Moyo</w:t>
      </w:r>
      <w:r w:rsidR="001A38A8" w:rsidRPr="00F62517">
        <w:rPr>
          <w:sz w:val="28"/>
          <w:szCs w:val="28"/>
        </w:rPr>
        <w:t xml:space="preserve"> v</w:t>
      </w:r>
      <w:r w:rsidRPr="00F62517">
        <w:rPr>
          <w:sz w:val="28"/>
          <w:szCs w:val="28"/>
        </w:rPr>
        <w:t xml:space="preserve"> </w:t>
      </w:r>
      <w:r w:rsidRPr="00F62517">
        <w:rPr>
          <w:i/>
          <w:sz w:val="28"/>
          <w:szCs w:val="28"/>
        </w:rPr>
        <w:t>Benson Chin</w:t>
      </w:r>
      <w:r w:rsidR="001A38A8" w:rsidRPr="00F62517">
        <w:rPr>
          <w:i/>
          <w:sz w:val="28"/>
          <w:szCs w:val="28"/>
        </w:rPr>
        <w:t>emhute and Martindale Trading (P</w:t>
      </w:r>
      <w:r w:rsidRPr="00F62517">
        <w:rPr>
          <w:i/>
          <w:sz w:val="28"/>
          <w:szCs w:val="28"/>
        </w:rPr>
        <w:t>vt) Ltd</w:t>
      </w:r>
      <w:r w:rsidRPr="00F62517">
        <w:rPr>
          <w:sz w:val="28"/>
          <w:szCs w:val="28"/>
        </w:rPr>
        <w:t xml:space="preserve"> HH131/04 </w:t>
      </w:r>
      <w:r w:rsidR="004319DD" w:rsidRPr="00F62517">
        <w:rPr>
          <w:sz w:val="28"/>
          <w:szCs w:val="28"/>
        </w:rPr>
        <w:t>where the High Court</w:t>
      </w:r>
      <w:r w:rsidR="00CB7503" w:rsidRPr="00F62517">
        <w:rPr>
          <w:sz w:val="28"/>
          <w:szCs w:val="28"/>
        </w:rPr>
        <w:t>,</w:t>
      </w:r>
      <w:r w:rsidR="004319DD" w:rsidRPr="00F62517">
        <w:rPr>
          <w:sz w:val="28"/>
          <w:szCs w:val="28"/>
        </w:rPr>
        <w:t xml:space="preserve"> </w:t>
      </w:r>
      <w:r w:rsidR="00CB7503" w:rsidRPr="00F62517">
        <w:rPr>
          <w:sz w:val="28"/>
          <w:szCs w:val="28"/>
        </w:rPr>
        <w:t>(</w:t>
      </w:r>
      <w:r w:rsidR="00754960" w:rsidRPr="00F62517">
        <w:rPr>
          <w:sz w:val="28"/>
          <w:szCs w:val="28"/>
        </w:rPr>
        <w:t>MAKARAU</w:t>
      </w:r>
      <w:r w:rsidR="004319DD" w:rsidRPr="00F62517">
        <w:rPr>
          <w:sz w:val="28"/>
          <w:szCs w:val="28"/>
        </w:rPr>
        <w:t xml:space="preserve"> J</w:t>
      </w:r>
      <w:r w:rsidR="00CB7503" w:rsidRPr="00F62517">
        <w:rPr>
          <w:sz w:val="28"/>
          <w:szCs w:val="28"/>
        </w:rPr>
        <w:t>)</w:t>
      </w:r>
      <w:r w:rsidR="00754960" w:rsidRPr="00F62517">
        <w:rPr>
          <w:sz w:val="28"/>
          <w:szCs w:val="28"/>
        </w:rPr>
        <w:t xml:space="preserve"> (</w:t>
      </w:r>
      <w:r w:rsidRPr="00F62517">
        <w:rPr>
          <w:sz w:val="28"/>
          <w:szCs w:val="28"/>
        </w:rPr>
        <w:t>as she then was</w:t>
      </w:r>
      <w:r w:rsidR="001A38A8" w:rsidRPr="00F62517">
        <w:rPr>
          <w:sz w:val="28"/>
          <w:szCs w:val="28"/>
        </w:rPr>
        <w:t>)</w:t>
      </w:r>
      <w:r w:rsidRPr="00F62517">
        <w:rPr>
          <w:sz w:val="28"/>
          <w:szCs w:val="28"/>
        </w:rPr>
        <w:t xml:space="preserve"> stated </w:t>
      </w:r>
      <w:r w:rsidR="001A38A8" w:rsidRPr="00F62517">
        <w:rPr>
          <w:sz w:val="28"/>
          <w:szCs w:val="28"/>
        </w:rPr>
        <w:t>that</w:t>
      </w:r>
      <w:r w:rsidRPr="00F62517">
        <w:rPr>
          <w:sz w:val="28"/>
          <w:szCs w:val="28"/>
        </w:rPr>
        <w:t>:</w:t>
      </w:r>
    </w:p>
    <w:p w:rsidR="00AB3252" w:rsidRPr="00F62517" w:rsidRDefault="00AB3252" w:rsidP="00754960">
      <w:pPr>
        <w:ind w:left="360"/>
        <w:jc w:val="both"/>
      </w:pPr>
      <w:r w:rsidRPr="00F62517">
        <w:t xml:space="preserve">“I have always visualized the difference between a court of inherent jurisdiction and one without as two buildings open to the citizenry.  One has all its doors and windows open to all and for all and for all reasons (and in all seasons), apart from those expressly and clearly forbidden entry by statute.  Where a point of entry is hitherto non-existent for a member of the public in the form of a </w:t>
      </w:r>
      <w:r w:rsidRPr="00F62517">
        <w:rPr>
          <w:b/>
        </w:rPr>
        <w:t>procedure,</w:t>
      </w:r>
      <w:r w:rsidRPr="00F62517">
        <w:t xml:space="preserve"> one is inherently created in the interests of justice.  This is the C</w:t>
      </w:r>
      <w:r w:rsidR="001A38A8" w:rsidRPr="00F62517">
        <w:t>ourt of inherent jurisdiction (T</w:t>
      </w:r>
      <w:r w:rsidRPr="00F62517">
        <w:t xml:space="preserve">he High Court).  The sentry manning the gates of this building is less stern and less demanding than his counterpart at the gates of the other building.  This other building representing the court without inherent powers is generally closed up apart </w:t>
      </w:r>
      <w:r w:rsidRPr="00F62517">
        <w:rPr>
          <w:b/>
        </w:rPr>
        <w:t>from a few windows</w:t>
      </w:r>
      <w:r w:rsidRPr="00F62517">
        <w:t xml:space="preserve"> to allow access to</w:t>
      </w:r>
      <w:r w:rsidRPr="00F62517">
        <w:rPr>
          <w:i/>
        </w:rPr>
        <w:t xml:space="preserve"> </w:t>
      </w:r>
      <w:r w:rsidRPr="00F62517">
        <w:t xml:space="preserve">those expressly defined in the statute creating the court (The Labour Court) </w:t>
      </w:r>
      <w:r w:rsidRPr="00F62517">
        <w:rPr>
          <w:b/>
        </w:rPr>
        <w:t xml:space="preserve">on </w:t>
      </w:r>
      <w:r w:rsidR="00C94637" w:rsidRPr="00F62517">
        <w:rPr>
          <w:b/>
        </w:rPr>
        <w:t>certain</w:t>
      </w:r>
      <w:r w:rsidRPr="00F62517">
        <w:rPr>
          <w:b/>
        </w:rPr>
        <w:t xml:space="preserve"> terms and for certain specified purposes.</w:t>
      </w:r>
      <w:r w:rsidR="00C94637" w:rsidRPr="00F62517">
        <w:rPr>
          <w:b/>
        </w:rPr>
        <w:t xml:space="preserve"> Where the statute does not create a point of entry, the court cannot open one for anyone.</w:t>
      </w:r>
      <w:r w:rsidR="001A38A8" w:rsidRPr="00F62517">
        <w:rPr>
          <w:b/>
          <w:i/>
        </w:rPr>
        <w:t>”</w:t>
      </w:r>
      <w:r w:rsidR="00C94637" w:rsidRPr="00F62517">
        <w:rPr>
          <w:b/>
        </w:rPr>
        <w:t xml:space="preserve">  </w:t>
      </w:r>
      <w:r w:rsidR="001A38A8" w:rsidRPr="00F62517">
        <w:t>(E</w:t>
      </w:r>
      <w:r w:rsidR="00C94637" w:rsidRPr="00F62517">
        <w:t>mphasis</w:t>
      </w:r>
      <w:r w:rsidR="001A38A8" w:rsidRPr="00F62517">
        <w:t xml:space="preserve"> added</w:t>
      </w:r>
      <w:r w:rsidR="00C94637" w:rsidRPr="00F62517">
        <w:t>).</w:t>
      </w:r>
    </w:p>
    <w:p w:rsidR="00C94637" w:rsidRPr="00F62517" w:rsidRDefault="00C94637" w:rsidP="00C94637">
      <w:pPr>
        <w:spacing w:line="360" w:lineRule="auto"/>
        <w:jc w:val="both"/>
      </w:pPr>
    </w:p>
    <w:p w:rsidR="00C94637" w:rsidRPr="00F62517" w:rsidRDefault="00C94637" w:rsidP="00F62517">
      <w:pPr>
        <w:spacing w:line="360" w:lineRule="auto"/>
        <w:ind w:firstLine="360"/>
        <w:jc w:val="both"/>
        <w:rPr>
          <w:sz w:val="28"/>
          <w:szCs w:val="28"/>
        </w:rPr>
      </w:pPr>
      <w:r w:rsidRPr="00F62517">
        <w:rPr>
          <w:sz w:val="28"/>
          <w:szCs w:val="28"/>
        </w:rPr>
        <w:t>Thus there is no specific “point</w:t>
      </w:r>
      <w:r w:rsidR="001A38A8" w:rsidRPr="00F62517">
        <w:rPr>
          <w:sz w:val="28"/>
          <w:szCs w:val="28"/>
        </w:rPr>
        <w:t>s</w:t>
      </w:r>
      <w:r w:rsidRPr="00F62517">
        <w:rPr>
          <w:sz w:val="28"/>
          <w:szCs w:val="28"/>
        </w:rPr>
        <w:t xml:space="preserve"> of entry” granting this court jurisdiction to hear appeals from retrenchments determined by the M</w:t>
      </w:r>
      <w:r w:rsidR="001A38A8" w:rsidRPr="00F62517">
        <w:rPr>
          <w:sz w:val="28"/>
          <w:szCs w:val="28"/>
        </w:rPr>
        <w:t>inister in terms of Section 12(C</w:t>
      </w:r>
      <w:r w:rsidRPr="00F62517">
        <w:rPr>
          <w:sz w:val="28"/>
          <w:szCs w:val="28"/>
        </w:rPr>
        <w:t>) of The Act.</w:t>
      </w:r>
    </w:p>
    <w:p w:rsidR="006803CB" w:rsidRPr="00F62517" w:rsidRDefault="00C94637" w:rsidP="00F62517">
      <w:pPr>
        <w:spacing w:line="360" w:lineRule="auto"/>
        <w:ind w:firstLine="360"/>
        <w:jc w:val="both"/>
        <w:rPr>
          <w:sz w:val="28"/>
          <w:szCs w:val="28"/>
        </w:rPr>
      </w:pPr>
      <w:r w:rsidRPr="00F62517">
        <w:rPr>
          <w:sz w:val="28"/>
          <w:szCs w:val="28"/>
        </w:rPr>
        <w:t>It was in view of the above that this Court declined to hear the appeal.</w:t>
      </w:r>
      <w:r w:rsidR="006803CB" w:rsidRPr="00F62517">
        <w:rPr>
          <w:sz w:val="28"/>
          <w:szCs w:val="28"/>
        </w:rPr>
        <w:t xml:space="preserve">  </w:t>
      </w:r>
    </w:p>
    <w:p w:rsidR="001A38A8" w:rsidRPr="00F62517" w:rsidRDefault="001A38A8" w:rsidP="00F62517">
      <w:pPr>
        <w:spacing w:line="360" w:lineRule="auto"/>
        <w:ind w:firstLine="360"/>
        <w:jc w:val="both"/>
        <w:rPr>
          <w:sz w:val="28"/>
          <w:szCs w:val="28"/>
        </w:rPr>
      </w:pPr>
      <w:r w:rsidRPr="00F62517">
        <w:rPr>
          <w:sz w:val="28"/>
          <w:szCs w:val="28"/>
        </w:rPr>
        <w:t>It was accordingly ordered that the appeal be dismissed for want of jurisdiction.</w:t>
      </w:r>
    </w:p>
    <w:p w:rsidR="005A6358" w:rsidRPr="00F62517" w:rsidRDefault="005A6358" w:rsidP="00C94637">
      <w:pPr>
        <w:spacing w:line="360" w:lineRule="auto"/>
        <w:jc w:val="both"/>
        <w:rPr>
          <w:sz w:val="28"/>
          <w:szCs w:val="28"/>
        </w:rPr>
      </w:pPr>
    </w:p>
    <w:p w:rsidR="001A38A8" w:rsidRDefault="001A38A8" w:rsidP="00C94637">
      <w:pPr>
        <w:spacing w:line="360" w:lineRule="auto"/>
        <w:jc w:val="both"/>
        <w:rPr>
          <w:rFonts w:ascii="Tahoma" w:hAnsi="Tahoma" w:cs="Tahoma"/>
          <w:b/>
          <w:i/>
        </w:rPr>
      </w:pPr>
    </w:p>
    <w:p w:rsidR="00754960" w:rsidRDefault="00754960" w:rsidP="00C94637">
      <w:pPr>
        <w:spacing w:line="360" w:lineRule="auto"/>
        <w:jc w:val="both"/>
        <w:rPr>
          <w:rFonts w:ascii="Tahoma" w:hAnsi="Tahoma" w:cs="Tahoma"/>
          <w:b/>
          <w:i/>
        </w:rPr>
      </w:pPr>
    </w:p>
    <w:p w:rsidR="00C94637" w:rsidRPr="00754960" w:rsidRDefault="00C94637" w:rsidP="00C94637">
      <w:pPr>
        <w:spacing w:line="360" w:lineRule="auto"/>
        <w:jc w:val="both"/>
        <w:rPr>
          <w:b/>
          <w:i/>
        </w:rPr>
      </w:pPr>
      <w:r w:rsidRPr="00754960">
        <w:rPr>
          <w:b/>
          <w:i/>
        </w:rPr>
        <w:t>Pindu &amp; Company, Legal Practitioners for the Appellants.</w:t>
      </w:r>
    </w:p>
    <w:p w:rsidR="00081581" w:rsidRDefault="00C94637" w:rsidP="001A38A8">
      <w:pPr>
        <w:spacing w:line="360" w:lineRule="auto"/>
        <w:jc w:val="both"/>
      </w:pPr>
      <w:proofErr w:type="gramStart"/>
      <w:r w:rsidRPr="00754960">
        <w:rPr>
          <w:b/>
          <w:i/>
        </w:rPr>
        <w:t>Hussein, Ranchod &amp; Company, Legal Practitioners for the Respondent</w:t>
      </w:r>
      <w:r>
        <w:rPr>
          <w:rFonts w:ascii="Tahoma" w:hAnsi="Tahoma" w:cs="Tahoma"/>
          <w:b/>
          <w:i/>
        </w:rPr>
        <w:t>.</w:t>
      </w:r>
      <w:proofErr w:type="gramEnd"/>
      <w:r w:rsidR="005A6358" w:rsidRPr="00AB3252">
        <w:rPr>
          <w:rFonts w:ascii="Tahoma" w:hAnsi="Tahoma" w:cs="Tahoma"/>
        </w:rPr>
        <w:t xml:space="preserve"> </w:t>
      </w:r>
    </w:p>
    <w:sectPr w:rsidR="00081581" w:rsidSect="00C9463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3DF" w:rsidRDefault="00E723DF" w:rsidP="00C94637">
      <w:r>
        <w:separator/>
      </w:r>
    </w:p>
  </w:endnote>
  <w:endnote w:type="continuationSeparator" w:id="0">
    <w:p w:rsidR="00E723DF" w:rsidRDefault="00E723DF" w:rsidP="00C9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168012"/>
      <w:docPartObj>
        <w:docPartGallery w:val="Page Numbers (Bottom of Page)"/>
        <w:docPartUnique/>
      </w:docPartObj>
    </w:sdtPr>
    <w:sdtEndPr>
      <w:rPr>
        <w:noProof/>
      </w:rPr>
    </w:sdtEndPr>
    <w:sdtContent>
      <w:p w:rsidR="00C94637" w:rsidRDefault="00C94637">
        <w:pPr>
          <w:pStyle w:val="Footer"/>
          <w:jc w:val="right"/>
        </w:pPr>
        <w:r>
          <w:fldChar w:fldCharType="begin"/>
        </w:r>
        <w:r>
          <w:instrText xml:space="preserve"> PAGE   \* MERGEFORMAT </w:instrText>
        </w:r>
        <w:r>
          <w:fldChar w:fldCharType="separate"/>
        </w:r>
        <w:r w:rsidR="00F50F3F">
          <w:rPr>
            <w:noProof/>
          </w:rPr>
          <w:t>3</w:t>
        </w:r>
        <w:r>
          <w:rPr>
            <w:noProof/>
          </w:rPr>
          <w:fldChar w:fldCharType="end"/>
        </w:r>
      </w:p>
    </w:sdtContent>
  </w:sdt>
  <w:p w:rsidR="00C94637" w:rsidRDefault="00C94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3DF" w:rsidRDefault="00E723DF" w:rsidP="00C94637">
      <w:r>
        <w:separator/>
      </w:r>
    </w:p>
  </w:footnote>
  <w:footnote w:type="continuationSeparator" w:id="0">
    <w:p w:rsidR="00E723DF" w:rsidRDefault="00E723DF" w:rsidP="00C94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637" w:rsidRDefault="00C94637" w:rsidP="00C94637">
    <w:pPr>
      <w:pStyle w:val="Header"/>
      <w:jc w:val="right"/>
    </w:pPr>
    <w:r>
      <w:rPr>
        <w:b/>
      </w:rPr>
      <w:t>JUDGMENT NO. LC/H/</w:t>
    </w:r>
    <w:r w:rsidR="008A089B">
      <w:rPr>
        <w:b/>
      </w:rPr>
      <w:t>628</w:t>
    </w:r>
    <w:r>
      <w:rPr>
        <w:b/>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5594F"/>
    <w:multiLevelType w:val="hybridMultilevel"/>
    <w:tmpl w:val="243A3A54"/>
    <w:lvl w:ilvl="0" w:tplc="079EB744">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38AB4A4E"/>
    <w:multiLevelType w:val="hybridMultilevel"/>
    <w:tmpl w:val="1AFECA32"/>
    <w:lvl w:ilvl="0" w:tplc="2874711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B0615EB"/>
    <w:multiLevelType w:val="hybridMultilevel"/>
    <w:tmpl w:val="31527BF0"/>
    <w:lvl w:ilvl="0" w:tplc="DD86F602">
      <w:start w:val="5"/>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54B578F5"/>
    <w:multiLevelType w:val="hybridMultilevel"/>
    <w:tmpl w:val="B6ECEBD2"/>
    <w:lvl w:ilvl="0" w:tplc="76C2637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52"/>
    <w:rsid w:val="00081581"/>
    <w:rsid w:val="001A38A8"/>
    <w:rsid w:val="004319DD"/>
    <w:rsid w:val="004A0569"/>
    <w:rsid w:val="0059377E"/>
    <w:rsid w:val="005A6358"/>
    <w:rsid w:val="005E3FF3"/>
    <w:rsid w:val="006803CB"/>
    <w:rsid w:val="007016D1"/>
    <w:rsid w:val="00754960"/>
    <w:rsid w:val="007D21DF"/>
    <w:rsid w:val="008A089B"/>
    <w:rsid w:val="008B0693"/>
    <w:rsid w:val="00AB3252"/>
    <w:rsid w:val="00BA69EB"/>
    <w:rsid w:val="00C60423"/>
    <w:rsid w:val="00C94637"/>
    <w:rsid w:val="00CB7503"/>
    <w:rsid w:val="00D14750"/>
    <w:rsid w:val="00DE2EA1"/>
    <w:rsid w:val="00E723DF"/>
    <w:rsid w:val="00F50F3F"/>
    <w:rsid w:val="00F625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5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252"/>
    <w:pPr>
      <w:ind w:left="720"/>
      <w:contextualSpacing/>
    </w:pPr>
  </w:style>
  <w:style w:type="paragraph" w:styleId="Header">
    <w:name w:val="header"/>
    <w:basedOn w:val="Normal"/>
    <w:link w:val="HeaderChar"/>
    <w:uiPriority w:val="99"/>
    <w:unhideWhenUsed/>
    <w:rsid w:val="00C94637"/>
    <w:pPr>
      <w:tabs>
        <w:tab w:val="center" w:pos="4513"/>
        <w:tab w:val="right" w:pos="9026"/>
      </w:tabs>
    </w:pPr>
  </w:style>
  <w:style w:type="character" w:customStyle="1" w:styleId="HeaderChar">
    <w:name w:val="Header Char"/>
    <w:basedOn w:val="DefaultParagraphFont"/>
    <w:link w:val="Header"/>
    <w:uiPriority w:val="99"/>
    <w:rsid w:val="00C946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94637"/>
    <w:pPr>
      <w:tabs>
        <w:tab w:val="center" w:pos="4513"/>
        <w:tab w:val="right" w:pos="9026"/>
      </w:tabs>
    </w:pPr>
  </w:style>
  <w:style w:type="character" w:customStyle="1" w:styleId="FooterChar">
    <w:name w:val="Footer Char"/>
    <w:basedOn w:val="DefaultParagraphFont"/>
    <w:link w:val="Footer"/>
    <w:uiPriority w:val="99"/>
    <w:rsid w:val="00C9463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50F3F"/>
    <w:rPr>
      <w:rFonts w:ascii="Tahoma" w:hAnsi="Tahoma" w:cs="Tahoma"/>
      <w:sz w:val="16"/>
      <w:szCs w:val="16"/>
    </w:rPr>
  </w:style>
  <w:style w:type="character" w:customStyle="1" w:styleId="BalloonTextChar">
    <w:name w:val="Balloon Text Char"/>
    <w:basedOn w:val="DefaultParagraphFont"/>
    <w:link w:val="BalloonText"/>
    <w:uiPriority w:val="99"/>
    <w:semiHidden/>
    <w:rsid w:val="00F50F3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5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252"/>
    <w:pPr>
      <w:ind w:left="720"/>
      <w:contextualSpacing/>
    </w:pPr>
  </w:style>
  <w:style w:type="paragraph" w:styleId="Header">
    <w:name w:val="header"/>
    <w:basedOn w:val="Normal"/>
    <w:link w:val="HeaderChar"/>
    <w:uiPriority w:val="99"/>
    <w:unhideWhenUsed/>
    <w:rsid w:val="00C94637"/>
    <w:pPr>
      <w:tabs>
        <w:tab w:val="center" w:pos="4513"/>
        <w:tab w:val="right" w:pos="9026"/>
      </w:tabs>
    </w:pPr>
  </w:style>
  <w:style w:type="character" w:customStyle="1" w:styleId="HeaderChar">
    <w:name w:val="Header Char"/>
    <w:basedOn w:val="DefaultParagraphFont"/>
    <w:link w:val="Header"/>
    <w:uiPriority w:val="99"/>
    <w:rsid w:val="00C946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94637"/>
    <w:pPr>
      <w:tabs>
        <w:tab w:val="center" w:pos="4513"/>
        <w:tab w:val="right" w:pos="9026"/>
      </w:tabs>
    </w:pPr>
  </w:style>
  <w:style w:type="character" w:customStyle="1" w:styleId="FooterChar">
    <w:name w:val="Footer Char"/>
    <w:basedOn w:val="DefaultParagraphFont"/>
    <w:link w:val="Footer"/>
    <w:uiPriority w:val="99"/>
    <w:rsid w:val="00C9463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50F3F"/>
    <w:rPr>
      <w:rFonts w:ascii="Tahoma" w:hAnsi="Tahoma" w:cs="Tahoma"/>
      <w:sz w:val="16"/>
      <w:szCs w:val="16"/>
    </w:rPr>
  </w:style>
  <w:style w:type="character" w:customStyle="1" w:styleId="BalloonTextChar">
    <w:name w:val="Balloon Text Char"/>
    <w:basedOn w:val="DefaultParagraphFont"/>
    <w:link w:val="BalloonText"/>
    <w:uiPriority w:val="99"/>
    <w:semiHidden/>
    <w:rsid w:val="00F50F3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2</cp:revision>
  <cp:lastPrinted>2014-01-28T12:57:00Z</cp:lastPrinted>
  <dcterms:created xsi:type="dcterms:W3CDTF">2014-01-28T13:00:00Z</dcterms:created>
  <dcterms:modified xsi:type="dcterms:W3CDTF">2014-01-28T13:00:00Z</dcterms:modified>
</cp:coreProperties>
</file>