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390" w:rsidRDefault="00C66390" w:rsidP="00C66390">
      <w:pPr>
        <w:spacing w:line="360" w:lineRule="auto"/>
        <w:jc w:val="both"/>
        <w:rPr>
          <w:b/>
        </w:rPr>
      </w:pPr>
      <w:bookmarkStart w:id="0" w:name="_GoBack"/>
      <w:bookmarkEnd w:id="0"/>
      <w:proofErr w:type="gramStart"/>
      <w:r w:rsidRPr="00047C13">
        <w:rPr>
          <w:b/>
        </w:rPr>
        <w:t>IN T</w:t>
      </w:r>
      <w:r>
        <w:rPr>
          <w:b/>
        </w:rPr>
        <w:t xml:space="preserve">HE LABOUR COURT OF ZIMBABWE     </w:t>
      </w:r>
      <w:r w:rsidR="00652A92">
        <w:rPr>
          <w:b/>
        </w:rPr>
        <w:t xml:space="preserve"> </w:t>
      </w:r>
      <w:r>
        <w:rPr>
          <w:b/>
        </w:rPr>
        <w:t>JUDGMENT NO.</w:t>
      </w:r>
      <w:proofErr w:type="gramEnd"/>
      <w:r>
        <w:rPr>
          <w:b/>
        </w:rPr>
        <w:t xml:space="preserve"> LC/H/</w:t>
      </w:r>
      <w:r w:rsidR="00652A92">
        <w:rPr>
          <w:b/>
        </w:rPr>
        <w:t>383</w:t>
      </w:r>
      <w:r>
        <w:rPr>
          <w:b/>
        </w:rPr>
        <w:t>/2014</w:t>
      </w:r>
    </w:p>
    <w:p w:rsidR="00C66390" w:rsidRDefault="00C66390" w:rsidP="00C66390">
      <w:pPr>
        <w:spacing w:line="360" w:lineRule="auto"/>
        <w:jc w:val="both"/>
        <w:rPr>
          <w:b/>
        </w:rPr>
      </w:pPr>
      <w:r w:rsidRPr="00047C13">
        <w:rPr>
          <w:b/>
        </w:rPr>
        <w:t>HARARE,</w:t>
      </w:r>
      <w:r>
        <w:rPr>
          <w:b/>
        </w:rPr>
        <w:t xml:space="preserve"> 30 JULY 2013</w:t>
      </w:r>
      <w:r>
        <w:rPr>
          <w:b/>
        </w:rPr>
        <w:tab/>
      </w:r>
      <w:r w:rsidRPr="00047C13">
        <w:rPr>
          <w:b/>
        </w:rPr>
        <w:tab/>
      </w:r>
      <w:r w:rsidRPr="00047C13">
        <w:rPr>
          <w:b/>
        </w:rPr>
        <w:tab/>
      </w:r>
      <w:r>
        <w:rPr>
          <w:b/>
        </w:rPr>
        <w:t xml:space="preserve">    </w:t>
      </w:r>
      <w:r w:rsidRPr="00047C13">
        <w:rPr>
          <w:b/>
        </w:rPr>
        <w:t xml:space="preserve"> </w:t>
      </w:r>
      <w:r>
        <w:rPr>
          <w:b/>
        </w:rPr>
        <w:tab/>
        <w:t xml:space="preserve">     </w:t>
      </w:r>
      <w:r w:rsidR="00F331C9">
        <w:rPr>
          <w:b/>
        </w:rPr>
        <w:tab/>
        <w:t xml:space="preserve">     </w:t>
      </w:r>
      <w:r w:rsidRPr="00047C13">
        <w:rPr>
          <w:b/>
        </w:rPr>
        <w:t>CASE NO. LC/H/</w:t>
      </w:r>
      <w:r>
        <w:rPr>
          <w:b/>
        </w:rPr>
        <w:t>392/11</w:t>
      </w:r>
    </w:p>
    <w:p w:rsidR="00F331C9" w:rsidRDefault="00F331C9" w:rsidP="00C66390">
      <w:pPr>
        <w:spacing w:line="360" w:lineRule="auto"/>
        <w:jc w:val="both"/>
        <w:rPr>
          <w:b/>
        </w:rPr>
      </w:pPr>
      <w:r>
        <w:rPr>
          <w:b/>
        </w:rPr>
        <w:t xml:space="preserve">AND </w:t>
      </w:r>
      <w:r w:rsidR="00652A92">
        <w:rPr>
          <w:b/>
        </w:rPr>
        <w:t>04 JULY</w:t>
      </w:r>
      <w:r>
        <w:rPr>
          <w:b/>
        </w:rPr>
        <w:t xml:space="preserve"> 2014</w:t>
      </w:r>
    </w:p>
    <w:p w:rsidR="00C66390" w:rsidRPr="00047C13" w:rsidRDefault="00C66390" w:rsidP="00C66390">
      <w:pPr>
        <w:spacing w:line="360" w:lineRule="auto"/>
        <w:jc w:val="both"/>
      </w:pPr>
      <w:r w:rsidRPr="00047C13">
        <w:t>In the matter between</w:t>
      </w:r>
      <w:r>
        <w:t>:-</w:t>
      </w:r>
    </w:p>
    <w:p w:rsidR="00C66390" w:rsidRPr="00047C13" w:rsidRDefault="00C66390" w:rsidP="00C66390">
      <w:pPr>
        <w:spacing w:line="360" w:lineRule="auto"/>
        <w:jc w:val="both"/>
      </w:pPr>
    </w:p>
    <w:p w:rsidR="00C66390" w:rsidRPr="00CC1741" w:rsidRDefault="00C66390" w:rsidP="00C66390">
      <w:pPr>
        <w:spacing w:line="360" w:lineRule="auto"/>
        <w:jc w:val="both"/>
        <w:rPr>
          <w:b/>
        </w:rPr>
      </w:pPr>
      <w:r>
        <w:rPr>
          <w:b/>
        </w:rPr>
        <w:t>ISRAEL KUCHOCHA</w:t>
      </w:r>
      <w:r>
        <w:rPr>
          <w:b/>
        </w:rPr>
        <w:tab/>
      </w:r>
      <w:r>
        <w:rPr>
          <w:b/>
        </w:rPr>
        <w:tab/>
      </w:r>
      <w:r>
        <w:rPr>
          <w:b/>
        </w:rPr>
        <w:tab/>
      </w:r>
      <w:r>
        <w:rPr>
          <w:b/>
        </w:rPr>
        <w:tab/>
      </w:r>
      <w:r>
        <w:rPr>
          <w:b/>
        </w:rPr>
        <w:tab/>
      </w:r>
      <w:r>
        <w:rPr>
          <w:b/>
        </w:rPr>
        <w:tab/>
        <w:t xml:space="preserve">Appellant </w:t>
      </w:r>
    </w:p>
    <w:p w:rsidR="00C66390" w:rsidRDefault="00C66390" w:rsidP="00AE052F">
      <w:pPr>
        <w:spacing w:line="360" w:lineRule="auto"/>
        <w:jc w:val="both"/>
        <w:outlineLvl w:val="0"/>
      </w:pPr>
      <w:r w:rsidRPr="00E4649E">
        <w:t>AND</w:t>
      </w:r>
    </w:p>
    <w:p w:rsidR="00C66390" w:rsidRPr="00E4649E" w:rsidRDefault="00C66390" w:rsidP="00C66390">
      <w:pPr>
        <w:spacing w:line="360" w:lineRule="auto"/>
        <w:jc w:val="both"/>
        <w:rPr>
          <w:b/>
        </w:rPr>
      </w:pPr>
      <w:r>
        <w:rPr>
          <w:b/>
        </w:rPr>
        <w:t xml:space="preserve">BP AND SHELL MARKETING t/a FMI </w:t>
      </w:r>
      <w:r>
        <w:rPr>
          <w:b/>
        </w:rPr>
        <w:tab/>
      </w:r>
      <w:r>
        <w:rPr>
          <w:b/>
        </w:rPr>
        <w:tab/>
      </w:r>
      <w:r>
        <w:rPr>
          <w:b/>
        </w:rPr>
        <w:tab/>
        <w:t>Respondent</w:t>
      </w:r>
    </w:p>
    <w:p w:rsidR="00C66390" w:rsidRDefault="00C66390" w:rsidP="00AE052F">
      <w:pPr>
        <w:spacing w:line="360" w:lineRule="auto"/>
        <w:jc w:val="both"/>
        <w:outlineLvl w:val="0"/>
        <w:rPr>
          <w:b/>
        </w:rPr>
      </w:pPr>
      <w:r>
        <w:rPr>
          <w:b/>
        </w:rPr>
        <w:t>ENERGY/ZUVA PETROLEUM</w:t>
      </w:r>
    </w:p>
    <w:p w:rsidR="00C66390" w:rsidRPr="00047C13" w:rsidRDefault="00C66390" w:rsidP="00C66390">
      <w:pPr>
        <w:spacing w:line="360" w:lineRule="auto"/>
        <w:jc w:val="both"/>
        <w:rPr>
          <w:b/>
        </w:rPr>
      </w:pPr>
    </w:p>
    <w:p w:rsidR="00C66390" w:rsidRDefault="00C66390" w:rsidP="00AE052F">
      <w:pPr>
        <w:spacing w:line="360" w:lineRule="auto"/>
        <w:jc w:val="both"/>
        <w:outlineLvl w:val="0"/>
      </w:pPr>
      <w:r>
        <w:t xml:space="preserve">Before </w:t>
      </w:r>
      <w:proofErr w:type="spellStart"/>
      <w:r w:rsidRPr="00047C13">
        <w:t>Honourable</w:t>
      </w:r>
      <w:r w:rsidR="008B48E2">
        <w:t>s</w:t>
      </w:r>
      <w:proofErr w:type="spellEnd"/>
      <w:r w:rsidR="008B48E2">
        <w:t xml:space="preserve">: </w:t>
      </w:r>
      <w:r>
        <w:t xml:space="preserve"> R. </w:t>
      </w:r>
      <w:proofErr w:type="spellStart"/>
      <w:r>
        <w:t>Manyangadze</w:t>
      </w:r>
      <w:proofErr w:type="spellEnd"/>
      <w:r>
        <w:t>, J</w:t>
      </w:r>
    </w:p>
    <w:p w:rsidR="008B48E2" w:rsidRPr="00047C13" w:rsidRDefault="008B48E2" w:rsidP="00AE052F">
      <w:pPr>
        <w:spacing w:line="360" w:lineRule="auto"/>
        <w:jc w:val="both"/>
        <w:outlineLvl w:val="0"/>
      </w:pPr>
      <w:r>
        <w:tab/>
      </w:r>
      <w:r>
        <w:tab/>
        <w:t xml:space="preserve">   </w:t>
      </w:r>
      <w:r>
        <w:tab/>
        <w:t xml:space="preserve">  L. Hove, J</w:t>
      </w:r>
    </w:p>
    <w:p w:rsidR="00C66390" w:rsidRPr="00047C13" w:rsidRDefault="00C66390" w:rsidP="00C66390">
      <w:pPr>
        <w:spacing w:line="360" w:lineRule="auto"/>
        <w:jc w:val="both"/>
      </w:pPr>
      <w:r w:rsidRPr="00047C13">
        <w:tab/>
      </w:r>
      <w:r w:rsidRPr="00047C13">
        <w:tab/>
      </w:r>
      <w:r w:rsidRPr="00047C13">
        <w:tab/>
      </w:r>
    </w:p>
    <w:p w:rsidR="00C66390" w:rsidRDefault="00C66390" w:rsidP="00C66390">
      <w:pPr>
        <w:spacing w:line="360" w:lineRule="auto"/>
        <w:jc w:val="both"/>
        <w:rPr>
          <w:b/>
        </w:rPr>
      </w:pPr>
      <w:proofErr w:type="gramStart"/>
      <w:r>
        <w:rPr>
          <w:b/>
        </w:rPr>
        <w:t>For Appellant</w:t>
      </w:r>
      <w:r w:rsidRPr="00047C13">
        <w:rPr>
          <w:b/>
        </w:rPr>
        <w:t xml:space="preserve"> </w:t>
      </w:r>
      <w:r w:rsidRPr="00047C13">
        <w:rPr>
          <w:b/>
        </w:rPr>
        <w:tab/>
      </w:r>
      <w:r>
        <w:rPr>
          <w:b/>
        </w:rPr>
        <w:tab/>
      </w:r>
      <w:r w:rsidRPr="00047C13">
        <w:rPr>
          <w:b/>
        </w:rPr>
        <w:t>-</w:t>
      </w:r>
      <w:r w:rsidRPr="00047C13">
        <w:rPr>
          <w:b/>
        </w:rPr>
        <w:tab/>
      </w:r>
      <w:r>
        <w:rPr>
          <w:b/>
        </w:rPr>
        <w:t>Mr.</w:t>
      </w:r>
      <w:proofErr w:type="gramEnd"/>
      <w:r>
        <w:rPr>
          <w:b/>
        </w:rPr>
        <w:t xml:space="preserve">  </w:t>
      </w:r>
      <w:proofErr w:type="spellStart"/>
      <w:r>
        <w:rPr>
          <w:b/>
        </w:rPr>
        <w:t>Kufaruwenga</w:t>
      </w:r>
      <w:proofErr w:type="spellEnd"/>
      <w:r>
        <w:rPr>
          <w:b/>
        </w:rPr>
        <w:t xml:space="preserve"> (Legal Practitioner)</w:t>
      </w:r>
    </w:p>
    <w:p w:rsidR="00C66390" w:rsidRDefault="00C66390" w:rsidP="00C66390">
      <w:pPr>
        <w:pStyle w:val="NoSpacing"/>
        <w:rPr>
          <w:b/>
        </w:rPr>
      </w:pPr>
      <w:r w:rsidRPr="00494C95">
        <w:rPr>
          <w:b/>
        </w:rPr>
        <w:t>For Respondent</w:t>
      </w:r>
      <w:r>
        <w:tab/>
      </w:r>
      <w:r>
        <w:tab/>
        <w:t>-</w:t>
      </w:r>
      <w:r>
        <w:tab/>
      </w:r>
      <w:r>
        <w:rPr>
          <w:b/>
        </w:rPr>
        <w:t xml:space="preserve">Mr. G. </w:t>
      </w:r>
      <w:proofErr w:type="spellStart"/>
      <w:r>
        <w:rPr>
          <w:b/>
        </w:rPr>
        <w:t>Chingoma</w:t>
      </w:r>
      <w:proofErr w:type="spellEnd"/>
      <w:r>
        <w:rPr>
          <w:b/>
        </w:rPr>
        <w:t xml:space="preserve"> (Legal Practitioner)</w:t>
      </w:r>
    </w:p>
    <w:p w:rsidR="00C66390" w:rsidRDefault="00C66390" w:rsidP="00C66390">
      <w:pPr>
        <w:pStyle w:val="NoSpacing"/>
        <w:spacing w:line="276" w:lineRule="auto"/>
        <w:rPr>
          <w:b/>
        </w:rPr>
      </w:pPr>
    </w:p>
    <w:p w:rsidR="00C66390" w:rsidRPr="00CF1210" w:rsidRDefault="00C66390" w:rsidP="00C66390">
      <w:pPr>
        <w:pStyle w:val="NoSpacing"/>
        <w:rPr>
          <w:b/>
        </w:rPr>
      </w:pPr>
    </w:p>
    <w:p w:rsidR="00C66390" w:rsidRDefault="00C66390" w:rsidP="00AE052F">
      <w:pPr>
        <w:spacing w:line="360" w:lineRule="auto"/>
        <w:jc w:val="both"/>
        <w:outlineLvl w:val="0"/>
        <w:rPr>
          <w:b/>
        </w:rPr>
      </w:pPr>
      <w:r>
        <w:rPr>
          <w:b/>
        </w:rPr>
        <w:t>MANYANGADZE J:</w:t>
      </w:r>
    </w:p>
    <w:p w:rsidR="00A95BC4" w:rsidRDefault="00A95BC4" w:rsidP="00AE052F">
      <w:pPr>
        <w:spacing w:line="276" w:lineRule="auto"/>
        <w:jc w:val="both"/>
      </w:pPr>
    </w:p>
    <w:p w:rsidR="00C66390" w:rsidRDefault="00C66390" w:rsidP="00C66390">
      <w:pPr>
        <w:spacing w:line="360" w:lineRule="auto"/>
        <w:jc w:val="both"/>
      </w:pPr>
      <w:r>
        <w:tab/>
        <w:t xml:space="preserve">This is an appeal against the decision of a Disciplinary Committee constituted by the Respondent, in terms of which the Appellant was dismissed from employment for breaching his contract </w:t>
      </w:r>
      <w:r w:rsidR="00AE052F">
        <w:t>of employment</w:t>
      </w:r>
      <w:r>
        <w:t xml:space="preserve"> and conditions of service.</w:t>
      </w:r>
    </w:p>
    <w:p w:rsidR="00C66390" w:rsidRDefault="00C66390" w:rsidP="00AE052F">
      <w:pPr>
        <w:spacing w:line="276" w:lineRule="auto"/>
        <w:jc w:val="both"/>
      </w:pPr>
    </w:p>
    <w:p w:rsidR="00C66390" w:rsidRDefault="00C66390" w:rsidP="00C66390">
      <w:pPr>
        <w:spacing w:line="360" w:lineRule="auto"/>
        <w:jc w:val="both"/>
      </w:pPr>
      <w:r>
        <w:tab/>
        <w:t xml:space="preserve">The facts that </w:t>
      </w:r>
      <w:r w:rsidR="007D6B9D">
        <w:t>gave rise to the dismissal, briefly outlined</w:t>
      </w:r>
      <w:r w:rsidR="008B48E2">
        <w:t>,</w:t>
      </w:r>
      <w:r w:rsidR="007D6B9D">
        <w:t xml:space="preserve"> are as follows:</w:t>
      </w:r>
    </w:p>
    <w:p w:rsidR="007D6B9D" w:rsidRDefault="007D6B9D" w:rsidP="00AE052F">
      <w:pPr>
        <w:spacing w:line="276" w:lineRule="auto"/>
        <w:jc w:val="both"/>
      </w:pPr>
    </w:p>
    <w:p w:rsidR="007D6B9D" w:rsidRDefault="007D6B9D" w:rsidP="00C66390">
      <w:pPr>
        <w:spacing w:line="360" w:lineRule="auto"/>
        <w:jc w:val="both"/>
      </w:pPr>
      <w:r>
        <w:tab/>
        <w:t xml:space="preserve">The Appellant was employed by the Respondent as </w:t>
      </w:r>
      <w:r w:rsidR="008B48E2">
        <w:t>Liquid Petroleum Gas (</w:t>
      </w:r>
      <w:r>
        <w:t>LPG</w:t>
      </w:r>
      <w:r w:rsidR="008B48E2">
        <w:t>)</w:t>
      </w:r>
      <w:r>
        <w:t xml:space="preserve"> Sales Engineer.  The Respondent is a company engaged in the business of procuring and distributing petroleum products, which include LPG.</w:t>
      </w:r>
    </w:p>
    <w:p w:rsidR="007D6B9D" w:rsidRDefault="007D6B9D" w:rsidP="00AE052F">
      <w:pPr>
        <w:spacing w:line="276" w:lineRule="auto"/>
        <w:jc w:val="both"/>
      </w:pPr>
    </w:p>
    <w:p w:rsidR="007D6B9D" w:rsidRDefault="007D6B9D" w:rsidP="00C66390">
      <w:pPr>
        <w:spacing w:line="360" w:lineRule="auto"/>
        <w:jc w:val="both"/>
      </w:pPr>
      <w:r>
        <w:tab/>
        <w:t>Sometime in 2006, the Appellant formed and registered a company named Big Eye Trading (</w:t>
      </w:r>
      <w:proofErr w:type="spellStart"/>
      <w:r>
        <w:t>Pvt</w:t>
      </w:r>
      <w:proofErr w:type="spellEnd"/>
      <w:r>
        <w:t>) Ltd, in which he was Director and Company Secretary.  During October and November 2007, the Appellant’s Company bought 2000kg of LPG from the Respondent, for a total amount of US$7000</w:t>
      </w:r>
      <w:proofErr w:type="gramStart"/>
      <w:r>
        <w:t>,00</w:t>
      </w:r>
      <w:proofErr w:type="gramEnd"/>
      <w:r>
        <w:t xml:space="preserve">.  The Appellant did not disclose to the Respondent his directorship in Big Eye Trading. </w:t>
      </w:r>
    </w:p>
    <w:p w:rsidR="007D6B9D" w:rsidRDefault="007D6B9D" w:rsidP="00C66390">
      <w:pPr>
        <w:spacing w:line="360" w:lineRule="auto"/>
        <w:jc w:val="both"/>
      </w:pPr>
    </w:p>
    <w:p w:rsidR="008B48E2" w:rsidRDefault="007D6B9D" w:rsidP="00AE052F">
      <w:pPr>
        <w:spacing w:line="360" w:lineRule="auto"/>
        <w:ind w:firstLine="720"/>
        <w:jc w:val="both"/>
      </w:pPr>
      <w:r>
        <w:t>When the Respondent became aware that Appellant was a director in Big Eye Trading, charges of misconduct were leveled against the Appellant, for violating the Respondent</w:t>
      </w:r>
      <w:r w:rsidR="0007474A">
        <w:t xml:space="preserve">’s Code of Business Ethics.  </w:t>
      </w:r>
    </w:p>
    <w:p w:rsidR="008B48E2" w:rsidRDefault="008B48E2" w:rsidP="008B48E2">
      <w:pPr>
        <w:spacing w:line="276" w:lineRule="auto"/>
        <w:ind w:firstLine="720"/>
        <w:jc w:val="both"/>
      </w:pPr>
    </w:p>
    <w:p w:rsidR="007D6B9D" w:rsidRDefault="0007474A" w:rsidP="00AE052F">
      <w:pPr>
        <w:spacing w:line="360" w:lineRule="auto"/>
        <w:ind w:firstLine="720"/>
        <w:jc w:val="both"/>
      </w:pPr>
      <w:r>
        <w:t>The Appellant was charged with two counts of</w:t>
      </w:r>
      <w:r w:rsidR="000E0AC4">
        <w:t xml:space="preserve"> misconduct.  The first count was cited as “violation of the Code of Business Ethics (Table C-Item 25)”</w:t>
      </w:r>
      <w:r w:rsidR="00A96E4B">
        <w:t xml:space="preserve"> and the second count as “Any act, conduct or omission inconsistent with the fulfillment of the express or implied conditions of your contract - (Table C item 24)”</w:t>
      </w:r>
    </w:p>
    <w:p w:rsidR="00A96E4B" w:rsidRDefault="00A96E4B" w:rsidP="00AE052F">
      <w:pPr>
        <w:spacing w:line="276" w:lineRule="auto"/>
        <w:jc w:val="both"/>
      </w:pPr>
    </w:p>
    <w:p w:rsidR="00A96E4B" w:rsidRDefault="00A96E4B" w:rsidP="00C66390">
      <w:pPr>
        <w:spacing w:line="360" w:lineRule="auto"/>
        <w:jc w:val="both"/>
      </w:pPr>
      <w:r>
        <w:tab/>
        <w:t xml:space="preserve">The basis of the misconduct as alleged in count 1 was that Appellant failed to disclose to the Respondent his interest in Big Eye Trading, which carried </w:t>
      </w:r>
      <w:r w:rsidR="008B48E2">
        <w:t>out</w:t>
      </w:r>
      <w:r>
        <w:t xml:space="preserve"> some business transactions or traded with the Respondent, a situation that gave rise to a conflict of</w:t>
      </w:r>
      <w:r w:rsidR="00BB4787">
        <w:t xml:space="preserve"> interest.  In the second count, it is alleged that the Appellant did not, as required by his contract of employment and conditions of service, declare his interest in Big Eye Trading.</w:t>
      </w:r>
    </w:p>
    <w:p w:rsidR="00BB4787" w:rsidRDefault="00BB4787" w:rsidP="00AE052F">
      <w:pPr>
        <w:spacing w:line="276" w:lineRule="auto"/>
        <w:jc w:val="both"/>
      </w:pPr>
    </w:p>
    <w:p w:rsidR="00BB4787" w:rsidRDefault="00BB4787" w:rsidP="00C66390">
      <w:pPr>
        <w:spacing w:line="360" w:lineRule="auto"/>
        <w:jc w:val="both"/>
      </w:pPr>
      <w:r>
        <w:tab/>
        <w:t>Details of the allegations, which appear to be very much inter-related if not over</w:t>
      </w:r>
      <w:r w:rsidR="002E3E05">
        <w:t xml:space="preserve">lapping, are itemized in the charge sheet as paragraphs (a) to (e) </w:t>
      </w:r>
      <w:proofErr w:type="gramStart"/>
      <w:r w:rsidR="002E3E05">
        <w:t>for  count</w:t>
      </w:r>
      <w:proofErr w:type="gramEnd"/>
      <w:r w:rsidR="002E3E05">
        <w:t xml:space="preserve"> 1, and a single paragraph for Count 2.  The charge </w:t>
      </w:r>
      <w:r w:rsidR="008B48E2">
        <w:t>sheet</w:t>
      </w:r>
      <w:r w:rsidR="002E3E05">
        <w:t xml:space="preserve"> is filed of record (page 25).</w:t>
      </w:r>
    </w:p>
    <w:p w:rsidR="002E3E05" w:rsidRDefault="002E3E05" w:rsidP="00AE052F">
      <w:pPr>
        <w:spacing w:line="276" w:lineRule="auto"/>
        <w:jc w:val="both"/>
      </w:pPr>
    </w:p>
    <w:p w:rsidR="002E3E05" w:rsidRDefault="002E3E05" w:rsidP="00C66390">
      <w:pPr>
        <w:spacing w:line="360" w:lineRule="auto"/>
        <w:jc w:val="both"/>
      </w:pPr>
      <w:r>
        <w:tab/>
        <w:t xml:space="preserve">In respect of the first count, Appellant’s contention is that there was no conflict of interest between his involvement with Big Eye Trading and his employment with the Respondent.  The two </w:t>
      </w:r>
      <w:r w:rsidR="00A95BC4">
        <w:t>companies</w:t>
      </w:r>
      <w:r>
        <w:t xml:space="preserve"> and lines of business did not cross.  There was no competition between the activities of Big Eye Trading and the Respondent.  Appellant explained, in his heads of argument, that Big Eye Trading was basically a “non-profit making vehicle” devised to enable him to access his salary in cash, and to facilitate the movement of funds </w:t>
      </w:r>
      <w:r w:rsidR="00A95BC4">
        <w:t>from relatives in the Diaspora for purposes of building a dwelling house.</w:t>
      </w:r>
    </w:p>
    <w:p w:rsidR="00A95BC4" w:rsidRDefault="00A95BC4" w:rsidP="00AE052F">
      <w:pPr>
        <w:spacing w:line="276" w:lineRule="auto"/>
        <w:jc w:val="both"/>
      </w:pPr>
    </w:p>
    <w:p w:rsidR="00F331C9" w:rsidRDefault="00A95BC4" w:rsidP="00C66390">
      <w:pPr>
        <w:spacing w:line="360" w:lineRule="auto"/>
        <w:jc w:val="both"/>
      </w:pPr>
      <w:r>
        <w:tab/>
        <w:t>As for the purchase of 2000kg of LPG from the Respondent, Appellant contended that this transaction did not constitute a conflict of interest, as it caused no prejudice to the Respondent.  Instead, the Respondent made a profit of $7000</w:t>
      </w:r>
      <w:proofErr w:type="gramStart"/>
      <w:r>
        <w:t>,00</w:t>
      </w:r>
      <w:proofErr w:type="gramEnd"/>
      <w:r>
        <w:t xml:space="preserve"> </w:t>
      </w:r>
    </w:p>
    <w:p w:rsidR="00F331C9" w:rsidRDefault="00F331C9" w:rsidP="00C66390">
      <w:pPr>
        <w:spacing w:line="360" w:lineRule="auto"/>
        <w:jc w:val="both"/>
      </w:pPr>
    </w:p>
    <w:p w:rsidR="00A95BC4" w:rsidRDefault="00A95BC4" w:rsidP="00C66390">
      <w:pPr>
        <w:spacing w:line="360" w:lineRule="auto"/>
        <w:jc w:val="both"/>
      </w:pPr>
      <w:proofErr w:type="gramStart"/>
      <w:r>
        <w:t>from</w:t>
      </w:r>
      <w:proofErr w:type="gramEnd"/>
      <w:r>
        <w:t xml:space="preserve"> this purchase.  It cannot allege a conflict of interest from a transaction from which it benefit</w:t>
      </w:r>
      <w:r w:rsidR="008B48E2">
        <w:t>t</w:t>
      </w:r>
      <w:r>
        <w:t>ed.</w:t>
      </w:r>
    </w:p>
    <w:p w:rsidR="00A95BC4" w:rsidRDefault="00A95BC4" w:rsidP="00AE052F">
      <w:pPr>
        <w:spacing w:line="276" w:lineRule="auto"/>
        <w:jc w:val="both"/>
      </w:pPr>
    </w:p>
    <w:p w:rsidR="00BA3B5A" w:rsidRDefault="00A95BC4" w:rsidP="00C66390">
      <w:pPr>
        <w:spacing w:line="360" w:lineRule="auto"/>
        <w:jc w:val="both"/>
      </w:pPr>
      <w:r>
        <w:tab/>
        <w:t xml:space="preserve">Mr. </w:t>
      </w:r>
      <w:proofErr w:type="spellStart"/>
      <w:r>
        <w:t>Kufaruwenga</w:t>
      </w:r>
      <w:proofErr w:type="spellEnd"/>
      <w:r>
        <w:t xml:space="preserve">, in his oral submissions on behalf of the Appellant emphasized that the two companies must be in the same line of business and Appellant’s business must harm that of Respondent, for there to be a conflict of interest.  He elaborated the point by giving the example of a partner in </w:t>
      </w:r>
      <w:r w:rsidR="008B48E2">
        <w:t>one L</w:t>
      </w:r>
      <w:r>
        <w:t xml:space="preserve">aw Firm also becoming a </w:t>
      </w:r>
      <w:r w:rsidR="008B48E2">
        <w:t>partner</w:t>
      </w:r>
      <w:r w:rsidR="00BA3B5A">
        <w:t xml:space="preserve"> in another Law Firm as a typical conflict of interest situation.</w:t>
      </w:r>
    </w:p>
    <w:p w:rsidR="00BA3B5A" w:rsidRDefault="00BA3B5A" w:rsidP="00AE052F">
      <w:pPr>
        <w:spacing w:line="276" w:lineRule="auto"/>
        <w:jc w:val="both"/>
      </w:pPr>
    </w:p>
    <w:p w:rsidR="008B48E2" w:rsidRDefault="00BA3B5A" w:rsidP="00C66390">
      <w:pPr>
        <w:spacing w:line="360" w:lineRule="auto"/>
        <w:jc w:val="both"/>
      </w:pPr>
      <w:r>
        <w:tab/>
        <w:t xml:space="preserve">Counsel for the Appellant further developed his analogy to that of a Manager in a Supermarket who buys goods at the till, as a contrary situation, that does not give rise to a conflict of interest between the manager and his employer.  Similarly, Appellant bought from his employer, </w:t>
      </w:r>
      <w:r w:rsidR="008B48E2">
        <w:t>be</w:t>
      </w:r>
      <w:r w:rsidR="00D86D67">
        <w:t>ne</w:t>
      </w:r>
      <w:r w:rsidR="008B48E2">
        <w:t xml:space="preserve">fitted his employer, </w:t>
      </w:r>
      <w:r>
        <w:t xml:space="preserve">and therefore cannot be said to have created a conflict of interest.  </w:t>
      </w:r>
    </w:p>
    <w:p w:rsidR="008B48E2" w:rsidRDefault="008B48E2" w:rsidP="008B48E2">
      <w:pPr>
        <w:spacing w:line="276" w:lineRule="auto"/>
        <w:jc w:val="both"/>
      </w:pPr>
    </w:p>
    <w:p w:rsidR="006E3E84" w:rsidRDefault="00BA3B5A" w:rsidP="008B48E2">
      <w:pPr>
        <w:spacing w:line="360" w:lineRule="auto"/>
        <w:ind w:firstLine="720"/>
        <w:jc w:val="both"/>
      </w:pPr>
      <w:r>
        <w:t xml:space="preserve">Mr. </w:t>
      </w:r>
      <w:proofErr w:type="spellStart"/>
      <w:r>
        <w:t>Kufaruwenga</w:t>
      </w:r>
      <w:proofErr w:type="spellEnd"/>
      <w:r>
        <w:t xml:space="preserve"> further contended that for the </w:t>
      </w:r>
      <w:r w:rsidR="006E3E84">
        <w:t xml:space="preserve">Appellant to disclose his interest in Big Eye Trading, such interest must have conflicted with that of the Respondent.  In other words, </w:t>
      </w:r>
      <w:r w:rsidR="008B48E2">
        <w:t>the existence</w:t>
      </w:r>
      <w:r w:rsidR="006E3E84">
        <w:t xml:space="preserve"> of a conflict of interest was a condition precedent to disclosure.  If there was no such conflict, Appellant was under no obligation to disclose his interest.</w:t>
      </w:r>
    </w:p>
    <w:p w:rsidR="006E3E84" w:rsidRDefault="006E3E84" w:rsidP="00AE052F">
      <w:pPr>
        <w:spacing w:line="276" w:lineRule="auto"/>
        <w:jc w:val="both"/>
      </w:pPr>
    </w:p>
    <w:p w:rsidR="006E3E84" w:rsidRDefault="008B48E2" w:rsidP="00C66390">
      <w:pPr>
        <w:spacing w:line="360" w:lineRule="auto"/>
        <w:jc w:val="both"/>
      </w:pPr>
      <w:r>
        <w:tab/>
        <w:t>On the other hand, it wa</w:t>
      </w:r>
      <w:r w:rsidR="006E3E84">
        <w:t>s contended on behalf of the Respondent that a conflict of interest did exist between Appellant’s company and that of his employer.</w:t>
      </w:r>
    </w:p>
    <w:p w:rsidR="006E3E84" w:rsidRDefault="006E3E84" w:rsidP="00AE052F">
      <w:pPr>
        <w:spacing w:line="276" w:lineRule="auto"/>
        <w:jc w:val="both"/>
      </w:pPr>
    </w:p>
    <w:p w:rsidR="006E3E84" w:rsidRDefault="008B48E2" w:rsidP="00C66390">
      <w:pPr>
        <w:spacing w:line="360" w:lineRule="auto"/>
        <w:jc w:val="both"/>
      </w:pPr>
      <w:r>
        <w:tab/>
        <w:t>In its H</w:t>
      </w:r>
      <w:r w:rsidR="006E3E84">
        <w:t>ead</w:t>
      </w:r>
      <w:r>
        <w:t>s of A</w:t>
      </w:r>
      <w:r w:rsidR="006E3E84">
        <w:t>rgument, the Respondent asserted that Appellant’s company traded with the employer “in a product line that he was the sales person for.”  The Appellant secretly traded on behalf of his own company in a product line for which he was responsible at wor</w:t>
      </w:r>
      <w:r>
        <w:t>k.  The Respondent argued that this situation constituted</w:t>
      </w:r>
      <w:r w:rsidR="006E3E84">
        <w:t xml:space="preserve"> </w:t>
      </w:r>
      <w:r w:rsidR="00D86D67">
        <w:t xml:space="preserve">a </w:t>
      </w:r>
      <w:r w:rsidR="006E3E84">
        <w:t>“glaring conflict of interest.”</w:t>
      </w:r>
    </w:p>
    <w:p w:rsidR="006E3E84" w:rsidRDefault="006E3E84" w:rsidP="00AE052F">
      <w:pPr>
        <w:spacing w:line="276" w:lineRule="auto"/>
        <w:jc w:val="both"/>
      </w:pPr>
    </w:p>
    <w:p w:rsidR="00343A24" w:rsidRDefault="006E3E84" w:rsidP="00C66390">
      <w:pPr>
        <w:spacing w:line="360" w:lineRule="auto"/>
        <w:jc w:val="both"/>
      </w:pPr>
      <w:r>
        <w:lastRenderedPageBreak/>
        <w:tab/>
      </w:r>
      <w:r w:rsidR="008B48E2">
        <w:t>In considering whether</w:t>
      </w:r>
      <w:r>
        <w:t xml:space="preserve"> the </w:t>
      </w:r>
      <w:r w:rsidR="00343A24">
        <w:t>Appellant’s</w:t>
      </w:r>
      <w:r>
        <w:t xml:space="preserve"> guilt </w:t>
      </w:r>
      <w:r w:rsidR="008B48E2">
        <w:t>was properly determined</w:t>
      </w:r>
      <w:r w:rsidR="00343A24">
        <w:t xml:space="preserve">, the most appropriate starting point would be a look </w:t>
      </w:r>
      <w:r w:rsidR="008B48E2">
        <w:t>at</w:t>
      </w:r>
      <w:r w:rsidR="00343A24">
        <w:t xml:space="preserve"> the documents that formed the basis of his relationship with his employer.  What were the employer’s expectations in this aspect of their relationship, and how were such expectations expressed or communicated to the employee?  In this regard, the contract of employment is instructive.</w:t>
      </w:r>
    </w:p>
    <w:p w:rsidR="00343A24" w:rsidRDefault="00343A24" w:rsidP="00AE052F">
      <w:pPr>
        <w:spacing w:line="276" w:lineRule="auto"/>
        <w:jc w:val="both"/>
      </w:pPr>
    </w:p>
    <w:p w:rsidR="00D60438" w:rsidRDefault="00A1324C" w:rsidP="00C66390">
      <w:pPr>
        <w:spacing w:line="360" w:lineRule="auto"/>
        <w:jc w:val="both"/>
      </w:pPr>
      <w:r>
        <w:tab/>
        <w:t>The contract of e</w:t>
      </w:r>
      <w:r w:rsidR="00343A24">
        <w:t xml:space="preserve">mployment is filed of </w:t>
      </w:r>
      <w:r w:rsidR="00D86D67">
        <w:t xml:space="preserve">record </w:t>
      </w:r>
      <w:r>
        <w:t>as Exhibit</w:t>
      </w:r>
      <w:r w:rsidR="00D60438">
        <w:t xml:space="preserve"> 1.  </w:t>
      </w:r>
      <w:r w:rsidR="00951D3F">
        <w:t>The relevant</w:t>
      </w:r>
      <w:r w:rsidR="00D60438">
        <w:t xml:space="preserve"> clause is the one under the subheading “AVOIDANCE OF CONFLICT OF INTEREST.”  This clause provides as follows:</w:t>
      </w:r>
    </w:p>
    <w:p w:rsidR="00D60438" w:rsidRDefault="00D60438" w:rsidP="00AE052F">
      <w:pPr>
        <w:spacing w:line="276" w:lineRule="auto"/>
        <w:jc w:val="both"/>
      </w:pPr>
    </w:p>
    <w:p w:rsidR="00D60438" w:rsidRPr="00A1324C" w:rsidRDefault="00D60438" w:rsidP="00A1324C">
      <w:pPr>
        <w:spacing w:line="276" w:lineRule="auto"/>
        <w:jc w:val="both"/>
        <w:rPr>
          <w:i/>
          <w:sz w:val="22"/>
          <w:szCs w:val="22"/>
        </w:rPr>
      </w:pPr>
      <w:r>
        <w:tab/>
        <w:t>“</w:t>
      </w:r>
      <w:r w:rsidRPr="00A1324C">
        <w:rPr>
          <w:i/>
          <w:sz w:val="22"/>
          <w:szCs w:val="22"/>
        </w:rPr>
        <w:t>During the course of your employment you shall:</w:t>
      </w:r>
    </w:p>
    <w:p w:rsidR="00A95BC4" w:rsidRPr="00A1324C" w:rsidRDefault="00D60438" w:rsidP="00A1324C">
      <w:pPr>
        <w:pStyle w:val="ListParagraph"/>
        <w:numPr>
          <w:ilvl w:val="0"/>
          <w:numId w:val="1"/>
        </w:numPr>
        <w:spacing w:line="276" w:lineRule="auto"/>
        <w:jc w:val="both"/>
        <w:rPr>
          <w:i/>
          <w:sz w:val="22"/>
          <w:szCs w:val="22"/>
        </w:rPr>
      </w:pPr>
      <w:r w:rsidRPr="00A1324C">
        <w:rPr>
          <w:i/>
          <w:sz w:val="22"/>
          <w:szCs w:val="22"/>
        </w:rPr>
        <w:t>Not use your position, or confidential information obtained as a result of your employment, for your own or any person other than the Company’s advantage.</w:t>
      </w:r>
    </w:p>
    <w:p w:rsidR="00D60438" w:rsidRPr="00A1324C" w:rsidRDefault="00D60438" w:rsidP="00A1324C">
      <w:pPr>
        <w:pStyle w:val="ListParagraph"/>
        <w:numPr>
          <w:ilvl w:val="0"/>
          <w:numId w:val="1"/>
        </w:numPr>
        <w:spacing w:line="276" w:lineRule="auto"/>
        <w:jc w:val="both"/>
        <w:rPr>
          <w:i/>
          <w:sz w:val="22"/>
          <w:szCs w:val="22"/>
        </w:rPr>
      </w:pPr>
      <w:r w:rsidRPr="00A1324C">
        <w:rPr>
          <w:i/>
          <w:sz w:val="22"/>
          <w:szCs w:val="22"/>
        </w:rPr>
        <w:t>Not be directly or indirectly involved with any organization where your own interest may conflict with that of the Company.</w:t>
      </w:r>
    </w:p>
    <w:p w:rsidR="00D60438" w:rsidRPr="00A1324C" w:rsidRDefault="00D60438" w:rsidP="00A1324C">
      <w:pPr>
        <w:pStyle w:val="ListParagraph"/>
        <w:numPr>
          <w:ilvl w:val="0"/>
          <w:numId w:val="1"/>
        </w:numPr>
        <w:spacing w:line="276" w:lineRule="auto"/>
        <w:jc w:val="both"/>
        <w:rPr>
          <w:i/>
          <w:sz w:val="22"/>
          <w:szCs w:val="22"/>
        </w:rPr>
      </w:pPr>
      <w:proofErr w:type="gramStart"/>
      <w:r w:rsidRPr="00A1324C">
        <w:rPr>
          <w:i/>
          <w:sz w:val="22"/>
          <w:szCs w:val="22"/>
        </w:rPr>
        <w:t>Advise</w:t>
      </w:r>
      <w:proofErr w:type="gramEnd"/>
      <w:r w:rsidRPr="00A1324C">
        <w:rPr>
          <w:i/>
          <w:sz w:val="22"/>
          <w:szCs w:val="22"/>
        </w:rPr>
        <w:t xml:space="preserve"> the Company in writing before taking up any directorships or appointments held with any </w:t>
      </w:r>
      <w:r w:rsidR="0033744E" w:rsidRPr="00A1324C">
        <w:rPr>
          <w:i/>
          <w:sz w:val="22"/>
          <w:szCs w:val="22"/>
        </w:rPr>
        <w:t>organization other than the Company or any associate or affiliate of the Company.</w:t>
      </w:r>
    </w:p>
    <w:p w:rsidR="0033744E" w:rsidRPr="00A1324C" w:rsidRDefault="0033744E" w:rsidP="00A1324C">
      <w:pPr>
        <w:pStyle w:val="ListParagraph"/>
        <w:numPr>
          <w:ilvl w:val="0"/>
          <w:numId w:val="1"/>
        </w:numPr>
        <w:spacing w:line="276" w:lineRule="auto"/>
        <w:jc w:val="both"/>
        <w:rPr>
          <w:i/>
          <w:sz w:val="22"/>
          <w:szCs w:val="22"/>
        </w:rPr>
      </w:pPr>
      <w:r w:rsidRPr="00A1324C">
        <w:rPr>
          <w:i/>
          <w:sz w:val="22"/>
          <w:szCs w:val="22"/>
        </w:rPr>
        <w:t xml:space="preserve">Any actual </w:t>
      </w:r>
      <w:proofErr w:type="gramStart"/>
      <w:r w:rsidRPr="00A1324C">
        <w:rPr>
          <w:i/>
          <w:sz w:val="22"/>
          <w:szCs w:val="22"/>
        </w:rPr>
        <w:t>conflict,</w:t>
      </w:r>
      <w:proofErr w:type="gramEnd"/>
      <w:r w:rsidRPr="00A1324C">
        <w:rPr>
          <w:i/>
          <w:sz w:val="22"/>
          <w:szCs w:val="22"/>
        </w:rPr>
        <w:t xml:space="preserve"> perceived or otherwise should be declared to your line manager in writing before engaging in such activity.  If in doubt as to what, to whom and when to declare, please refer to the Ethics champion (Internal Control Manager).</w:t>
      </w:r>
      <w:r w:rsidR="00A1324C">
        <w:rPr>
          <w:i/>
          <w:sz w:val="22"/>
          <w:szCs w:val="22"/>
        </w:rPr>
        <w:t>”</w:t>
      </w:r>
    </w:p>
    <w:p w:rsidR="0033744E" w:rsidRDefault="0033744E" w:rsidP="00AE052F">
      <w:pPr>
        <w:pStyle w:val="ListParagraph"/>
        <w:spacing w:line="276" w:lineRule="auto"/>
        <w:ind w:left="870"/>
        <w:jc w:val="both"/>
      </w:pPr>
    </w:p>
    <w:p w:rsidR="0033744E" w:rsidRDefault="0033744E" w:rsidP="0033744E">
      <w:pPr>
        <w:spacing w:line="360" w:lineRule="auto"/>
        <w:ind w:firstLine="720"/>
        <w:jc w:val="both"/>
      </w:pPr>
      <w:r>
        <w:t xml:space="preserve">The wording in this clause is broad </w:t>
      </w:r>
      <w:r w:rsidR="00A1324C">
        <w:t>enough</w:t>
      </w:r>
      <w:r>
        <w:t xml:space="preserve"> to cover situations where actual or potential conflict of interest arises.  The second bullet refers to involvement were employee’s own interest “may conflict with that of the company”.  Thus, involvement in another organization or business may not, from the outset, cause prejudice to the employer, yet it is reasonably foreseeable that prejudice may result from the relationship.  The circumstances are such that there is potential for conflict of interest to arise.</w:t>
      </w:r>
    </w:p>
    <w:p w:rsidR="0033744E" w:rsidRDefault="0033744E" w:rsidP="00AE052F">
      <w:pPr>
        <w:spacing w:line="276" w:lineRule="auto"/>
        <w:jc w:val="both"/>
      </w:pPr>
    </w:p>
    <w:p w:rsidR="0033744E" w:rsidRDefault="0033744E" w:rsidP="0033744E">
      <w:pPr>
        <w:spacing w:line="360" w:lineRule="auto"/>
        <w:jc w:val="both"/>
      </w:pPr>
      <w:r>
        <w:tab/>
        <w:t>The last bullet</w:t>
      </w:r>
      <w:r w:rsidR="00B860F6">
        <w:t xml:space="preserve"> clarifies the issue further, as it refers to “actual conflict, perceived or otherwise”.  It seems this is stretched to cover an employee </w:t>
      </w:r>
      <w:r w:rsidR="00A1324C">
        <w:t>who</w:t>
      </w:r>
      <w:r w:rsidR="00B860F6">
        <w:t xml:space="preserve"> finds himself in a position where it is conceivable a conflict of interest may arise.  As if to prevent the employee from taking chances, the clause goes on to emphasize;</w:t>
      </w:r>
    </w:p>
    <w:p w:rsidR="00B860F6" w:rsidRDefault="00B860F6" w:rsidP="00AE052F">
      <w:pPr>
        <w:spacing w:line="276" w:lineRule="auto"/>
        <w:jc w:val="both"/>
      </w:pPr>
    </w:p>
    <w:p w:rsidR="00B860F6" w:rsidRDefault="00B860F6" w:rsidP="00AE052F">
      <w:pPr>
        <w:spacing w:line="276" w:lineRule="auto"/>
        <w:ind w:left="720"/>
        <w:jc w:val="both"/>
      </w:pPr>
      <w:r w:rsidRPr="00AE052F">
        <w:rPr>
          <w:i/>
        </w:rPr>
        <w:lastRenderedPageBreak/>
        <w:t>“</w:t>
      </w:r>
      <w:r w:rsidRPr="00A1324C">
        <w:rPr>
          <w:i/>
          <w:sz w:val="22"/>
          <w:szCs w:val="22"/>
        </w:rPr>
        <w:t>If in doubt as to what, to whom and when to declare, please refer to the Ethics champion (Internal Control Manager)</w:t>
      </w:r>
      <w:r>
        <w:t>”</w:t>
      </w:r>
    </w:p>
    <w:p w:rsidR="00B860F6" w:rsidRDefault="00B860F6" w:rsidP="00AE052F">
      <w:pPr>
        <w:spacing w:line="276" w:lineRule="auto"/>
        <w:jc w:val="both"/>
      </w:pPr>
    </w:p>
    <w:p w:rsidR="00F331C9" w:rsidRDefault="00F331C9" w:rsidP="00426953">
      <w:pPr>
        <w:spacing w:line="360" w:lineRule="auto"/>
        <w:ind w:firstLine="720"/>
        <w:jc w:val="both"/>
      </w:pPr>
    </w:p>
    <w:p w:rsidR="00B860F6" w:rsidRDefault="00A1324C" w:rsidP="00426953">
      <w:pPr>
        <w:spacing w:line="360" w:lineRule="auto"/>
        <w:ind w:firstLine="720"/>
        <w:jc w:val="both"/>
      </w:pPr>
      <w:r>
        <w:t>The undisputed facts,</w:t>
      </w:r>
      <w:r w:rsidR="00B860F6">
        <w:t xml:space="preserve"> already adverted to, </w:t>
      </w:r>
      <w:r>
        <w:t xml:space="preserve">are </w:t>
      </w:r>
      <w:r w:rsidR="00B860F6">
        <w:t xml:space="preserve">that Appellant assumed directorship in Big Eye Trading, which </w:t>
      </w:r>
      <w:r w:rsidR="00426953">
        <w:t xml:space="preserve">went on to buy 2000kg of LPG from the Respondent.  LPG is a product line Respondent dealt in, among </w:t>
      </w:r>
      <w:r>
        <w:t>other</w:t>
      </w:r>
      <w:r w:rsidR="00426953">
        <w:t xml:space="preserve"> petroleum products.  Appellant was a Sales Engineer for that same product.  For him to form a company that went on to purchase a product whose distribution he was responsible for, he certainly created a situation with great potential for conflict of interest.</w:t>
      </w:r>
    </w:p>
    <w:p w:rsidR="00426953" w:rsidRDefault="00426953" w:rsidP="00AE052F">
      <w:pPr>
        <w:spacing w:line="276" w:lineRule="auto"/>
        <w:ind w:firstLine="720"/>
        <w:jc w:val="both"/>
      </w:pPr>
    </w:p>
    <w:p w:rsidR="00A1324C" w:rsidRDefault="00A1324C" w:rsidP="00426953">
      <w:pPr>
        <w:spacing w:line="360" w:lineRule="auto"/>
        <w:ind w:firstLine="720"/>
        <w:jc w:val="both"/>
      </w:pPr>
      <w:r>
        <w:t xml:space="preserve">On this aspect, Mr. Francis </w:t>
      </w:r>
      <w:proofErr w:type="spellStart"/>
      <w:r>
        <w:t>Masa</w:t>
      </w:r>
      <w:r w:rsidR="00426953">
        <w:t>ngomai</w:t>
      </w:r>
      <w:proofErr w:type="spellEnd"/>
      <w:r w:rsidR="00E47D79">
        <w:t>, the Sales and Marketing Manager/Complainant, made some pertinent remarks</w:t>
      </w:r>
      <w:r>
        <w:t xml:space="preserve"> before the Disciplinary Committee</w:t>
      </w:r>
      <w:r w:rsidR="00E47D79">
        <w:t xml:space="preserve">.  </w:t>
      </w:r>
      <w:proofErr w:type="gramStart"/>
      <w:r w:rsidR="00E47D79">
        <w:t>(p. 3 of the minutes of the Disciplinary Committee hearing).</w:t>
      </w:r>
      <w:proofErr w:type="gramEnd"/>
      <w:r w:rsidR="00E47D79">
        <w:t xml:space="preserve">  He described Appellant’s role as one that entailed</w:t>
      </w:r>
      <w:r>
        <w:t>:</w:t>
      </w:r>
      <w:r w:rsidR="00E47D79">
        <w:t xml:space="preserve"> </w:t>
      </w:r>
    </w:p>
    <w:p w:rsidR="00A1324C" w:rsidRDefault="00A1324C" w:rsidP="00A1324C">
      <w:pPr>
        <w:spacing w:line="276" w:lineRule="auto"/>
        <w:ind w:firstLine="720"/>
        <w:jc w:val="both"/>
      </w:pPr>
    </w:p>
    <w:p w:rsidR="00426953" w:rsidRDefault="00E47D79" w:rsidP="00A1324C">
      <w:pPr>
        <w:spacing w:line="276" w:lineRule="auto"/>
        <w:ind w:left="720"/>
        <w:jc w:val="both"/>
      </w:pPr>
      <w:r>
        <w:t>“</w:t>
      </w:r>
      <w:r w:rsidR="00F331C9" w:rsidRPr="00A1324C">
        <w:rPr>
          <w:i/>
          <w:sz w:val="22"/>
          <w:szCs w:val="22"/>
        </w:rPr>
        <w:t>Customer</w:t>
      </w:r>
      <w:r w:rsidRPr="00A1324C">
        <w:rPr>
          <w:i/>
          <w:sz w:val="22"/>
          <w:szCs w:val="22"/>
        </w:rPr>
        <w:t xml:space="preserve"> acquisition, customer management, </w:t>
      </w:r>
      <w:proofErr w:type="spellStart"/>
      <w:r w:rsidRPr="00A1324C">
        <w:rPr>
          <w:i/>
          <w:sz w:val="22"/>
          <w:szCs w:val="22"/>
        </w:rPr>
        <w:t>trouble shooting</w:t>
      </w:r>
      <w:proofErr w:type="spellEnd"/>
      <w:r w:rsidRPr="00A1324C">
        <w:rPr>
          <w:i/>
          <w:sz w:val="22"/>
          <w:szCs w:val="22"/>
        </w:rPr>
        <w:t xml:space="preserve"> …… The Defendant identified an opportunity relating to knowledge he has with regards to supply, marketing, pricing, product allocation and above all confirmation of balances into those customers’ accounts under his portfolio.  If the product is</w:t>
      </w:r>
      <w:r w:rsidR="00951D3F" w:rsidRPr="00A1324C">
        <w:rPr>
          <w:i/>
          <w:sz w:val="22"/>
          <w:szCs w:val="22"/>
        </w:rPr>
        <w:t xml:space="preserve"> in short supply you could favour your company</w:t>
      </w:r>
      <w:r w:rsidR="00A1324C">
        <w:rPr>
          <w:i/>
          <w:sz w:val="22"/>
          <w:szCs w:val="22"/>
        </w:rPr>
        <w:t xml:space="preserve"> and</w:t>
      </w:r>
      <w:r w:rsidR="00951D3F" w:rsidRPr="00A1324C">
        <w:rPr>
          <w:i/>
          <w:sz w:val="22"/>
          <w:szCs w:val="22"/>
        </w:rPr>
        <w:t xml:space="preserve"> also pass inside information to your company</w:t>
      </w:r>
      <w:r w:rsidR="00951D3F">
        <w:t>.”</w:t>
      </w:r>
    </w:p>
    <w:p w:rsidR="00951D3F" w:rsidRDefault="00951D3F" w:rsidP="00AE052F">
      <w:pPr>
        <w:spacing w:line="276" w:lineRule="auto"/>
        <w:ind w:firstLine="720"/>
        <w:jc w:val="both"/>
      </w:pPr>
    </w:p>
    <w:p w:rsidR="00951D3F" w:rsidRDefault="00951D3F" w:rsidP="008259A2">
      <w:pPr>
        <w:spacing w:line="360" w:lineRule="auto"/>
        <w:ind w:firstLine="720"/>
        <w:jc w:val="both"/>
      </w:pPr>
      <w:r>
        <w:t>The critical issue here is not whether any of the risk</w:t>
      </w:r>
      <w:r w:rsidR="00A1324C">
        <w:t>s</w:t>
      </w:r>
      <w:r>
        <w:t xml:space="preserve"> pointed out in the complainant’s </w:t>
      </w:r>
      <w:r w:rsidR="00A1324C">
        <w:t>explanation</w:t>
      </w:r>
      <w:r>
        <w:t xml:space="preserve"> actually resulted </w:t>
      </w:r>
      <w:r w:rsidR="00A1324C">
        <w:t>in loss or prejudice</w:t>
      </w:r>
      <w:r>
        <w:t xml:space="preserve">.  It is whether the risk was created.  Given Appellant’s position of trust and responsibility, it is our view that the risk of a conflict of interest arising was created.  </w:t>
      </w:r>
    </w:p>
    <w:p w:rsidR="008259A2" w:rsidRDefault="008259A2" w:rsidP="008259A2">
      <w:pPr>
        <w:spacing w:line="360" w:lineRule="auto"/>
        <w:ind w:firstLine="720"/>
        <w:jc w:val="both"/>
      </w:pPr>
    </w:p>
    <w:p w:rsidR="008259A2" w:rsidRDefault="008259A2" w:rsidP="008259A2">
      <w:pPr>
        <w:spacing w:line="360" w:lineRule="auto"/>
        <w:ind w:firstLine="720"/>
        <w:jc w:val="both"/>
      </w:pPr>
      <w:r>
        <w:t xml:space="preserve">In </w:t>
      </w:r>
      <w:r w:rsidRPr="00D86D67">
        <w:rPr>
          <w:i/>
        </w:rPr>
        <w:t xml:space="preserve">Tobacco Sales Floors Lt v </w:t>
      </w:r>
      <w:proofErr w:type="spellStart"/>
      <w:r w:rsidRPr="00D86D67">
        <w:rPr>
          <w:i/>
        </w:rPr>
        <w:t>Chimwala</w:t>
      </w:r>
      <w:proofErr w:type="spellEnd"/>
      <w:r>
        <w:t xml:space="preserve"> 1987 (2) ZLR </w:t>
      </w:r>
      <w:r>
        <w:tab/>
        <w:t xml:space="preserve">210, THE Supreme Court cited with approval the remarks of INNES CJ in </w:t>
      </w:r>
      <w:r w:rsidRPr="00D86D67">
        <w:rPr>
          <w:i/>
        </w:rPr>
        <w:t xml:space="preserve">Robinson </w:t>
      </w:r>
      <w:r w:rsidRPr="00D86D67">
        <w:t>v</w:t>
      </w:r>
      <w:r w:rsidRPr="00D86D67">
        <w:rPr>
          <w:i/>
        </w:rPr>
        <w:t xml:space="preserve"> Randfontein</w:t>
      </w:r>
      <w:r>
        <w:t xml:space="preserve"> </w:t>
      </w:r>
      <w:r w:rsidRPr="00D86D67">
        <w:rPr>
          <w:i/>
        </w:rPr>
        <w:t>Estates GM Co Ltd</w:t>
      </w:r>
      <w:r>
        <w:t xml:space="preserve"> 192/AD, 177 – 178, which read as follows:</w:t>
      </w:r>
    </w:p>
    <w:p w:rsidR="008259A2" w:rsidRDefault="008259A2" w:rsidP="00926D7B">
      <w:pPr>
        <w:spacing w:line="276" w:lineRule="auto"/>
        <w:jc w:val="both"/>
      </w:pPr>
      <w:r>
        <w:tab/>
      </w:r>
    </w:p>
    <w:p w:rsidR="008259A2" w:rsidRDefault="008259A2" w:rsidP="00926D7B">
      <w:pPr>
        <w:spacing w:line="276" w:lineRule="auto"/>
        <w:ind w:left="720"/>
        <w:jc w:val="both"/>
      </w:pPr>
      <w:r>
        <w:t>“</w:t>
      </w:r>
      <w:r w:rsidRPr="00926D7B">
        <w:rPr>
          <w:i/>
          <w:sz w:val="22"/>
          <w:szCs w:val="22"/>
        </w:rPr>
        <w:t>Where one man stands to another in a position of confidence involving a duty to protect the interests of that other, he is not allowed to make a secret profit at the other’s expense or place himself in a position where his interests conflict with his dut</w:t>
      </w:r>
      <w:r w:rsidR="00D86D67">
        <w:rPr>
          <w:i/>
          <w:sz w:val="22"/>
          <w:szCs w:val="22"/>
        </w:rPr>
        <w:t>y …. [The doctrine] prevents an</w:t>
      </w:r>
      <w:r w:rsidRPr="00926D7B">
        <w:rPr>
          <w:i/>
          <w:sz w:val="22"/>
          <w:szCs w:val="22"/>
        </w:rPr>
        <w:t xml:space="preserve"> agent from properly entering into any transaction which would cause his interests</w:t>
      </w:r>
      <w:r w:rsidR="00926D7B" w:rsidRPr="00926D7B">
        <w:rPr>
          <w:i/>
          <w:sz w:val="22"/>
          <w:szCs w:val="22"/>
        </w:rPr>
        <w:t xml:space="preserve"> and his duty to clash.  If employed to buy, he cannot </w:t>
      </w:r>
      <w:r w:rsidR="00926D7B" w:rsidRPr="00926D7B">
        <w:rPr>
          <w:i/>
          <w:sz w:val="22"/>
          <w:szCs w:val="22"/>
        </w:rPr>
        <w:lastRenderedPageBreak/>
        <w:t>sell his own property; if employed to sell, he cannot buy his own [principal’s] property; nor can he make any profit from his agency save the agreed remuneration; all such profit belongs not to him, but to his principal: There is only one way by which such transactions can be validated, and that is by the free consent of the principal following upon a full disclosure by the agent</w:t>
      </w:r>
      <w:r w:rsidR="00926D7B">
        <w:t>.”</w:t>
      </w:r>
    </w:p>
    <w:p w:rsidR="008259A2" w:rsidRDefault="008259A2" w:rsidP="00926D7B">
      <w:pPr>
        <w:spacing w:line="276" w:lineRule="auto"/>
        <w:jc w:val="both"/>
      </w:pPr>
    </w:p>
    <w:p w:rsidR="00926D7B" w:rsidRDefault="00926D7B" w:rsidP="00926D7B">
      <w:pPr>
        <w:spacing w:line="360" w:lineRule="auto"/>
        <w:jc w:val="both"/>
      </w:pPr>
      <w:r>
        <w:t xml:space="preserve">The court, in </w:t>
      </w:r>
      <w:r w:rsidRPr="00D86D67">
        <w:rPr>
          <w:i/>
        </w:rPr>
        <w:t>Tobacco Sales Floors</w:t>
      </w:r>
      <w:r w:rsidR="00D86D67">
        <w:rPr>
          <w:i/>
        </w:rPr>
        <w:t>,</w:t>
      </w:r>
      <w:r>
        <w:t xml:space="preserve"> described this passage as a classic expression of the principle of conflict of interest in Roman Dutch Law.</w:t>
      </w:r>
    </w:p>
    <w:p w:rsidR="00926D7B" w:rsidRDefault="00926D7B" w:rsidP="00644FEC">
      <w:pPr>
        <w:spacing w:line="276" w:lineRule="auto"/>
        <w:jc w:val="both"/>
      </w:pPr>
    </w:p>
    <w:p w:rsidR="00644FEC" w:rsidRDefault="00644FEC" w:rsidP="00926D7B">
      <w:pPr>
        <w:spacing w:line="360" w:lineRule="auto"/>
        <w:jc w:val="both"/>
      </w:pPr>
      <w:r>
        <w:tab/>
        <w:t>In the instant case, the Appellant’s directorship of Big Eye Trading, involving as it did the purchase and sale LPG, was a situation “which would cause his interests and his duty to clash”.  There was certainly need for the Appellant to make full disclosure to the Respondent of what he was involved in.</w:t>
      </w:r>
    </w:p>
    <w:p w:rsidR="00644FEC" w:rsidRDefault="00644FEC" w:rsidP="00644FEC">
      <w:pPr>
        <w:spacing w:line="276" w:lineRule="auto"/>
        <w:jc w:val="both"/>
      </w:pPr>
    </w:p>
    <w:p w:rsidR="00B64783" w:rsidRDefault="00B64783" w:rsidP="008259A2">
      <w:pPr>
        <w:spacing w:line="360" w:lineRule="auto"/>
        <w:ind w:firstLine="720"/>
        <w:jc w:val="both"/>
      </w:pPr>
      <w:r>
        <w:t xml:space="preserve">The other angle to Appellant’s argument was that the existence of a conflict of interest is a condition precedent to disclosure.  He was not obliged to disclose his interest in Big Eye, or any other organization for that matter, if such interest did not conflict with that of the Respondent.  It </w:t>
      </w:r>
      <w:r w:rsidR="00644FEC">
        <w:t>has already been found that a conflict of interest was created</w:t>
      </w:r>
      <w:r>
        <w:t xml:space="preserve"> by Appellant’s directorship in Big Eye.  Notwithstanding that, the contract of employment and the conditions of service, it appears, do not even make existence of a conflict of interest a</w:t>
      </w:r>
      <w:r w:rsidR="00644FEC">
        <w:t xml:space="preserve"> condition precedent to disclosure</w:t>
      </w:r>
      <w:r>
        <w:t>.  The relevant section of the contract of employment has already been looked at</w:t>
      </w:r>
      <w:r w:rsidR="00644FEC">
        <w:t>,</w:t>
      </w:r>
      <w:r>
        <w:t xml:space="preserve"> when considering the question of whether or not a conflict of interest </w:t>
      </w:r>
      <w:r w:rsidR="00644FEC">
        <w:t>existed</w:t>
      </w:r>
      <w:r>
        <w:t>.</w:t>
      </w:r>
    </w:p>
    <w:p w:rsidR="00B64783" w:rsidRDefault="00B64783" w:rsidP="00AE052F">
      <w:pPr>
        <w:spacing w:line="276" w:lineRule="auto"/>
        <w:ind w:firstLine="720"/>
        <w:jc w:val="both"/>
      </w:pPr>
    </w:p>
    <w:p w:rsidR="00B64783" w:rsidRDefault="00B64783" w:rsidP="00426953">
      <w:pPr>
        <w:spacing w:line="360" w:lineRule="auto"/>
        <w:ind w:firstLine="720"/>
        <w:jc w:val="both"/>
      </w:pPr>
      <w:r>
        <w:t>A close examination of the contract of employment, in particular the third bullet under</w:t>
      </w:r>
      <w:r w:rsidR="00644FEC">
        <w:t xml:space="preserve"> the cited section, shows that m</w:t>
      </w:r>
      <w:r>
        <w:t>ere assumption of directorship must be formally notified to the employer.  Th</w:t>
      </w:r>
      <w:r w:rsidR="004340B6">
        <w:t>i</w:t>
      </w:r>
      <w:r>
        <w:t>s bullet provides</w:t>
      </w:r>
      <w:r w:rsidR="004340B6">
        <w:t>:</w:t>
      </w:r>
    </w:p>
    <w:p w:rsidR="004340B6" w:rsidRDefault="004340B6" w:rsidP="00AE052F">
      <w:pPr>
        <w:spacing w:line="276" w:lineRule="auto"/>
        <w:ind w:firstLine="720"/>
        <w:jc w:val="both"/>
      </w:pPr>
    </w:p>
    <w:p w:rsidR="004340B6" w:rsidRDefault="004340B6" w:rsidP="00AE052F">
      <w:pPr>
        <w:spacing w:line="276" w:lineRule="auto"/>
        <w:ind w:left="720"/>
        <w:jc w:val="both"/>
      </w:pPr>
      <w:r>
        <w:t>“</w:t>
      </w:r>
      <w:proofErr w:type="gramStart"/>
      <w:r w:rsidRPr="00644FEC">
        <w:rPr>
          <w:i/>
          <w:sz w:val="22"/>
          <w:szCs w:val="22"/>
        </w:rPr>
        <w:t>Advise</w:t>
      </w:r>
      <w:proofErr w:type="gramEnd"/>
      <w:r w:rsidRPr="00644FEC">
        <w:rPr>
          <w:i/>
          <w:sz w:val="22"/>
          <w:szCs w:val="22"/>
        </w:rPr>
        <w:t xml:space="preserve"> the Company in writing before taking up any directorships or appointments held with any organization other than the Company</w:t>
      </w:r>
      <w:r w:rsidRPr="00644FEC">
        <w:rPr>
          <w:sz w:val="22"/>
          <w:szCs w:val="22"/>
        </w:rPr>
        <w:t xml:space="preserve"> …</w:t>
      </w:r>
      <w:r>
        <w:t>”</w:t>
      </w:r>
    </w:p>
    <w:p w:rsidR="004340B6" w:rsidRDefault="004340B6" w:rsidP="00AE052F">
      <w:pPr>
        <w:spacing w:line="276" w:lineRule="auto"/>
        <w:ind w:firstLine="720"/>
        <w:jc w:val="both"/>
      </w:pPr>
    </w:p>
    <w:p w:rsidR="004340B6" w:rsidRDefault="004340B6" w:rsidP="00426953">
      <w:pPr>
        <w:spacing w:line="360" w:lineRule="auto"/>
        <w:ind w:firstLine="720"/>
        <w:jc w:val="both"/>
      </w:pPr>
      <w:r>
        <w:t>Section 4 (third bullet) of the conditions of service, has more or less similar wording, which reads:</w:t>
      </w:r>
    </w:p>
    <w:p w:rsidR="004340B6" w:rsidRDefault="004340B6" w:rsidP="00AE052F">
      <w:pPr>
        <w:spacing w:line="276" w:lineRule="auto"/>
        <w:ind w:firstLine="720"/>
        <w:jc w:val="both"/>
      </w:pPr>
    </w:p>
    <w:p w:rsidR="004340B6" w:rsidRDefault="004340B6" w:rsidP="00AE052F">
      <w:pPr>
        <w:spacing w:line="276" w:lineRule="auto"/>
        <w:ind w:left="720"/>
        <w:jc w:val="both"/>
      </w:pPr>
      <w:r>
        <w:lastRenderedPageBreak/>
        <w:t>“</w:t>
      </w:r>
      <w:r w:rsidRPr="00644FEC">
        <w:rPr>
          <w:i/>
          <w:sz w:val="22"/>
          <w:szCs w:val="22"/>
        </w:rPr>
        <w:t xml:space="preserve">An employee must advise Human Resources Function in </w:t>
      </w:r>
      <w:r w:rsidR="00644FEC">
        <w:rPr>
          <w:i/>
          <w:sz w:val="22"/>
          <w:szCs w:val="22"/>
        </w:rPr>
        <w:t>writing</w:t>
      </w:r>
      <w:r w:rsidRPr="00644FEC">
        <w:rPr>
          <w:i/>
          <w:sz w:val="22"/>
          <w:szCs w:val="22"/>
        </w:rPr>
        <w:t xml:space="preserve"> of any directorships or appointments held with any organization other than one’s own employing company</w:t>
      </w:r>
      <w:r>
        <w:t>”</w:t>
      </w:r>
    </w:p>
    <w:p w:rsidR="00F331C9" w:rsidRDefault="00F331C9" w:rsidP="00D86D67">
      <w:pPr>
        <w:spacing w:line="276" w:lineRule="auto"/>
        <w:jc w:val="both"/>
      </w:pPr>
    </w:p>
    <w:p w:rsidR="004340B6" w:rsidRDefault="00AE052F" w:rsidP="00426953">
      <w:pPr>
        <w:spacing w:line="360" w:lineRule="auto"/>
        <w:ind w:firstLine="720"/>
        <w:jc w:val="both"/>
      </w:pPr>
      <w:r>
        <w:t>I</w:t>
      </w:r>
      <w:r w:rsidR="004340B6">
        <w:t>t appears</w:t>
      </w:r>
      <w:r w:rsidR="00644FEC">
        <w:t>,</w:t>
      </w:r>
      <w:r w:rsidR="004340B6">
        <w:t xml:space="preserve"> from these provisions of the employment documents, the fact of taking up directorship in another company without declaration, constitutes a breach of the provisions.  Any resultant prejudice only serves to aggravate the situation, and is not an essential element of the </w:t>
      </w:r>
      <w:r w:rsidR="001B1464">
        <w:t xml:space="preserve">contravention.  So whichever way one looks at it, Appellant’s assumption of directorship in Big Eye without declaration violated his contract of employment and conditions of service. </w:t>
      </w:r>
    </w:p>
    <w:p w:rsidR="001B1464" w:rsidRDefault="001B1464" w:rsidP="00A82F55">
      <w:pPr>
        <w:spacing w:line="276" w:lineRule="auto"/>
        <w:ind w:firstLine="720"/>
        <w:jc w:val="both"/>
      </w:pPr>
    </w:p>
    <w:p w:rsidR="001B1464" w:rsidRDefault="001B1464" w:rsidP="00426953">
      <w:pPr>
        <w:spacing w:line="360" w:lineRule="auto"/>
        <w:ind w:firstLine="720"/>
        <w:jc w:val="both"/>
      </w:pPr>
      <w:r>
        <w:t>Appellant’s liability in respect of the second count of misconduct again turns on an interpretation of the relevant provisions of the contract of employment and conditions of service.</w:t>
      </w:r>
    </w:p>
    <w:p w:rsidR="001B1464" w:rsidRDefault="001B1464" w:rsidP="00A82F55">
      <w:pPr>
        <w:spacing w:line="276" w:lineRule="auto"/>
        <w:ind w:firstLine="720"/>
        <w:jc w:val="both"/>
      </w:pPr>
    </w:p>
    <w:p w:rsidR="001B1464" w:rsidRDefault="00644FEC" w:rsidP="00426953">
      <w:pPr>
        <w:spacing w:line="360" w:lineRule="auto"/>
        <w:ind w:firstLine="720"/>
        <w:jc w:val="both"/>
      </w:pPr>
      <w:r>
        <w:t>These</w:t>
      </w:r>
      <w:r w:rsidR="001B1464">
        <w:t xml:space="preserve"> are the fundamental documents governing his relationship with the Respondent.  The </w:t>
      </w:r>
      <w:r>
        <w:t>relevant</w:t>
      </w:r>
      <w:r w:rsidR="00D86D67">
        <w:t xml:space="preserve"> provisions</w:t>
      </w:r>
      <w:r>
        <w:t xml:space="preserve"> </w:t>
      </w:r>
      <w:r w:rsidR="000549B8">
        <w:t>have already been quoted</w:t>
      </w:r>
      <w:r w:rsidR="001B1464">
        <w:t xml:space="preserve">.  There is no need to </w:t>
      </w:r>
      <w:r w:rsidR="00D86D67">
        <w:t>repeat</w:t>
      </w:r>
      <w:r w:rsidR="001B1464">
        <w:t xml:space="preserve"> them.</w:t>
      </w:r>
    </w:p>
    <w:p w:rsidR="001B1464" w:rsidRDefault="001B1464" w:rsidP="00A82F55">
      <w:pPr>
        <w:spacing w:line="276" w:lineRule="auto"/>
        <w:ind w:firstLine="720"/>
        <w:jc w:val="both"/>
      </w:pPr>
    </w:p>
    <w:p w:rsidR="001B1464" w:rsidRDefault="001B1464" w:rsidP="00E96180">
      <w:pPr>
        <w:spacing w:line="360" w:lineRule="auto"/>
        <w:ind w:firstLine="720"/>
        <w:jc w:val="both"/>
      </w:pPr>
      <w:r>
        <w:t>In the second count, Appellant is charged with committing an act or omission inco</w:t>
      </w:r>
      <w:r w:rsidR="000549B8">
        <w:t>nsistent with the fulfillment of</w:t>
      </w:r>
      <w:r>
        <w:t xml:space="preserve"> the express or implied conditions of his contract.  This commission or omission </w:t>
      </w:r>
      <w:r w:rsidR="000549B8">
        <w:t>consists</w:t>
      </w:r>
      <w:r>
        <w:t xml:space="preserve"> in his failure to declare his interest in Big Eye, as </w:t>
      </w:r>
      <w:r w:rsidR="000549B8">
        <w:t>required</w:t>
      </w:r>
      <w:r w:rsidR="00E96180">
        <w:t xml:space="preserve"> by his contract</w:t>
      </w:r>
      <w:r w:rsidR="000549B8">
        <w:t xml:space="preserve"> of employment and c</w:t>
      </w:r>
      <w:r w:rsidR="00E96180">
        <w:t>onditions of Service.</w:t>
      </w:r>
    </w:p>
    <w:p w:rsidR="00E96180" w:rsidRDefault="00E96180" w:rsidP="00A82F55">
      <w:pPr>
        <w:spacing w:line="276" w:lineRule="auto"/>
        <w:ind w:firstLine="720"/>
        <w:jc w:val="both"/>
      </w:pPr>
    </w:p>
    <w:p w:rsidR="00E96180" w:rsidRDefault="00E96180" w:rsidP="00E96180">
      <w:pPr>
        <w:spacing w:line="360" w:lineRule="auto"/>
        <w:ind w:firstLine="720"/>
        <w:jc w:val="both"/>
      </w:pPr>
      <w:r>
        <w:t>A</w:t>
      </w:r>
      <w:r w:rsidR="000549B8">
        <w:t>ppellant’s contention is that he</w:t>
      </w:r>
      <w:r>
        <w:t xml:space="preserve"> is not clear at what stage he should have disclosed his interest.  Whilst the contract of employment states that he should disclose prior to assumption of directorship in another company, the conditions of service document is silent on this.  It does not say when he should disclose.  It merely lays down the requirement to disclose.  The Appellant</w:t>
      </w:r>
      <w:r w:rsidR="00BC611C">
        <w:t xml:space="preserve"> argues that the two documents are contradictory and confuse the issue.  He should therefore not be found liable on the basis of the contradictory provisions.  They gave him the </w:t>
      </w:r>
      <w:proofErr w:type="spellStart"/>
      <w:r w:rsidR="00BC611C">
        <w:t>lee way</w:t>
      </w:r>
      <w:proofErr w:type="spellEnd"/>
      <w:r w:rsidR="00BC611C">
        <w:t xml:space="preserve"> to declare his interest in Big Eye either before or after his assumption of directorship thereof.</w:t>
      </w:r>
    </w:p>
    <w:p w:rsidR="00BC611C" w:rsidRDefault="00BC611C" w:rsidP="00A82F55">
      <w:pPr>
        <w:spacing w:line="276" w:lineRule="auto"/>
        <w:ind w:firstLine="720"/>
        <w:jc w:val="both"/>
      </w:pPr>
    </w:p>
    <w:p w:rsidR="000549B8" w:rsidRDefault="00BC611C" w:rsidP="00E96180">
      <w:pPr>
        <w:spacing w:line="360" w:lineRule="auto"/>
        <w:ind w:firstLine="720"/>
        <w:jc w:val="both"/>
      </w:pPr>
      <w:r>
        <w:lastRenderedPageBreak/>
        <w:t xml:space="preserve">The contract of employment is very clear and unambiguous on the question of when disclosure should be made.  The applicable excerpt has already been referred to in this judgment.  It obliges the employee to advise the employer “before taking up any directorships”.  The clause goes on to provide that if the employee is “in doubt as to what, to whom and when to declare, he must refer the matter to the Internal Control Manager. </w:t>
      </w:r>
    </w:p>
    <w:p w:rsidR="000549B8" w:rsidRDefault="000549B8" w:rsidP="000549B8">
      <w:pPr>
        <w:spacing w:line="276" w:lineRule="auto"/>
        <w:ind w:firstLine="720"/>
        <w:jc w:val="both"/>
      </w:pPr>
    </w:p>
    <w:p w:rsidR="000549B8" w:rsidRDefault="00BC611C" w:rsidP="00E96180">
      <w:pPr>
        <w:spacing w:line="360" w:lineRule="auto"/>
        <w:ind w:firstLine="720"/>
        <w:jc w:val="both"/>
      </w:pPr>
      <w:r>
        <w:t xml:space="preserve"> </w:t>
      </w:r>
      <w:r w:rsidR="000549B8">
        <w:t>The employment contract is drafted in such a manner that the obligation to disclose arises prior to engagement in the activity in question.</w:t>
      </w:r>
    </w:p>
    <w:p w:rsidR="000549B8" w:rsidRDefault="000549B8" w:rsidP="00E96180">
      <w:pPr>
        <w:spacing w:line="360" w:lineRule="auto"/>
        <w:ind w:firstLine="720"/>
        <w:jc w:val="both"/>
      </w:pPr>
    </w:p>
    <w:p w:rsidR="00AE6601" w:rsidRDefault="000549B8" w:rsidP="00E96180">
      <w:pPr>
        <w:spacing w:line="360" w:lineRule="auto"/>
        <w:ind w:firstLine="720"/>
        <w:jc w:val="both"/>
      </w:pPr>
      <w:r>
        <w:t xml:space="preserve">The conditions of service document places the same obligation of disclosure, without specifying the stage at which such disclosure should be made.  One document is </w:t>
      </w:r>
      <w:r w:rsidR="00AE6601">
        <w:t>supplying</w:t>
      </w:r>
      <w:r>
        <w:t xml:space="preserve"> a detail that is not appearing in the other document, on the same subject </w:t>
      </w:r>
      <w:r w:rsidR="00AE6601">
        <w:t>matter.</w:t>
      </w:r>
    </w:p>
    <w:p w:rsidR="000549B8" w:rsidRDefault="000549B8" w:rsidP="00E96180">
      <w:pPr>
        <w:spacing w:line="360" w:lineRule="auto"/>
        <w:ind w:firstLine="720"/>
        <w:jc w:val="both"/>
      </w:pPr>
      <w:r>
        <w:t xml:space="preserve"> </w:t>
      </w:r>
    </w:p>
    <w:p w:rsidR="00BC611C" w:rsidRDefault="00BC611C" w:rsidP="00E96180">
      <w:pPr>
        <w:spacing w:line="360" w:lineRule="auto"/>
        <w:ind w:firstLine="720"/>
        <w:jc w:val="both"/>
      </w:pPr>
      <w:r>
        <w:t>The two documents cannot</w:t>
      </w:r>
      <w:r w:rsidR="00AE6601">
        <w:t>,</w:t>
      </w:r>
      <w:r>
        <w:t xml:space="preserve"> on that basis, be said to be contradictory.  They are, in </w:t>
      </w:r>
      <w:r w:rsidR="00D86D67">
        <w:t>my</w:t>
      </w:r>
      <w:r>
        <w:t xml:space="preserve"> view, </w:t>
      </w:r>
      <w:r w:rsidR="008E2A01">
        <w:t xml:space="preserve">complimentary.  The Appellant cannot rely on the silence in the conditions of service, on a matter that </w:t>
      </w:r>
      <w:r w:rsidR="00AE6601">
        <w:t>is succinctly spelt out in his contract of e</w:t>
      </w:r>
      <w:r w:rsidR="008E2A01">
        <w:t>mployment.</w:t>
      </w:r>
      <w:r>
        <w:t xml:space="preserve"> </w:t>
      </w:r>
      <w:r w:rsidR="008E2A01">
        <w:t xml:space="preserve"> In any case, Appellant did not di</w:t>
      </w:r>
      <w:r w:rsidR="00A82F55">
        <w:t xml:space="preserve">sclose his interest in Big Eye </w:t>
      </w:r>
      <w:r w:rsidR="008E2A01">
        <w:t>at any stage during its existence.</w:t>
      </w:r>
    </w:p>
    <w:p w:rsidR="008E2A01" w:rsidRDefault="008E2A01" w:rsidP="00A82F55">
      <w:pPr>
        <w:spacing w:line="276" w:lineRule="auto"/>
        <w:ind w:firstLine="720"/>
        <w:jc w:val="both"/>
      </w:pPr>
    </w:p>
    <w:p w:rsidR="00E7254C" w:rsidRDefault="008E2A01" w:rsidP="00E96180">
      <w:pPr>
        <w:spacing w:line="360" w:lineRule="auto"/>
        <w:ind w:firstLine="720"/>
        <w:jc w:val="both"/>
      </w:pPr>
      <w:r>
        <w:t xml:space="preserve">The facts of the matter, </w:t>
      </w:r>
      <w:r w:rsidR="00E7254C">
        <w:t>clearly establish</w:t>
      </w:r>
      <w:r>
        <w:t xml:space="preserve"> Appellant’s liability in respect of the charges of misconduct preferred against </w:t>
      </w:r>
      <w:r w:rsidR="00E7254C">
        <w:t>him.</w:t>
      </w:r>
      <w:r w:rsidR="00AE6601">
        <w:t xml:space="preserve">  The Disciplinary Committee cannot, in the circumstances, be faulte</w:t>
      </w:r>
      <w:r w:rsidR="00D86D67">
        <w:t>d for finding him guilty as char</w:t>
      </w:r>
      <w:r w:rsidR="00AE6601">
        <w:t>ged.</w:t>
      </w:r>
    </w:p>
    <w:p w:rsidR="00E7254C" w:rsidRDefault="00E7254C" w:rsidP="00A82F55">
      <w:pPr>
        <w:spacing w:line="276" w:lineRule="auto"/>
        <w:ind w:firstLine="720"/>
        <w:jc w:val="both"/>
      </w:pPr>
    </w:p>
    <w:p w:rsidR="008E2A01" w:rsidRDefault="00E7254C" w:rsidP="00E96180">
      <w:pPr>
        <w:spacing w:line="360" w:lineRule="auto"/>
        <w:ind w:firstLine="720"/>
        <w:jc w:val="both"/>
      </w:pPr>
      <w:r>
        <w:t xml:space="preserve">On the question of whether the penalty of dismissal was appropriate, the </w:t>
      </w:r>
      <w:proofErr w:type="spellStart"/>
      <w:r>
        <w:t>well established</w:t>
      </w:r>
      <w:proofErr w:type="spellEnd"/>
      <w:r>
        <w:t xml:space="preserve"> principle is that penalty is a matter within the discretion of the employer.  Most of the authorities relied upon by the Respondent enunciate this principle.  </w:t>
      </w:r>
    </w:p>
    <w:p w:rsidR="00E7254C" w:rsidRDefault="00E7254C" w:rsidP="00A82F55">
      <w:pPr>
        <w:spacing w:line="276" w:lineRule="auto"/>
        <w:ind w:firstLine="720"/>
        <w:jc w:val="both"/>
      </w:pPr>
    </w:p>
    <w:p w:rsidR="00E7254C" w:rsidRDefault="00AE6601" w:rsidP="00E96180">
      <w:pPr>
        <w:spacing w:line="360" w:lineRule="auto"/>
        <w:ind w:firstLine="720"/>
        <w:jc w:val="both"/>
      </w:pPr>
      <w:r>
        <w:t>Among the authorities referred to</w:t>
      </w:r>
      <w:r w:rsidR="00E7254C">
        <w:t xml:space="preserve"> by the Respondent</w:t>
      </w:r>
      <w:r>
        <w:t>,</w:t>
      </w:r>
      <w:r w:rsidR="00E7254C">
        <w:t xml:space="preserve"> the one from the case of </w:t>
      </w:r>
      <w:r>
        <w:rPr>
          <w:i/>
        </w:rPr>
        <w:t>County Fair Foods (Pt</w:t>
      </w:r>
      <w:r w:rsidR="00E7254C" w:rsidRPr="00AE6601">
        <w:rPr>
          <w:i/>
        </w:rPr>
        <w:t xml:space="preserve">y) </w:t>
      </w:r>
      <w:proofErr w:type="spellStart"/>
      <w:r w:rsidR="00E7254C" w:rsidRPr="00AE6601">
        <w:rPr>
          <w:i/>
        </w:rPr>
        <w:t>vs</w:t>
      </w:r>
      <w:proofErr w:type="spellEnd"/>
      <w:r w:rsidR="00E7254C" w:rsidRPr="00AE6601">
        <w:rPr>
          <w:i/>
        </w:rPr>
        <w:t xml:space="preserve"> CCMA &amp; Others</w:t>
      </w:r>
      <w:r w:rsidR="00E7254C">
        <w:t xml:space="preserve"> (1999) 20 ILJ 1701 (LAC) is particularly </w:t>
      </w:r>
      <w:r w:rsidR="00D86D67">
        <w:t>worth</w:t>
      </w:r>
      <w:r w:rsidR="00E7254C">
        <w:t xml:space="preserve"> noting: </w:t>
      </w:r>
    </w:p>
    <w:p w:rsidR="00E7254C" w:rsidRDefault="00E7254C" w:rsidP="00A82F55">
      <w:pPr>
        <w:spacing w:line="276" w:lineRule="auto"/>
        <w:ind w:firstLine="720"/>
        <w:jc w:val="both"/>
      </w:pPr>
    </w:p>
    <w:p w:rsidR="00E7254C" w:rsidRDefault="00E7254C" w:rsidP="00A82F55">
      <w:pPr>
        <w:spacing w:line="276" w:lineRule="auto"/>
        <w:ind w:left="720"/>
        <w:jc w:val="both"/>
      </w:pPr>
      <w:r>
        <w:lastRenderedPageBreak/>
        <w:t xml:space="preserve">“… </w:t>
      </w:r>
      <w:r w:rsidRPr="00AE6601">
        <w:rPr>
          <w:i/>
          <w:sz w:val="22"/>
          <w:szCs w:val="22"/>
        </w:rPr>
        <w:t>I</w:t>
      </w:r>
      <w:r w:rsidR="00AE6601" w:rsidRPr="00AE6601">
        <w:rPr>
          <w:i/>
          <w:sz w:val="22"/>
          <w:szCs w:val="22"/>
        </w:rPr>
        <w:t>t</w:t>
      </w:r>
      <w:r w:rsidRPr="00AE6601">
        <w:rPr>
          <w:i/>
          <w:sz w:val="22"/>
          <w:szCs w:val="22"/>
        </w:rPr>
        <w:t xml:space="preserve"> lies in the first place within the province of the employer to set the standard of conduct to be observed by its employees and to determine the sanction with which non-compliance will be visited, interference therewith is only justified in the case of unreasonableness and unfairness.</w:t>
      </w:r>
      <w:r w:rsidRPr="00A82F55">
        <w:rPr>
          <w:i/>
        </w:rPr>
        <w:t>”</w:t>
      </w:r>
    </w:p>
    <w:p w:rsidR="00F331C9" w:rsidRDefault="00F331C9" w:rsidP="00A82F55">
      <w:pPr>
        <w:spacing w:line="276" w:lineRule="auto"/>
        <w:ind w:firstLine="720"/>
        <w:jc w:val="both"/>
      </w:pPr>
    </w:p>
    <w:p w:rsidR="00E7254C" w:rsidRDefault="00AE6601" w:rsidP="00A82F55">
      <w:pPr>
        <w:spacing w:line="276" w:lineRule="auto"/>
        <w:ind w:firstLine="720"/>
        <w:jc w:val="both"/>
      </w:pPr>
      <w:r>
        <w:t>The Court further stated:</w:t>
      </w:r>
    </w:p>
    <w:p w:rsidR="00AE6601" w:rsidRDefault="00AE6601" w:rsidP="00A82F55">
      <w:pPr>
        <w:spacing w:line="276" w:lineRule="auto"/>
        <w:ind w:firstLine="720"/>
        <w:jc w:val="both"/>
      </w:pPr>
    </w:p>
    <w:p w:rsidR="00AE6601" w:rsidRDefault="00AE6601" w:rsidP="00AE6601">
      <w:pPr>
        <w:spacing w:line="276" w:lineRule="auto"/>
        <w:ind w:left="720"/>
        <w:jc w:val="both"/>
      </w:pPr>
      <w:r>
        <w:t>“</w:t>
      </w:r>
      <w:r w:rsidRPr="00AE6601">
        <w:rPr>
          <w:i/>
          <w:sz w:val="22"/>
          <w:szCs w:val="22"/>
        </w:rPr>
        <w:t xml:space="preserve">If you look at the sentence and you say to yourself “this sentence is so excessive … that I cannot allow it to </w:t>
      </w:r>
      <w:r w:rsidR="00D86D67">
        <w:rPr>
          <w:i/>
          <w:sz w:val="22"/>
          <w:szCs w:val="22"/>
        </w:rPr>
        <w:t xml:space="preserve">stand”, </w:t>
      </w:r>
      <w:r w:rsidR="00F331C9" w:rsidRPr="00AE6601">
        <w:rPr>
          <w:i/>
          <w:sz w:val="22"/>
          <w:szCs w:val="22"/>
        </w:rPr>
        <w:t>it</w:t>
      </w:r>
      <w:r w:rsidRPr="00AE6601">
        <w:rPr>
          <w:i/>
          <w:sz w:val="22"/>
          <w:szCs w:val="22"/>
        </w:rPr>
        <w:t xml:space="preserve"> is open to</w:t>
      </w:r>
      <w:r w:rsidR="00D86D67">
        <w:rPr>
          <w:i/>
          <w:sz w:val="22"/>
          <w:szCs w:val="22"/>
        </w:rPr>
        <w:t xml:space="preserve"> interference. If you think </w:t>
      </w:r>
      <w:r w:rsidR="00C265DB">
        <w:rPr>
          <w:i/>
          <w:sz w:val="22"/>
          <w:szCs w:val="22"/>
        </w:rPr>
        <w:t>merely</w:t>
      </w:r>
      <w:r w:rsidRPr="00AE6601">
        <w:rPr>
          <w:i/>
          <w:sz w:val="22"/>
          <w:szCs w:val="22"/>
        </w:rPr>
        <w:t xml:space="preserve"> that you would not have imposed the same sentence, it is not.  </w:t>
      </w:r>
      <w:proofErr w:type="gramStart"/>
      <w:r w:rsidRPr="00AE6601">
        <w:rPr>
          <w:i/>
          <w:sz w:val="22"/>
          <w:szCs w:val="22"/>
        </w:rPr>
        <w:t>Unless the sentence makes you whistle, it must stand</w:t>
      </w:r>
      <w:r>
        <w:t>.”</w:t>
      </w:r>
      <w:proofErr w:type="gramEnd"/>
    </w:p>
    <w:p w:rsidR="00AE6601" w:rsidRDefault="00AE6601" w:rsidP="00A82F55">
      <w:pPr>
        <w:spacing w:line="276" w:lineRule="auto"/>
        <w:ind w:firstLine="720"/>
        <w:jc w:val="both"/>
      </w:pPr>
    </w:p>
    <w:p w:rsidR="00E7254C" w:rsidRDefault="000844F7" w:rsidP="00E96180">
      <w:pPr>
        <w:spacing w:line="360" w:lineRule="auto"/>
        <w:ind w:firstLine="720"/>
        <w:jc w:val="both"/>
      </w:pPr>
      <w:r>
        <w:t>I</w:t>
      </w:r>
      <w:r w:rsidR="00776A3E">
        <w:t xml:space="preserve">n </w:t>
      </w:r>
      <w:r w:rsidR="00776A3E" w:rsidRPr="000844F7">
        <w:rPr>
          <w:i/>
        </w:rPr>
        <w:t xml:space="preserve">Tobacco Sales Floors Ltd v </w:t>
      </w:r>
      <w:proofErr w:type="spellStart"/>
      <w:r w:rsidR="00776A3E" w:rsidRPr="000844F7">
        <w:rPr>
          <w:i/>
        </w:rPr>
        <w:t>Chiwala</w:t>
      </w:r>
      <w:proofErr w:type="spellEnd"/>
      <w:r w:rsidR="00776A3E">
        <w:t xml:space="preserve"> 1987 (2) RLR 210 (SC) MCNALLY JA, considering whether the penalty of summary dismissal was justified, had this to say:</w:t>
      </w:r>
    </w:p>
    <w:p w:rsidR="00776A3E" w:rsidRDefault="00776A3E" w:rsidP="00A82F55">
      <w:pPr>
        <w:spacing w:line="276" w:lineRule="auto"/>
        <w:ind w:firstLine="720"/>
        <w:jc w:val="both"/>
      </w:pPr>
    </w:p>
    <w:p w:rsidR="00776A3E" w:rsidRDefault="00776A3E" w:rsidP="00A82F55">
      <w:pPr>
        <w:spacing w:line="276" w:lineRule="auto"/>
        <w:ind w:left="720"/>
        <w:jc w:val="both"/>
      </w:pPr>
      <w:r>
        <w:t>“</w:t>
      </w:r>
      <w:r w:rsidRPr="000844F7">
        <w:rPr>
          <w:i/>
          <w:sz w:val="22"/>
          <w:szCs w:val="22"/>
        </w:rPr>
        <w:t xml:space="preserve">I consider that the seriousness of the misconduct is to be measured by whether it is “inconsistent with the fulfillment of the </w:t>
      </w:r>
      <w:r w:rsidR="00C265DB">
        <w:rPr>
          <w:i/>
          <w:sz w:val="22"/>
          <w:szCs w:val="22"/>
        </w:rPr>
        <w:t>express</w:t>
      </w:r>
      <w:r w:rsidRPr="000844F7">
        <w:rPr>
          <w:i/>
          <w:sz w:val="22"/>
          <w:szCs w:val="22"/>
        </w:rPr>
        <w:t xml:space="preserve"> or implied conditions of his </w:t>
      </w:r>
      <w:r w:rsidR="000844F7">
        <w:rPr>
          <w:i/>
          <w:sz w:val="22"/>
          <w:szCs w:val="22"/>
        </w:rPr>
        <w:t>contract</w:t>
      </w:r>
      <w:r w:rsidRPr="000844F7">
        <w:rPr>
          <w:i/>
          <w:sz w:val="22"/>
          <w:szCs w:val="22"/>
        </w:rPr>
        <w:t xml:space="preserve">”.  If it is, then it is serious enough </w:t>
      </w:r>
      <w:r w:rsidRPr="000844F7">
        <w:rPr>
          <w:i/>
          <w:sz w:val="22"/>
          <w:szCs w:val="22"/>
          <w:u w:val="single"/>
        </w:rPr>
        <w:t>prima facie</w:t>
      </w:r>
      <w:r w:rsidRPr="000844F7">
        <w:rPr>
          <w:i/>
          <w:sz w:val="22"/>
          <w:szCs w:val="22"/>
        </w:rPr>
        <w:t xml:space="preserve"> to warrant summary dismissal</w:t>
      </w:r>
      <w:r>
        <w:t>”</w:t>
      </w:r>
      <w:r w:rsidR="00A82F55">
        <w:t xml:space="preserve"> </w:t>
      </w:r>
      <w:r>
        <w:t>(p.218 H)</w:t>
      </w:r>
    </w:p>
    <w:p w:rsidR="00776A3E" w:rsidRDefault="00776A3E" w:rsidP="00A82F55">
      <w:pPr>
        <w:spacing w:line="276" w:lineRule="auto"/>
        <w:ind w:firstLine="720"/>
        <w:jc w:val="both"/>
      </w:pPr>
    </w:p>
    <w:p w:rsidR="000379A1" w:rsidRDefault="000844F7" w:rsidP="00E96180">
      <w:pPr>
        <w:spacing w:line="360" w:lineRule="auto"/>
        <w:ind w:firstLine="720"/>
        <w:jc w:val="both"/>
      </w:pPr>
      <w:r>
        <w:t>T</w:t>
      </w:r>
      <w:r w:rsidR="00776A3E">
        <w:t xml:space="preserve">he judge </w:t>
      </w:r>
      <w:r>
        <w:t>cited with approval</w:t>
      </w:r>
      <w:r w:rsidR="00776A3E">
        <w:t xml:space="preserve"> a passage in </w:t>
      </w:r>
      <w:proofErr w:type="spellStart"/>
      <w:r w:rsidR="00C265DB">
        <w:t>Halsbury’s</w:t>
      </w:r>
      <w:proofErr w:type="spellEnd"/>
      <w:r w:rsidR="00C265DB">
        <w:t xml:space="preserve"> Laws of England </w:t>
      </w:r>
      <w:proofErr w:type="gramStart"/>
      <w:r w:rsidR="000379A1">
        <w:t>4</w:t>
      </w:r>
      <w:r w:rsidRPr="000844F7">
        <w:rPr>
          <w:vertAlign w:val="superscript"/>
        </w:rPr>
        <w:t>th</w:t>
      </w:r>
      <w:r>
        <w:t xml:space="preserve"> </w:t>
      </w:r>
      <w:r w:rsidR="000379A1">
        <w:t xml:space="preserve"> </w:t>
      </w:r>
      <w:proofErr w:type="spellStart"/>
      <w:r w:rsidR="000379A1">
        <w:t>ed</w:t>
      </w:r>
      <w:proofErr w:type="spellEnd"/>
      <w:proofErr w:type="gramEnd"/>
      <w:r w:rsidR="000379A1">
        <w:t xml:space="preserve"> </w:t>
      </w:r>
      <w:proofErr w:type="spellStart"/>
      <w:r w:rsidR="000379A1">
        <w:t>Vol</w:t>
      </w:r>
      <w:proofErr w:type="spellEnd"/>
      <w:r w:rsidR="000379A1">
        <w:t xml:space="preserve"> 16 </w:t>
      </w:r>
      <w:proofErr w:type="spellStart"/>
      <w:r w:rsidR="000379A1">
        <w:t>para</w:t>
      </w:r>
      <w:proofErr w:type="spellEnd"/>
      <w:r w:rsidR="000379A1">
        <w:t xml:space="preserve"> 642 which reads:</w:t>
      </w:r>
    </w:p>
    <w:p w:rsidR="000379A1" w:rsidRDefault="000379A1" w:rsidP="00A82F55">
      <w:pPr>
        <w:spacing w:line="276" w:lineRule="auto"/>
        <w:ind w:firstLine="720"/>
        <w:jc w:val="both"/>
      </w:pPr>
    </w:p>
    <w:p w:rsidR="000379A1" w:rsidRDefault="000379A1" w:rsidP="00A82F55">
      <w:pPr>
        <w:spacing w:line="276" w:lineRule="auto"/>
        <w:ind w:left="720"/>
        <w:jc w:val="both"/>
      </w:pPr>
      <w:r>
        <w:t>“</w:t>
      </w:r>
      <w:r w:rsidRPr="000844F7">
        <w:rPr>
          <w:i/>
          <w:sz w:val="22"/>
          <w:szCs w:val="22"/>
        </w:rPr>
        <w:t>Miscondu</w:t>
      </w:r>
      <w:r w:rsidR="000844F7">
        <w:rPr>
          <w:i/>
          <w:sz w:val="22"/>
          <w:szCs w:val="22"/>
        </w:rPr>
        <w:t>ct inconsistent with an employee</w:t>
      </w:r>
      <w:r w:rsidRPr="000844F7">
        <w:rPr>
          <w:i/>
          <w:sz w:val="22"/>
          <w:szCs w:val="22"/>
        </w:rPr>
        <w:t>’s proper discharge of the duties for which he was engaged is good cause for his dismissal, but there is no fixed rule of law defining the degree of misconduct which will justify dismissal</w:t>
      </w:r>
      <w:r w:rsidR="000844F7">
        <w:rPr>
          <w:i/>
          <w:sz w:val="22"/>
          <w:szCs w:val="22"/>
        </w:rPr>
        <w:t>.</w:t>
      </w:r>
      <w:r w:rsidRPr="00A82F55">
        <w:rPr>
          <w:i/>
        </w:rPr>
        <w:t>”</w:t>
      </w:r>
    </w:p>
    <w:p w:rsidR="000379A1" w:rsidRDefault="000379A1" w:rsidP="00A82F55">
      <w:pPr>
        <w:spacing w:line="276" w:lineRule="auto"/>
        <w:ind w:firstLine="720"/>
        <w:jc w:val="both"/>
      </w:pPr>
    </w:p>
    <w:p w:rsidR="00776A3E" w:rsidRDefault="000379A1" w:rsidP="00E96180">
      <w:pPr>
        <w:spacing w:line="360" w:lineRule="auto"/>
        <w:ind w:firstLine="720"/>
        <w:jc w:val="both"/>
      </w:pPr>
      <w:r>
        <w:t xml:space="preserve">The learned judge, whilst recognizing the employer’s discretion in this regard, was also </w:t>
      </w:r>
      <w:r w:rsidR="000844F7">
        <w:t>wary</w:t>
      </w:r>
      <w:r>
        <w:t xml:space="preserve"> of the dangers of an employee being summarily dismissed for trivial offences.  He went on to state that the employee must show that the misconduct in question “was so trivial, so inadvertent, so aberrant or otherwise so excusable, that the remedy of summary dismissal was not warranted.” (p.219A)</w:t>
      </w:r>
    </w:p>
    <w:p w:rsidR="000379A1" w:rsidRDefault="000379A1" w:rsidP="00A82F55">
      <w:pPr>
        <w:spacing w:line="276" w:lineRule="auto"/>
        <w:ind w:firstLine="720"/>
        <w:jc w:val="both"/>
      </w:pPr>
    </w:p>
    <w:p w:rsidR="000379A1" w:rsidRDefault="000379A1" w:rsidP="00E96180">
      <w:pPr>
        <w:spacing w:line="360" w:lineRule="auto"/>
        <w:ind w:firstLine="720"/>
        <w:jc w:val="both"/>
      </w:pPr>
      <w:r>
        <w:t xml:space="preserve">The facts </w:t>
      </w:r>
      <w:r w:rsidRPr="000379A1">
        <w:rPr>
          <w:i/>
        </w:rPr>
        <w:t>in casu</w:t>
      </w:r>
      <w:r>
        <w:t xml:space="preserve"> show that Appellant engaged in </w:t>
      </w:r>
      <w:r w:rsidR="00433BD3">
        <w:t xml:space="preserve">conduct inconsistent with the fulfillment of the express or implied conditions of his employment contract.  He formed a company, and became director thereof, without informing the Respondent.  He was a senior member of staff who must have been well aware of the </w:t>
      </w:r>
      <w:r w:rsidR="00433BD3">
        <w:lastRenderedPageBreak/>
        <w:t>requirements in his contract of employment regarding disclosure or declaration of interest.  The contract contained clear clauses to that effect.</w:t>
      </w:r>
    </w:p>
    <w:p w:rsidR="00F331C9" w:rsidRDefault="00F331C9" w:rsidP="00075681">
      <w:pPr>
        <w:spacing w:line="276" w:lineRule="auto"/>
        <w:jc w:val="both"/>
      </w:pPr>
    </w:p>
    <w:p w:rsidR="00433BD3" w:rsidRDefault="00433BD3" w:rsidP="00E96180">
      <w:pPr>
        <w:spacing w:line="360" w:lineRule="auto"/>
        <w:ind w:firstLine="720"/>
        <w:jc w:val="both"/>
      </w:pPr>
      <w:r>
        <w:t xml:space="preserve">Appellant ran his company for 4 </w:t>
      </w:r>
      <w:r w:rsidR="000844F7">
        <w:t>years</w:t>
      </w:r>
      <w:r>
        <w:t xml:space="preserve">, and even traded with the Respondent, without disclosing what he was doing.  This cannot be viewed as a trivial, inadvertent, aberrant or otherwise excusable contravention of his contract of employment and conditions of service.  It was a breach of trust that went to the </w:t>
      </w:r>
      <w:r w:rsidR="000844F7">
        <w:t>root</w:t>
      </w:r>
      <w:r>
        <w:t xml:space="preserve"> of his relationship with the Respondent.  In </w:t>
      </w:r>
      <w:r w:rsidRPr="000844F7">
        <w:rPr>
          <w:i/>
        </w:rPr>
        <w:t>Standard Chartered</w:t>
      </w:r>
      <w:r w:rsidR="00553196" w:rsidRPr="000844F7">
        <w:rPr>
          <w:i/>
        </w:rPr>
        <w:t xml:space="preserve"> Bank Zimbabwe Ltd v </w:t>
      </w:r>
      <w:proofErr w:type="spellStart"/>
      <w:r w:rsidR="00553196" w:rsidRPr="000844F7">
        <w:rPr>
          <w:i/>
        </w:rPr>
        <w:t>Chapuka</w:t>
      </w:r>
      <w:proofErr w:type="spellEnd"/>
      <w:r w:rsidR="00553196">
        <w:t>, S.C. 125/04 MALABA JA (as he then was) stated:</w:t>
      </w:r>
    </w:p>
    <w:p w:rsidR="00553196" w:rsidRDefault="00553196" w:rsidP="00A82F55">
      <w:pPr>
        <w:spacing w:line="276" w:lineRule="auto"/>
        <w:ind w:firstLine="720"/>
        <w:jc w:val="both"/>
      </w:pPr>
    </w:p>
    <w:p w:rsidR="00553196" w:rsidRDefault="00553196" w:rsidP="00A82F55">
      <w:pPr>
        <w:spacing w:line="276" w:lineRule="auto"/>
        <w:ind w:left="720"/>
        <w:jc w:val="both"/>
      </w:pPr>
      <w:r>
        <w:t>“</w:t>
      </w:r>
      <w:r w:rsidR="00A82F55" w:rsidRPr="000844F7">
        <w:rPr>
          <w:i/>
          <w:sz w:val="22"/>
          <w:szCs w:val="22"/>
        </w:rPr>
        <w:t>Conduct</w:t>
      </w:r>
      <w:r w:rsidRPr="000844F7">
        <w:rPr>
          <w:i/>
          <w:sz w:val="22"/>
          <w:szCs w:val="22"/>
        </w:rPr>
        <w:t xml:space="preserve"> which is found to be inconsistent or incompatible with the fulfillment of the </w:t>
      </w:r>
      <w:r w:rsidR="000844F7" w:rsidRPr="000844F7">
        <w:rPr>
          <w:i/>
          <w:sz w:val="22"/>
          <w:szCs w:val="22"/>
        </w:rPr>
        <w:t>express</w:t>
      </w:r>
      <w:r w:rsidRPr="000844F7">
        <w:rPr>
          <w:i/>
          <w:sz w:val="22"/>
          <w:szCs w:val="22"/>
        </w:rPr>
        <w:t xml:space="preserve"> or implied conditions of a contract of employment goes to the root of the relationship between an employer and an employee, giving the former a </w:t>
      </w:r>
      <w:r w:rsidRPr="000844F7">
        <w:rPr>
          <w:i/>
          <w:sz w:val="22"/>
          <w:szCs w:val="22"/>
          <w:u w:val="single"/>
        </w:rPr>
        <w:t>prima facie</w:t>
      </w:r>
      <w:r w:rsidRPr="000844F7">
        <w:rPr>
          <w:i/>
          <w:sz w:val="22"/>
          <w:szCs w:val="22"/>
        </w:rPr>
        <w:t xml:space="preserve"> right to dismiss the lat</w:t>
      </w:r>
      <w:r w:rsidR="000844F7" w:rsidRPr="000844F7">
        <w:rPr>
          <w:i/>
          <w:sz w:val="22"/>
          <w:szCs w:val="22"/>
        </w:rPr>
        <w:t>t</w:t>
      </w:r>
      <w:r w:rsidRPr="000844F7">
        <w:rPr>
          <w:i/>
          <w:sz w:val="22"/>
          <w:szCs w:val="22"/>
        </w:rPr>
        <w:t>er.”</w:t>
      </w:r>
    </w:p>
    <w:p w:rsidR="00553196" w:rsidRDefault="00553196" w:rsidP="00A82F55">
      <w:pPr>
        <w:spacing w:line="276" w:lineRule="auto"/>
        <w:ind w:firstLine="720"/>
        <w:jc w:val="both"/>
      </w:pPr>
    </w:p>
    <w:p w:rsidR="00553196" w:rsidRDefault="00553196" w:rsidP="00A82F55">
      <w:pPr>
        <w:spacing w:line="360" w:lineRule="auto"/>
        <w:ind w:firstLine="720"/>
        <w:jc w:val="both"/>
      </w:pPr>
      <w:r>
        <w:t>The learned judge further stated:</w:t>
      </w:r>
    </w:p>
    <w:p w:rsidR="00553196" w:rsidRDefault="00553196" w:rsidP="00A82F55">
      <w:pPr>
        <w:spacing w:line="276" w:lineRule="auto"/>
        <w:ind w:firstLine="720"/>
        <w:jc w:val="both"/>
      </w:pPr>
    </w:p>
    <w:p w:rsidR="00553196" w:rsidRDefault="00553196" w:rsidP="00A82F55">
      <w:pPr>
        <w:spacing w:line="276" w:lineRule="auto"/>
        <w:ind w:left="720"/>
        <w:jc w:val="both"/>
      </w:pPr>
      <w:r>
        <w:t>“</w:t>
      </w:r>
      <w:r w:rsidRPr="000844F7">
        <w:rPr>
          <w:i/>
          <w:sz w:val="22"/>
          <w:szCs w:val="22"/>
        </w:rPr>
        <w:t xml:space="preserve">The relationship between Standard Chartered and </w:t>
      </w:r>
      <w:proofErr w:type="spellStart"/>
      <w:r w:rsidRPr="000844F7">
        <w:rPr>
          <w:i/>
          <w:sz w:val="22"/>
          <w:szCs w:val="22"/>
        </w:rPr>
        <w:t>Chapuka</w:t>
      </w:r>
      <w:proofErr w:type="spellEnd"/>
      <w:r w:rsidRPr="000844F7">
        <w:rPr>
          <w:i/>
          <w:sz w:val="22"/>
          <w:szCs w:val="22"/>
        </w:rPr>
        <w:t xml:space="preserve"> was one based upon trust and confidence.  It is suff</w:t>
      </w:r>
      <w:r w:rsidR="000844F7" w:rsidRPr="000844F7">
        <w:rPr>
          <w:i/>
          <w:sz w:val="22"/>
          <w:szCs w:val="22"/>
        </w:rPr>
        <w:t xml:space="preserve">icient that in dismissing </w:t>
      </w:r>
      <w:proofErr w:type="spellStart"/>
      <w:r w:rsidR="000844F7" w:rsidRPr="000844F7">
        <w:rPr>
          <w:i/>
          <w:sz w:val="22"/>
          <w:szCs w:val="22"/>
        </w:rPr>
        <w:t>Chapu</w:t>
      </w:r>
      <w:r w:rsidRPr="000844F7">
        <w:rPr>
          <w:i/>
          <w:sz w:val="22"/>
          <w:szCs w:val="22"/>
        </w:rPr>
        <w:t>ka</w:t>
      </w:r>
      <w:proofErr w:type="spellEnd"/>
      <w:r w:rsidRPr="000844F7">
        <w:rPr>
          <w:i/>
          <w:sz w:val="22"/>
          <w:szCs w:val="22"/>
        </w:rPr>
        <w:t xml:space="preserve"> from employment Standard Chartered felt that as a result of his own acts of misconduct it could not continue in future to repose in him the trust and confidence that he would perform his duties as a senior member of staff with a high degree of </w:t>
      </w:r>
      <w:r w:rsidR="00E155DB" w:rsidRPr="000844F7">
        <w:rPr>
          <w:i/>
          <w:sz w:val="22"/>
          <w:szCs w:val="22"/>
        </w:rPr>
        <w:t xml:space="preserve">honesty.  It was also sufficient that any reasonable employer in the position of Standard Chartered would on the facts have dismissed </w:t>
      </w:r>
      <w:proofErr w:type="spellStart"/>
      <w:r w:rsidR="00E155DB" w:rsidRPr="000844F7">
        <w:rPr>
          <w:i/>
          <w:sz w:val="22"/>
          <w:szCs w:val="22"/>
        </w:rPr>
        <w:t>Chapuka</w:t>
      </w:r>
      <w:proofErr w:type="spellEnd"/>
      <w:r w:rsidR="00E155DB" w:rsidRPr="000844F7">
        <w:rPr>
          <w:i/>
          <w:sz w:val="22"/>
          <w:szCs w:val="22"/>
        </w:rPr>
        <w:t xml:space="preserve"> for what he did.”</w:t>
      </w:r>
    </w:p>
    <w:p w:rsidR="00E155DB" w:rsidRDefault="00E155DB" w:rsidP="00A82F55">
      <w:pPr>
        <w:spacing w:line="276" w:lineRule="auto"/>
        <w:ind w:firstLine="720"/>
        <w:jc w:val="both"/>
      </w:pPr>
    </w:p>
    <w:p w:rsidR="00E155DB" w:rsidRDefault="00E155DB" w:rsidP="00D47D1C">
      <w:pPr>
        <w:spacing w:line="360" w:lineRule="auto"/>
        <w:ind w:firstLine="720"/>
        <w:jc w:val="both"/>
      </w:pPr>
      <w:r>
        <w:t xml:space="preserve">Considering the fundamental breach of his contract of employment and conditions of service when he operated Big Eye Trading without Respondent’s knowledge, it can be similarly stated that Respondent could not continue to repose in Appellant the trust and confidence that he would perform his duties with the </w:t>
      </w:r>
      <w:r w:rsidR="00F331C9">
        <w:t>high degree</w:t>
      </w:r>
      <w:r>
        <w:t xml:space="preserve"> of honesty </w:t>
      </w:r>
      <w:r w:rsidR="000844F7">
        <w:t>expected</w:t>
      </w:r>
      <w:r>
        <w:t xml:space="preserve"> </w:t>
      </w:r>
      <w:r w:rsidR="000844F7">
        <w:t>of</w:t>
      </w:r>
      <w:r>
        <w:t xml:space="preserve"> a senior employee in his position.  There is no basis on which to fault the Disciplinary Committee’s decision dismissing Appellant from employment.</w:t>
      </w:r>
    </w:p>
    <w:p w:rsidR="00E155DB" w:rsidRDefault="00E155DB" w:rsidP="00E96180">
      <w:pPr>
        <w:spacing w:line="360" w:lineRule="auto"/>
        <w:ind w:firstLine="720"/>
        <w:jc w:val="both"/>
      </w:pPr>
    </w:p>
    <w:p w:rsidR="00E155DB" w:rsidRDefault="00E155DB" w:rsidP="00E96180">
      <w:pPr>
        <w:spacing w:line="360" w:lineRule="auto"/>
        <w:ind w:firstLine="720"/>
        <w:jc w:val="both"/>
      </w:pPr>
      <w:r>
        <w:t>The appeal fails both on the question of liability and penalty.  Accordingly, it is ordered that;</w:t>
      </w:r>
    </w:p>
    <w:p w:rsidR="00E155DB" w:rsidRDefault="00E155DB" w:rsidP="00A82F55">
      <w:pPr>
        <w:spacing w:line="276" w:lineRule="auto"/>
        <w:ind w:firstLine="720"/>
        <w:jc w:val="both"/>
      </w:pPr>
    </w:p>
    <w:p w:rsidR="00A82F55" w:rsidRDefault="00E155DB" w:rsidP="00D47D1C">
      <w:pPr>
        <w:pStyle w:val="ListParagraph"/>
        <w:numPr>
          <w:ilvl w:val="0"/>
          <w:numId w:val="2"/>
        </w:numPr>
        <w:spacing w:line="360" w:lineRule="auto"/>
        <w:jc w:val="both"/>
        <w:outlineLvl w:val="0"/>
      </w:pPr>
      <w:r>
        <w:lastRenderedPageBreak/>
        <w:t xml:space="preserve">The appeal be and is hereby dismissed </w:t>
      </w:r>
      <w:r w:rsidR="00A82F55">
        <w:t>in its entirety.</w:t>
      </w:r>
    </w:p>
    <w:p w:rsidR="000844F7" w:rsidRDefault="000844F7" w:rsidP="000844F7">
      <w:pPr>
        <w:pStyle w:val="ListParagraph"/>
        <w:numPr>
          <w:ilvl w:val="0"/>
          <w:numId w:val="2"/>
        </w:numPr>
        <w:spacing w:line="360" w:lineRule="auto"/>
        <w:jc w:val="both"/>
        <w:outlineLvl w:val="0"/>
      </w:pPr>
      <w:r>
        <w:t>Each party shall bear its own costs.</w:t>
      </w:r>
    </w:p>
    <w:p w:rsidR="000844F7" w:rsidRDefault="000844F7" w:rsidP="000844F7">
      <w:pPr>
        <w:spacing w:line="360" w:lineRule="auto"/>
        <w:jc w:val="both"/>
        <w:outlineLvl w:val="0"/>
      </w:pPr>
    </w:p>
    <w:p w:rsidR="000844F7" w:rsidRDefault="000844F7" w:rsidP="000844F7">
      <w:pPr>
        <w:spacing w:line="360" w:lineRule="auto"/>
        <w:jc w:val="both"/>
        <w:outlineLvl w:val="0"/>
      </w:pPr>
    </w:p>
    <w:p w:rsidR="00D47D1C" w:rsidRDefault="00D47D1C" w:rsidP="00F331C9">
      <w:pPr>
        <w:jc w:val="both"/>
        <w:outlineLvl w:val="0"/>
      </w:pPr>
    </w:p>
    <w:p w:rsidR="000844F7" w:rsidRDefault="000844F7" w:rsidP="00F331C9">
      <w:pPr>
        <w:jc w:val="both"/>
        <w:outlineLvl w:val="0"/>
      </w:pPr>
      <w:r>
        <w:t>………………………………………………………..</w:t>
      </w:r>
    </w:p>
    <w:p w:rsidR="000844F7" w:rsidRDefault="000844F7" w:rsidP="00F331C9">
      <w:pPr>
        <w:jc w:val="both"/>
        <w:outlineLvl w:val="0"/>
      </w:pPr>
      <w:proofErr w:type="spellStart"/>
      <w:r>
        <w:t>Manyangadze</w:t>
      </w:r>
      <w:proofErr w:type="spellEnd"/>
      <w:r>
        <w:t xml:space="preserve"> J</w:t>
      </w:r>
    </w:p>
    <w:p w:rsidR="000844F7" w:rsidRDefault="000844F7" w:rsidP="00F331C9">
      <w:pPr>
        <w:jc w:val="both"/>
        <w:outlineLvl w:val="0"/>
      </w:pPr>
    </w:p>
    <w:p w:rsidR="000844F7" w:rsidRDefault="000844F7" w:rsidP="00F331C9">
      <w:pPr>
        <w:jc w:val="both"/>
        <w:outlineLvl w:val="0"/>
      </w:pPr>
      <w:r>
        <w:t>………………………………………………………..</w:t>
      </w:r>
    </w:p>
    <w:p w:rsidR="000844F7" w:rsidRDefault="000844F7" w:rsidP="00F331C9">
      <w:pPr>
        <w:jc w:val="both"/>
        <w:outlineLvl w:val="0"/>
      </w:pPr>
      <w:r>
        <w:t>Hove J</w:t>
      </w:r>
      <w:r w:rsidR="00F331C9">
        <w:t>:   I agree</w:t>
      </w:r>
    </w:p>
    <w:p w:rsidR="00E155DB" w:rsidRDefault="00E155DB" w:rsidP="00A82F55">
      <w:pPr>
        <w:spacing w:line="360" w:lineRule="auto"/>
        <w:jc w:val="both"/>
      </w:pPr>
      <w:r>
        <w:t xml:space="preserve">  </w:t>
      </w:r>
    </w:p>
    <w:p w:rsidR="00A95BC4" w:rsidRDefault="00A95BC4" w:rsidP="00C66390">
      <w:pPr>
        <w:spacing w:line="360" w:lineRule="auto"/>
        <w:jc w:val="both"/>
      </w:pPr>
    </w:p>
    <w:p w:rsidR="00A95BC4" w:rsidRDefault="00A95BC4" w:rsidP="00C66390">
      <w:pPr>
        <w:spacing w:line="360" w:lineRule="auto"/>
        <w:jc w:val="both"/>
      </w:pPr>
    </w:p>
    <w:p w:rsidR="00A82F55" w:rsidRDefault="00A82F55" w:rsidP="00C66390">
      <w:pPr>
        <w:spacing w:line="360" w:lineRule="auto"/>
        <w:jc w:val="both"/>
      </w:pPr>
    </w:p>
    <w:p w:rsidR="00A82F55" w:rsidRDefault="00A82F55" w:rsidP="00C66390">
      <w:pPr>
        <w:spacing w:line="360" w:lineRule="auto"/>
        <w:jc w:val="both"/>
      </w:pPr>
    </w:p>
    <w:p w:rsidR="00A82F55" w:rsidRPr="00A82F55" w:rsidRDefault="00A82F55" w:rsidP="00AE052F">
      <w:pPr>
        <w:spacing w:line="360" w:lineRule="auto"/>
        <w:jc w:val="both"/>
        <w:outlineLvl w:val="0"/>
        <w:rPr>
          <w:b/>
          <w:i/>
        </w:rPr>
      </w:pPr>
      <w:r w:rsidRPr="00A82F55">
        <w:rPr>
          <w:b/>
          <w:i/>
        </w:rPr>
        <w:t>DZIMBA JARAVAZA &amp; ASSOCIATES, Appellant’s legal practitioners</w:t>
      </w:r>
    </w:p>
    <w:p w:rsidR="00A82F55" w:rsidRPr="00A82F55" w:rsidRDefault="00A82F55" w:rsidP="00AE052F">
      <w:pPr>
        <w:spacing w:line="360" w:lineRule="auto"/>
        <w:jc w:val="both"/>
        <w:outlineLvl w:val="0"/>
        <w:rPr>
          <w:b/>
          <w:i/>
        </w:rPr>
      </w:pPr>
      <w:r w:rsidRPr="00A82F55">
        <w:rPr>
          <w:b/>
          <w:i/>
        </w:rPr>
        <w:t>DUBE, MANIKAI &amp; HWACHA, Respondent’s legal practitioners</w:t>
      </w:r>
    </w:p>
    <w:p w:rsidR="00A82F55" w:rsidRPr="00A82F55" w:rsidRDefault="00A82F55" w:rsidP="00C66390">
      <w:pPr>
        <w:spacing w:line="360" w:lineRule="auto"/>
        <w:jc w:val="both"/>
        <w:rPr>
          <w:b/>
          <w:i/>
        </w:rPr>
      </w:pPr>
    </w:p>
    <w:sectPr w:rsidR="00A82F55" w:rsidRPr="00A82F55" w:rsidSect="0007474A">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221" w:rsidRDefault="00A86221" w:rsidP="0007474A">
      <w:r>
        <w:separator/>
      </w:r>
    </w:p>
  </w:endnote>
  <w:endnote w:type="continuationSeparator" w:id="0">
    <w:p w:rsidR="00A86221" w:rsidRDefault="00A86221" w:rsidP="00074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3047"/>
      <w:docPartObj>
        <w:docPartGallery w:val="Page Numbers (Bottom of Page)"/>
        <w:docPartUnique/>
      </w:docPartObj>
    </w:sdtPr>
    <w:sdtEndPr/>
    <w:sdtContent>
      <w:p w:rsidR="00644FEC" w:rsidRDefault="00A86221">
        <w:pPr>
          <w:pStyle w:val="Footer"/>
          <w:jc w:val="center"/>
        </w:pPr>
        <w:r>
          <w:fldChar w:fldCharType="begin"/>
        </w:r>
        <w:r>
          <w:instrText xml:space="preserve"> PAGE   \* MERGEFORMAT </w:instrText>
        </w:r>
        <w:r>
          <w:fldChar w:fldCharType="separate"/>
        </w:r>
        <w:r w:rsidR="002D5320">
          <w:rPr>
            <w:noProof/>
          </w:rPr>
          <w:t>11</w:t>
        </w:r>
        <w:r>
          <w:rPr>
            <w:noProof/>
          </w:rPr>
          <w:fldChar w:fldCharType="end"/>
        </w:r>
      </w:p>
    </w:sdtContent>
  </w:sdt>
  <w:p w:rsidR="00644FEC" w:rsidRDefault="00644F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221" w:rsidRDefault="00A86221" w:rsidP="0007474A">
      <w:r>
        <w:separator/>
      </w:r>
    </w:p>
  </w:footnote>
  <w:footnote w:type="continuationSeparator" w:id="0">
    <w:p w:rsidR="00A86221" w:rsidRDefault="00A86221" w:rsidP="000747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FEC" w:rsidRPr="0007474A" w:rsidRDefault="00644FEC">
    <w:pPr>
      <w:pStyle w:val="Header"/>
      <w:rPr>
        <w:lang w:val="en-ZW"/>
      </w:rPr>
    </w:pPr>
    <w:r>
      <w:rPr>
        <w:lang w:val="en-ZW"/>
      </w:rPr>
      <w:tab/>
    </w:r>
    <w:r>
      <w:rPr>
        <w:lang w:val="en-ZW"/>
      </w:rPr>
      <w:tab/>
      <w:t>JUDGMENT NO. LC/H/</w:t>
    </w:r>
    <w:r w:rsidR="00652A92">
      <w:rPr>
        <w:lang w:val="en-ZW"/>
      </w:rPr>
      <w:t>383</w:t>
    </w:r>
    <w:r>
      <w:rPr>
        <w:lang w:val="en-ZW"/>
      </w:rP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DA545D"/>
    <w:multiLevelType w:val="hybridMultilevel"/>
    <w:tmpl w:val="E4BEEFD2"/>
    <w:lvl w:ilvl="0" w:tplc="CE902518">
      <w:start w:val="1"/>
      <w:numFmt w:val="decimal"/>
      <w:lvlText w:val="%1."/>
      <w:lvlJc w:val="left"/>
      <w:pPr>
        <w:ind w:left="720" w:hanging="360"/>
      </w:pPr>
      <w:rPr>
        <w:rFonts w:ascii="Tahoma" w:eastAsia="Times New Roman" w:hAnsi="Tahoma"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7273423"/>
    <w:multiLevelType w:val="hybridMultilevel"/>
    <w:tmpl w:val="BC28D0FC"/>
    <w:lvl w:ilvl="0" w:tplc="30090001">
      <w:start w:val="1"/>
      <w:numFmt w:val="bullet"/>
      <w:lvlText w:val=""/>
      <w:lvlJc w:val="left"/>
      <w:pPr>
        <w:ind w:left="870" w:hanging="360"/>
      </w:pPr>
      <w:rPr>
        <w:rFonts w:ascii="Symbol" w:hAnsi="Symbol" w:hint="default"/>
      </w:rPr>
    </w:lvl>
    <w:lvl w:ilvl="1" w:tplc="30090003" w:tentative="1">
      <w:start w:val="1"/>
      <w:numFmt w:val="bullet"/>
      <w:lvlText w:val="o"/>
      <w:lvlJc w:val="left"/>
      <w:pPr>
        <w:ind w:left="1590" w:hanging="360"/>
      </w:pPr>
      <w:rPr>
        <w:rFonts w:ascii="Courier New" w:hAnsi="Courier New" w:cs="Courier New" w:hint="default"/>
      </w:rPr>
    </w:lvl>
    <w:lvl w:ilvl="2" w:tplc="30090005" w:tentative="1">
      <w:start w:val="1"/>
      <w:numFmt w:val="bullet"/>
      <w:lvlText w:val=""/>
      <w:lvlJc w:val="left"/>
      <w:pPr>
        <w:ind w:left="2310" w:hanging="360"/>
      </w:pPr>
      <w:rPr>
        <w:rFonts w:ascii="Wingdings" w:hAnsi="Wingdings" w:hint="default"/>
      </w:rPr>
    </w:lvl>
    <w:lvl w:ilvl="3" w:tplc="30090001" w:tentative="1">
      <w:start w:val="1"/>
      <w:numFmt w:val="bullet"/>
      <w:lvlText w:val=""/>
      <w:lvlJc w:val="left"/>
      <w:pPr>
        <w:ind w:left="3030" w:hanging="360"/>
      </w:pPr>
      <w:rPr>
        <w:rFonts w:ascii="Symbol" w:hAnsi="Symbol" w:hint="default"/>
      </w:rPr>
    </w:lvl>
    <w:lvl w:ilvl="4" w:tplc="30090003" w:tentative="1">
      <w:start w:val="1"/>
      <w:numFmt w:val="bullet"/>
      <w:lvlText w:val="o"/>
      <w:lvlJc w:val="left"/>
      <w:pPr>
        <w:ind w:left="3750" w:hanging="360"/>
      </w:pPr>
      <w:rPr>
        <w:rFonts w:ascii="Courier New" w:hAnsi="Courier New" w:cs="Courier New" w:hint="default"/>
      </w:rPr>
    </w:lvl>
    <w:lvl w:ilvl="5" w:tplc="30090005" w:tentative="1">
      <w:start w:val="1"/>
      <w:numFmt w:val="bullet"/>
      <w:lvlText w:val=""/>
      <w:lvlJc w:val="left"/>
      <w:pPr>
        <w:ind w:left="4470" w:hanging="360"/>
      </w:pPr>
      <w:rPr>
        <w:rFonts w:ascii="Wingdings" w:hAnsi="Wingdings" w:hint="default"/>
      </w:rPr>
    </w:lvl>
    <w:lvl w:ilvl="6" w:tplc="30090001" w:tentative="1">
      <w:start w:val="1"/>
      <w:numFmt w:val="bullet"/>
      <w:lvlText w:val=""/>
      <w:lvlJc w:val="left"/>
      <w:pPr>
        <w:ind w:left="5190" w:hanging="360"/>
      </w:pPr>
      <w:rPr>
        <w:rFonts w:ascii="Symbol" w:hAnsi="Symbol" w:hint="default"/>
      </w:rPr>
    </w:lvl>
    <w:lvl w:ilvl="7" w:tplc="30090003" w:tentative="1">
      <w:start w:val="1"/>
      <w:numFmt w:val="bullet"/>
      <w:lvlText w:val="o"/>
      <w:lvlJc w:val="left"/>
      <w:pPr>
        <w:ind w:left="5910" w:hanging="360"/>
      </w:pPr>
      <w:rPr>
        <w:rFonts w:ascii="Courier New" w:hAnsi="Courier New" w:cs="Courier New" w:hint="default"/>
      </w:rPr>
    </w:lvl>
    <w:lvl w:ilvl="8" w:tplc="30090005" w:tentative="1">
      <w:start w:val="1"/>
      <w:numFmt w:val="bullet"/>
      <w:lvlText w:val=""/>
      <w:lvlJc w:val="left"/>
      <w:pPr>
        <w:ind w:left="663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390"/>
    <w:rsid w:val="000379A1"/>
    <w:rsid w:val="000549B8"/>
    <w:rsid w:val="0007474A"/>
    <w:rsid w:val="00075681"/>
    <w:rsid w:val="000844F7"/>
    <w:rsid w:val="0009259B"/>
    <w:rsid w:val="000E0AC4"/>
    <w:rsid w:val="00103032"/>
    <w:rsid w:val="00127A69"/>
    <w:rsid w:val="001B1464"/>
    <w:rsid w:val="00201AB4"/>
    <w:rsid w:val="00226EC6"/>
    <w:rsid w:val="00287F23"/>
    <w:rsid w:val="002A5023"/>
    <w:rsid w:val="002D1659"/>
    <w:rsid w:val="002D5320"/>
    <w:rsid w:val="002E3E05"/>
    <w:rsid w:val="0031733E"/>
    <w:rsid w:val="0033744E"/>
    <w:rsid w:val="00343A24"/>
    <w:rsid w:val="003D2C47"/>
    <w:rsid w:val="004144D4"/>
    <w:rsid w:val="00426953"/>
    <w:rsid w:val="00433BD3"/>
    <w:rsid w:val="004340B6"/>
    <w:rsid w:val="00497B90"/>
    <w:rsid w:val="00512077"/>
    <w:rsid w:val="00553196"/>
    <w:rsid w:val="00577061"/>
    <w:rsid w:val="00632C65"/>
    <w:rsid w:val="00644FEC"/>
    <w:rsid w:val="00652A92"/>
    <w:rsid w:val="00660624"/>
    <w:rsid w:val="0067646D"/>
    <w:rsid w:val="006E3E84"/>
    <w:rsid w:val="007131D8"/>
    <w:rsid w:val="00776A3E"/>
    <w:rsid w:val="007D6B9D"/>
    <w:rsid w:val="008259A2"/>
    <w:rsid w:val="00847CDC"/>
    <w:rsid w:val="008B48E2"/>
    <w:rsid w:val="008E2A01"/>
    <w:rsid w:val="00926D7B"/>
    <w:rsid w:val="00951D3F"/>
    <w:rsid w:val="009D2823"/>
    <w:rsid w:val="009E2BCB"/>
    <w:rsid w:val="00A1324C"/>
    <w:rsid w:val="00A70F22"/>
    <w:rsid w:val="00A82F55"/>
    <w:rsid w:val="00A86221"/>
    <w:rsid w:val="00A95BC4"/>
    <w:rsid w:val="00A96E4B"/>
    <w:rsid w:val="00AE052F"/>
    <w:rsid w:val="00AE6601"/>
    <w:rsid w:val="00AF45F2"/>
    <w:rsid w:val="00B64783"/>
    <w:rsid w:val="00B860F6"/>
    <w:rsid w:val="00BA3B5A"/>
    <w:rsid w:val="00BB4787"/>
    <w:rsid w:val="00BC611C"/>
    <w:rsid w:val="00BE4EE9"/>
    <w:rsid w:val="00BF20BC"/>
    <w:rsid w:val="00C01E8F"/>
    <w:rsid w:val="00C04471"/>
    <w:rsid w:val="00C265DB"/>
    <w:rsid w:val="00C66390"/>
    <w:rsid w:val="00D47D1C"/>
    <w:rsid w:val="00D60438"/>
    <w:rsid w:val="00D86D67"/>
    <w:rsid w:val="00E0452B"/>
    <w:rsid w:val="00E155DB"/>
    <w:rsid w:val="00E47D79"/>
    <w:rsid w:val="00E513C6"/>
    <w:rsid w:val="00E600FD"/>
    <w:rsid w:val="00E7254C"/>
    <w:rsid w:val="00E96180"/>
    <w:rsid w:val="00F331C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390"/>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6390"/>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07474A"/>
    <w:pPr>
      <w:tabs>
        <w:tab w:val="center" w:pos="4513"/>
        <w:tab w:val="right" w:pos="9026"/>
      </w:tabs>
    </w:pPr>
  </w:style>
  <w:style w:type="character" w:customStyle="1" w:styleId="HeaderChar">
    <w:name w:val="Header Char"/>
    <w:basedOn w:val="DefaultParagraphFont"/>
    <w:link w:val="Header"/>
    <w:uiPriority w:val="99"/>
    <w:semiHidden/>
    <w:rsid w:val="0007474A"/>
    <w:rPr>
      <w:rFonts w:ascii="Tahoma" w:eastAsia="Times New Roman" w:hAnsi="Tahoma" w:cs="Times New Roman"/>
      <w:sz w:val="24"/>
      <w:szCs w:val="24"/>
      <w:lang w:val="en-US"/>
    </w:rPr>
  </w:style>
  <w:style w:type="paragraph" w:styleId="Footer">
    <w:name w:val="footer"/>
    <w:basedOn w:val="Normal"/>
    <w:link w:val="FooterChar"/>
    <w:uiPriority w:val="99"/>
    <w:unhideWhenUsed/>
    <w:rsid w:val="0007474A"/>
    <w:pPr>
      <w:tabs>
        <w:tab w:val="center" w:pos="4513"/>
        <w:tab w:val="right" w:pos="9026"/>
      </w:tabs>
    </w:pPr>
  </w:style>
  <w:style w:type="character" w:customStyle="1" w:styleId="FooterChar">
    <w:name w:val="Footer Char"/>
    <w:basedOn w:val="DefaultParagraphFont"/>
    <w:link w:val="Footer"/>
    <w:uiPriority w:val="99"/>
    <w:rsid w:val="0007474A"/>
    <w:rPr>
      <w:rFonts w:ascii="Tahoma" w:eastAsia="Times New Roman" w:hAnsi="Tahoma" w:cs="Times New Roman"/>
      <w:sz w:val="24"/>
      <w:szCs w:val="24"/>
      <w:lang w:val="en-US"/>
    </w:rPr>
  </w:style>
  <w:style w:type="paragraph" w:styleId="ListParagraph">
    <w:name w:val="List Paragraph"/>
    <w:basedOn w:val="Normal"/>
    <w:uiPriority w:val="34"/>
    <w:qFormat/>
    <w:rsid w:val="00D604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390"/>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6390"/>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07474A"/>
    <w:pPr>
      <w:tabs>
        <w:tab w:val="center" w:pos="4513"/>
        <w:tab w:val="right" w:pos="9026"/>
      </w:tabs>
    </w:pPr>
  </w:style>
  <w:style w:type="character" w:customStyle="1" w:styleId="HeaderChar">
    <w:name w:val="Header Char"/>
    <w:basedOn w:val="DefaultParagraphFont"/>
    <w:link w:val="Header"/>
    <w:uiPriority w:val="99"/>
    <w:semiHidden/>
    <w:rsid w:val="0007474A"/>
    <w:rPr>
      <w:rFonts w:ascii="Tahoma" w:eastAsia="Times New Roman" w:hAnsi="Tahoma" w:cs="Times New Roman"/>
      <w:sz w:val="24"/>
      <w:szCs w:val="24"/>
      <w:lang w:val="en-US"/>
    </w:rPr>
  </w:style>
  <w:style w:type="paragraph" w:styleId="Footer">
    <w:name w:val="footer"/>
    <w:basedOn w:val="Normal"/>
    <w:link w:val="FooterChar"/>
    <w:uiPriority w:val="99"/>
    <w:unhideWhenUsed/>
    <w:rsid w:val="0007474A"/>
    <w:pPr>
      <w:tabs>
        <w:tab w:val="center" w:pos="4513"/>
        <w:tab w:val="right" w:pos="9026"/>
      </w:tabs>
    </w:pPr>
  </w:style>
  <w:style w:type="character" w:customStyle="1" w:styleId="FooterChar">
    <w:name w:val="Footer Char"/>
    <w:basedOn w:val="DefaultParagraphFont"/>
    <w:link w:val="Footer"/>
    <w:uiPriority w:val="99"/>
    <w:rsid w:val="0007474A"/>
    <w:rPr>
      <w:rFonts w:ascii="Tahoma" w:eastAsia="Times New Roman" w:hAnsi="Tahoma" w:cs="Times New Roman"/>
      <w:sz w:val="24"/>
      <w:szCs w:val="24"/>
      <w:lang w:val="en-US"/>
    </w:rPr>
  </w:style>
  <w:style w:type="paragraph" w:styleId="ListParagraph">
    <w:name w:val="List Paragraph"/>
    <w:basedOn w:val="Normal"/>
    <w:uiPriority w:val="34"/>
    <w:qFormat/>
    <w:rsid w:val="00D604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772FE-C052-4F62-835F-A866FACC2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2966</Words>
  <Characters>16911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cp:lastPrinted>2014-06-19T12:28:00Z</cp:lastPrinted>
  <dcterms:created xsi:type="dcterms:W3CDTF">2017-04-06T08:14:00Z</dcterms:created>
  <dcterms:modified xsi:type="dcterms:W3CDTF">2017-04-06T08:14:00Z</dcterms:modified>
</cp:coreProperties>
</file>