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0216A" w14:textId="77777777" w:rsidR="009D168D" w:rsidRDefault="00000000">
      <w:pPr>
        <w:pStyle w:val="Heading1"/>
        <w:spacing w:before="82" w:line="360" w:lineRule="auto"/>
        <w:ind w:right="861"/>
      </w:pPr>
      <w:r>
        <w:t>THE</w:t>
      </w:r>
      <w:r>
        <w:rPr>
          <w:spacing w:val="-2"/>
        </w:rPr>
        <w:t xml:space="preserve"> </w:t>
      </w:r>
      <w:r>
        <w:t>LABOUR</w:t>
      </w:r>
      <w:r>
        <w:rPr>
          <w:spacing w:val="-2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ZIMBABWE</w:t>
      </w:r>
      <w:r>
        <w:rPr>
          <w:spacing w:val="-67"/>
        </w:rPr>
        <w:t xml:space="preserve"> </w:t>
      </w:r>
      <w:r>
        <w:t>HARARE,</w:t>
      </w:r>
      <w:r>
        <w:rPr>
          <w:spacing w:val="-3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SEPTEMBER,</w:t>
      </w:r>
      <w:r>
        <w:rPr>
          <w:spacing w:val="-3"/>
        </w:rPr>
        <w:t xml:space="preserve"> </w:t>
      </w:r>
      <w:r>
        <w:t>2023</w:t>
      </w:r>
    </w:p>
    <w:p w14:paraId="7BDEBF7D" w14:textId="77777777" w:rsidR="009D168D" w:rsidRDefault="00000000">
      <w:pPr>
        <w:spacing w:line="289" w:lineRule="exact"/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AND</w:t>
      </w:r>
      <w:r>
        <w:rPr>
          <w:rFonts w:ascii="Tahoma"/>
          <w:b/>
          <w:spacing w:val="-1"/>
          <w:sz w:val="24"/>
        </w:rPr>
        <w:t xml:space="preserve"> </w:t>
      </w:r>
      <w:r>
        <w:rPr>
          <w:rFonts w:ascii="Tahoma"/>
          <w:b/>
          <w:sz w:val="24"/>
        </w:rPr>
        <w:t>03</w:t>
      </w:r>
      <w:r>
        <w:rPr>
          <w:rFonts w:ascii="Tahoma"/>
          <w:b/>
          <w:spacing w:val="-1"/>
          <w:sz w:val="24"/>
        </w:rPr>
        <w:t xml:space="preserve"> </w:t>
      </w:r>
      <w:r>
        <w:rPr>
          <w:rFonts w:ascii="Tahoma"/>
          <w:b/>
          <w:sz w:val="24"/>
        </w:rPr>
        <w:t>OCTOBER,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2023</w:t>
      </w:r>
    </w:p>
    <w:p w14:paraId="2B65127A" w14:textId="77777777" w:rsidR="009D168D" w:rsidRDefault="009D168D">
      <w:pPr>
        <w:pStyle w:val="BodyText"/>
        <w:rPr>
          <w:rFonts w:ascii="Tahoma"/>
          <w:b/>
          <w:sz w:val="28"/>
        </w:rPr>
      </w:pPr>
    </w:p>
    <w:p w14:paraId="5F8293BB" w14:textId="77777777" w:rsidR="009D168D" w:rsidRDefault="00000000">
      <w:pPr>
        <w:spacing w:before="241"/>
        <w:ind w:left="100"/>
        <w:rPr>
          <w:rFonts w:ascii="Tahoma"/>
          <w:sz w:val="24"/>
        </w:rPr>
      </w:pPr>
      <w:r>
        <w:rPr>
          <w:rFonts w:ascii="Tahoma"/>
          <w:sz w:val="24"/>
        </w:rPr>
        <w:t>In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the</w:t>
      </w:r>
      <w:r>
        <w:rPr>
          <w:rFonts w:ascii="Tahoma"/>
          <w:spacing w:val="-1"/>
          <w:sz w:val="24"/>
        </w:rPr>
        <w:t xml:space="preserve"> </w:t>
      </w:r>
      <w:r>
        <w:rPr>
          <w:rFonts w:ascii="Tahoma"/>
          <w:sz w:val="24"/>
        </w:rPr>
        <w:t>matter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between:-</w:t>
      </w:r>
    </w:p>
    <w:p w14:paraId="2F6A5CBA" w14:textId="77777777" w:rsidR="009D168D" w:rsidRDefault="009D168D">
      <w:pPr>
        <w:pStyle w:val="BodyText"/>
        <w:rPr>
          <w:rFonts w:ascii="Tahoma"/>
          <w:sz w:val="28"/>
        </w:rPr>
      </w:pPr>
    </w:p>
    <w:p w14:paraId="1E7425B6" w14:textId="77777777" w:rsidR="009D168D" w:rsidRDefault="00000000">
      <w:pPr>
        <w:pStyle w:val="Heading1"/>
        <w:spacing w:before="241"/>
      </w:pPr>
      <w:r>
        <w:t>Ismael</w:t>
      </w:r>
      <w:r>
        <w:rPr>
          <w:spacing w:val="-5"/>
        </w:rPr>
        <w:t xml:space="preserve"> </w:t>
      </w:r>
      <w:r>
        <w:t>Makuzha</w:t>
      </w:r>
    </w:p>
    <w:p w14:paraId="68D77E4C" w14:textId="77777777" w:rsidR="009D168D" w:rsidRDefault="009D168D">
      <w:pPr>
        <w:pStyle w:val="BodyText"/>
        <w:rPr>
          <w:rFonts w:ascii="Tahoma"/>
          <w:b/>
          <w:sz w:val="24"/>
        </w:rPr>
      </w:pPr>
    </w:p>
    <w:p w14:paraId="2E1518E1" w14:textId="77777777" w:rsidR="009D168D" w:rsidRDefault="00000000">
      <w:pPr>
        <w:ind w:left="100"/>
        <w:rPr>
          <w:rFonts w:ascii="Tahoma"/>
          <w:sz w:val="24"/>
        </w:rPr>
      </w:pPr>
      <w:r>
        <w:rPr>
          <w:rFonts w:ascii="Tahoma"/>
          <w:sz w:val="24"/>
        </w:rPr>
        <w:t>Versus</w:t>
      </w:r>
    </w:p>
    <w:p w14:paraId="7A683F75" w14:textId="77777777" w:rsidR="009D168D" w:rsidRDefault="009D168D">
      <w:pPr>
        <w:pStyle w:val="BodyText"/>
        <w:spacing w:before="1"/>
        <w:rPr>
          <w:rFonts w:ascii="Tahoma"/>
          <w:sz w:val="24"/>
        </w:rPr>
      </w:pPr>
    </w:p>
    <w:p w14:paraId="0C5775E6" w14:textId="77777777" w:rsidR="009D168D" w:rsidRDefault="00000000">
      <w:pPr>
        <w:ind w:left="100"/>
        <w:rPr>
          <w:rFonts w:ascii="Tahoma"/>
          <w:b/>
          <w:sz w:val="24"/>
        </w:rPr>
      </w:pPr>
      <w:r>
        <w:rPr>
          <w:rFonts w:ascii="Tahoma"/>
          <w:b/>
        </w:rPr>
        <w:t xml:space="preserve">Zimbabwe </w:t>
      </w:r>
      <w:r>
        <w:rPr>
          <w:rFonts w:ascii="Tahoma"/>
          <w:b/>
          <w:sz w:val="24"/>
        </w:rPr>
        <w:t>Consolidated</w:t>
      </w:r>
      <w:r>
        <w:rPr>
          <w:rFonts w:ascii="Tahoma"/>
          <w:b/>
          <w:spacing w:val="-5"/>
          <w:sz w:val="24"/>
        </w:rPr>
        <w:t xml:space="preserve"> </w:t>
      </w:r>
      <w:r>
        <w:rPr>
          <w:rFonts w:ascii="Tahoma"/>
          <w:b/>
          <w:sz w:val="24"/>
        </w:rPr>
        <w:t>Diamond</w:t>
      </w:r>
      <w:r>
        <w:rPr>
          <w:rFonts w:ascii="Tahoma"/>
          <w:b/>
          <w:spacing w:val="-7"/>
          <w:sz w:val="24"/>
        </w:rPr>
        <w:t xml:space="preserve"> </w:t>
      </w:r>
      <w:r>
        <w:rPr>
          <w:rFonts w:ascii="Tahoma"/>
          <w:b/>
          <w:sz w:val="24"/>
        </w:rPr>
        <w:t>Company</w:t>
      </w:r>
    </w:p>
    <w:p w14:paraId="1252BEEA" w14:textId="77777777" w:rsidR="009D168D" w:rsidRDefault="009D168D">
      <w:pPr>
        <w:pStyle w:val="BodyText"/>
        <w:rPr>
          <w:rFonts w:ascii="Tahoma"/>
          <w:b/>
          <w:sz w:val="28"/>
        </w:rPr>
      </w:pPr>
    </w:p>
    <w:p w14:paraId="0B72DFFE" w14:textId="77777777" w:rsidR="009D168D" w:rsidRDefault="009D168D">
      <w:pPr>
        <w:pStyle w:val="BodyText"/>
        <w:rPr>
          <w:rFonts w:ascii="Tahoma"/>
          <w:b/>
          <w:sz w:val="28"/>
        </w:rPr>
      </w:pPr>
    </w:p>
    <w:p w14:paraId="5107C39A" w14:textId="77777777" w:rsidR="009D168D" w:rsidRDefault="009D168D">
      <w:pPr>
        <w:pStyle w:val="BodyText"/>
        <w:spacing w:before="4"/>
        <w:rPr>
          <w:rFonts w:ascii="Tahoma"/>
          <w:b/>
          <w:sz w:val="30"/>
        </w:rPr>
      </w:pPr>
    </w:p>
    <w:p w14:paraId="31E7CADB" w14:textId="77777777" w:rsidR="009D168D" w:rsidRDefault="00000000">
      <w:pPr>
        <w:pStyle w:val="Heading1"/>
      </w:pPr>
      <w: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Honourable</w:t>
      </w:r>
      <w:r>
        <w:rPr>
          <w:spacing w:val="-5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Hove,</w:t>
      </w:r>
      <w:r>
        <w:rPr>
          <w:spacing w:val="-3"/>
        </w:rPr>
        <w:t xml:space="preserve"> </w:t>
      </w:r>
      <w:r>
        <w:t>Judge:</w:t>
      </w:r>
    </w:p>
    <w:p w14:paraId="245DFA38" w14:textId="77777777" w:rsidR="009D168D" w:rsidRDefault="009D168D">
      <w:pPr>
        <w:pStyle w:val="BodyText"/>
        <w:spacing w:before="8"/>
        <w:rPr>
          <w:rFonts w:ascii="Tahoma"/>
          <w:b/>
          <w:sz w:val="39"/>
        </w:rPr>
      </w:pPr>
    </w:p>
    <w:p w14:paraId="4454F4D6" w14:textId="77777777" w:rsidR="009D168D" w:rsidRDefault="00000000">
      <w:pPr>
        <w:tabs>
          <w:tab w:val="left" w:pos="2009"/>
        </w:tabs>
        <w:ind w:left="100"/>
        <w:rPr>
          <w:rFonts w:ascii="Tahoma"/>
          <w:sz w:val="24"/>
        </w:rPr>
      </w:pPr>
      <w:r>
        <w:rPr>
          <w:rFonts w:ascii="Tahoma"/>
          <w:sz w:val="24"/>
        </w:rPr>
        <w:t>For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Applicant</w:t>
      </w:r>
      <w:r>
        <w:rPr>
          <w:rFonts w:ascii="Tahoma"/>
          <w:sz w:val="24"/>
        </w:rPr>
        <w:tab/>
        <w:t>:</w:t>
      </w:r>
      <w:r>
        <w:rPr>
          <w:rFonts w:ascii="Tahoma"/>
          <w:spacing w:val="73"/>
          <w:sz w:val="24"/>
        </w:rPr>
        <w:t xml:space="preserve"> </w:t>
      </w:r>
      <w:r>
        <w:rPr>
          <w:rFonts w:ascii="Tahoma"/>
          <w:sz w:val="24"/>
        </w:rPr>
        <w:t>A.T.Nhidza</w:t>
      </w:r>
    </w:p>
    <w:p w14:paraId="0A417BF4" w14:textId="77777777" w:rsidR="009D168D" w:rsidRDefault="00000000">
      <w:pPr>
        <w:tabs>
          <w:tab w:val="left" w:pos="1992"/>
        </w:tabs>
        <w:spacing w:before="144"/>
        <w:ind w:left="100"/>
        <w:rPr>
          <w:rFonts w:ascii="Tahoma"/>
          <w:sz w:val="24"/>
        </w:rPr>
      </w:pPr>
      <w:r>
        <w:rPr>
          <w:rFonts w:ascii="Tahoma"/>
          <w:sz w:val="24"/>
        </w:rPr>
        <w:t>For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Respondent</w:t>
      </w:r>
      <w:r>
        <w:rPr>
          <w:rFonts w:ascii="Tahoma"/>
          <w:sz w:val="24"/>
        </w:rPr>
        <w:tab/>
        <w:t>:</w:t>
      </w:r>
      <w:r>
        <w:rPr>
          <w:rFonts w:ascii="Tahoma"/>
          <w:spacing w:val="72"/>
          <w:sz w:val="24"/>
        </w:rPr>
        <w:t xml:space="preserve"> </w:t>
      </w:r>
      <w:r>
        <w:rPr>
          <w:rFonts w:ascii="Tahoma"/>
          <w:sz w:val="24"/>
        </w:rPr>
        <w:t>Miss</w:t>
      </w:r>
      <w:r>
        <w:rPr>
          <w:rFonts w:ascii="Tahoma"/>
          <w:spacing w:val="-1"/>
          <w:sz w:val="24"/>
        </w:rPr>
        <w:t xml:space="preserve"> </w:t>
      </w:r>
      <w:r>
        <w:rPr>
          <w:rFonts w:ascii="Tahoma"/>
          <w:sz w:val="24"/>
        </w:rPr>
        <w:t>R.R.Mutindindi</w:t>
      </w:r>
    </w:p>
    <w:p w14:paraId="0D3CFAB0" w14:textId="77777777" w:rsidR="009D168D" w:rsidRDefault="009D168D">
      <w:pPr>
        <w:pStyle w:val="BodyText"/>
        <w:rPr>
          <w:rFonts w:ascii="Tahoma"/>
          <w:sz w:val="28"/>
        </w:rPr>
      </w:pPr>
    </w:p>
    <w:p w14:paraId="7769EA81" w14:textId="77777777" w:rsidR="009D168D" w:rsidRDefault="00000000">
      <w:pPr>
        <w:pStyle w:val="Heading1"/>
        <w:spacing w:before="242"/>
      </w:pPr>
      <w:r>
        <w:t>HOVE</w:t>
      </w:r>
      <w:r>
        <w:rPr>
          <w:spacing w:val="-3"/>
        </w:rPr>
        <w:t xml:space="preserve"> </w:t>
      </w:r>
      <w:r>
        <w:t>J:</w:t>
      </w:r>
    </w:p>
    <w:p w14:paraId="35565C63" w14:textId="77777777" w:rsidR="009D168D" w:rsidRDefault="00000000">
      <w:pPr>
        <w:spacing w:before="80" w:line="360" w:lineRule="auto"/>
        <w:ind w:left="100" w:firstLine="88"/>
        <w:rPr>
          <w:rFonts w:ascii="Tahoma"/>
          <w:b/>
          <w:sz w:val="24"/>
        </w:rPr>
      </w:pPr>
      <w:r>
        <w:br w:type="column"/>
      </w:r>
      <w:r>
        <w:rPr>
          <w:rFonts w:ascii="Tahoma"/>
          <w:b/>
          <w:sz w:val="24"/>
        </w:rPr>
        <w:t>JUDGMENT</w:t>
      </w:r>
      <w:r>
        <w:rPr>
          <w:rFonts w:ascii="Tahoma"/>
          <w:b/>
          <w:spacing w:val="-15"/>
          <w:sz w:val="24"/>
        </w:rPr>
        <w:t xml:space="preserve"> </w:t>
      </w:r>
      <w:r>
        <w:rPr>
          <w:rFonts w:ascii="Tahoma"/>
          <w:b/>
          <w:sz w:val="24"/>
        </w:rPr>
        <w:t>NO.</w:t>
      </w:r>
      <w:r>
        <w:rPr>
          <w:rFonts w:ascii="Tahoma"/>
          <w:b/>
          <w:spacing w:val="-14"/>
          <w:sz w:val="24"/>
        </w:rPr>
        <w:t xml:space="preserve"> </w:t>
      </w:r>
      <w:r>
        <w:rPr>
          <w:rFonts w:ascii="Tahoma"/>
          <w:b/>
          <w:sz w:val="24"/>
        </w:rPr>
        <w:t>LC/H/292/23</w:t>
      </w:r>
      <w:r>
        <w:rPr>
          <w:rFonts w:ascii="Tahoma"/>
          <w:b/>
          <w:spacing w:val="-68"/>
          <w:sz w:val="24"/>
        </w:rPr>
        <w:t xml:space="preserve"> </w:t>
      </w:r>
      <w:r>
        <w:rPr>
          <w:rFonts w:ascii="Tahoma"/>
          <w:b/>
          <w:sz w:val="24"/>
        </w:rPr>
        <w:t>CASE</w:t>
      </w:r>
      <w:r>
        <w:rPr>
          <w:rFonts w:ascii="Tahoma"/>
          <w:b/>
          <w:spacing w:val="-1"/>
          <w:sz w:val="24"/>
        </w:rPr>
        <w:t xml:space="preserve"> </w:t>
      </w:r>
      <w:r>
        <w:rPr>
          <w:rFonts w:ascii="Tahoma"/>
          <w:b/>
          <w:sz w:val="24"/>
        </w:rPr>
        <w:t>NO.</w:t>
      </w:r>
      <w:r>
        <w:rPr>
          <w:rFonts w:ascii="Tahoma"/>
          <w:b/>
          <w:spacing w:val="-1"/>
          <w:sz w:val="24"/>
        </w:rPr>
        <w:t xml:space="preserve"> </w:t>
      </w:r>
      <w:r>
        <w:rPr>
          <w:rFonts w:ascii="Tahoma"/>
          <w:b/>
          <w:sz w:val="24"/>
        </w:rPr>
        <w:t>LC/H/453/23</w:t>
      </w:r>
    </w:p>
    <w:p w14:paraId="4D230FD1" w14:textId="77777777" w:rsidR="009D168D" w:rsidRDefault="009D168D">
      <w:pPr>
        <w:pStyle w:val="BodyText"/>
        <w:rPr>
          <w:rFonts w:ascii="Tahoma"/>
          <w:b/>
          <w:sz w:val="28"/>
        </w:rPr>
      </w:pPr>
    </w:p>
    <w:p w14:paraId="55229433" w14:textId="77777777" w:rsidR="009D168D" w:rsidRDefault="009D168D">
      <w:pPr>
        <w:pStyle w:val="BodyText"/>
        <w:rPr>
          <w:rFonts w:ascii="Tahoma"/>
          <w:b/>
          <w:sz w:val="28"/>
        </w:rPr>
      </w:pPr>
    </w:p>
    <w:p w14:paraId="2A9C491D" w14:textId="77777777" w:rsidR="009D168D" w:rsidRDefault="009D168D">
      <w:pPr>
        <w:pStyle w:val="BodyText"/>
        <w:rPr>
          <w:rFonts w:ascii="Tahoma"/>
          <w:b/>
          <w:sz w:val="28"/>
        </w:rPr>
      </w:pPr>
    </w:p>
    <w:p w14:paraId="48AD962E" w14:textId="77777777" w:rsidR="009D168D" w:rsidRDefault="009D168D">
      <w:pPr>
        <w:pStyle w:val="BodyText"/>
        <w:rPr>
          <w:rFonts w:ascii="Tahoma"/>
          <w:b/>
          <w:sz w:val="28"/>
        </w:rPr>
      </w:pPr>
    </w:p>
    <w:p w14:paraId="466748D7" w14:textId="77777777" w:rsidR="009D168D" w:rsidRDefault="009D168D">
      <w:pPr>
        <w:pStyle w:val="BodyText"/>
        <w:spacing w:before="1"/>
        <w:rPr>
          <w:rFonts w:ascii="Tahoma"/>
          <w:b/>
          <w:sz w:val="32"/>
        </w:rPr>
      </w:pPr>
    </w:p>
    <w:p w14:paraId="036229B0" w14:textId="77777777" w:rsidR="009D168D" w:rsidRDefault="00000000">
      <w:pPr>
        <w:pStyle w:val="Heading1"/>
        <w:ind w:left="1578"/>
      </w:pPr>
      <w:r>
        <w:t>Applicant</w:t>
      </w:r>
    </w:p>
    <w:p w14:paraId="67E606A6" w14:textId="77777777" w:rsidR="009D168D" w:rsidRDefault="009D168D">
      <w:pPr>
        <w:pStyle w:val="BodyText"/>
        <w:rPr>
          <w:rFonts w:ascii="Tahoma"/>
          <w:b/>
          <w:sz w:val="28"/>
        </w:rPr>
      </w:pPr>
    </w:p>
    <w:p w14:paraId="7E99F39B" w14:textId="77777777" w:rsidR="009D168D" w:rsidRDefault="009D168D">
      <w:pPr>
        <w:pStyle w:val="BodyText"/>
        <w:rPr>
          <w:rFonts w:ascii="Tahoma"/>
          <w:b/>
          <w:sz w:val="28"/>
        </w:rPr>
      </w:pPr>
    </w:p>
    <w:p w14:paraId="73237153" w14:textId="77777777" w:rsidR="009D168D" w:rsidRDefault="00000000">
      <w:pPr>
        <w:spacing w:before="194"/>
        <w:ind w:left="163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Respondent</w:t>
      </w:r>
    </w:p>
    <w:p w14:paraId="31BF6C46" w14:textId="77777777" w:rsidR="009D168D" w:rsidRDefault="009D168D">
      <w:pPr>
        <w:rPr>
          <w:rFonts w:ascii="Tahoma"/>
          <w:sz w:val="24"/>
        </w:rPr>
        <w:sectPr w:rsidR="009D168D">
          <w:footerReference w:type="default" r:id="rId6"/>
          <w:type w:val="continuous"/>
          <w:pgSz w:w="11910" w:h="16840"/>
          <w:pgMar w:top="1340" w:right="1320" w:bottom="1180" w:left="1340" w:header="720" w:footer="992" w:gutter="0"/>
          <w:pgNumType w:start="1"/>
          <w:cols w:num="2" w:space="720" w:equalWidth="0">
            <w:col w:w="5268" w:space="88"/>
            <w:col w:w="3894"/>
          </w:cols>
        </w:sectPr>
      </w:pPr>
    </w:p>
    <w:p w14:paraId="17A97B4B" w14:textId="77777777" w:rsidR="009D168D" w:rsidRDefault="009D168D">
      <w:pPr>
        <w:pStyle w:val="BodyText"/>
        <w:rPr>
          <w:rFonts w:ascii="Tahoma"/>
          <w:b/>
          <w:sz w:val="20"/>
        </w:rPr>
      </w:pPr>
    </w:p>
    <w:p w14:paraId="5BEBB91F" w14:textId="77777777" w:rsidR="009D168D" w:rsidRDefault="009D168D">
      <w:pPr>
        <w:pStyle w:val="BodyText"/>
        <w:spacing w:before="3"/>
        <w:rPr>
          <w:rFonts w:ascii="Tahoma"/>
          <w:b/>
          <w:sz w:val="24"/>
        </w:rPr>
      </w:pPr>
    </w:p>
    <w:p w14:paraId="7D29C209" w14:textId="77777777" w:rsidR="009D168D" w:rsidRDefault="00000000">
      <w:pPr>
        <w:pStyle w:val="BodyText"/>
        <w:spacing w:before="56"/>
        <w:ind w:left="100"/>
      </w:pP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casu</w:t>
      </w:r>
      <w:r>
        <w:rPr>
          <w:spacing w:val="-1"/>
        </w:rPr>
        <w:t xml:space="preserve"> </w:t>
      </w:r>
      <w:r>
        <w:t>seeks</w:t>
      </w:r>
      <w:r>
        <w:rPr>
          <w:spacing w:val="-3"/>
        </w:rPr>
        <w:t xml:space="preserve"> </w:t>
      </w:r>
      <w:r>
        <w:t>leave to appeal</w:t>
      </w:r>
      <w:r>
        <w:rPr>
          <w:spacing w:val="-4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Supreme</w:t>
      </w:r>
      <w:r>
        <w:rPr>
          <w:spacing w:val="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Court’s</w:t>
      </w:r>
      <w:r>
        <w:rPr>
          <w:spacing w:val="-1"/>
        </w:rPr>
        <w:t xml:space="preserve"> </w:t>
      </w:r>
      <w:r>
        <w:t>Judgement</w:t>
      </w:r>
    </w:p>
    <w:p w14:paraId="4605C310" w14:textId="77777777" w:rsidR="009D168D" w:rsidRDefault="00000000">
      <w:pPr>
        <w:pStyle w:val="BodyText"/>
        <w:spacing w:before="15"/>
        <w:ind w:left="100"/>
      </w:pPr>
      <w:r>
        <w:t>which</w:t>
      </w:r>
      <w:r>
        <w:rPr>
          <w:spacing w:val="-3"/>
        </w:rPr>
        <w:t xml:space="preserve"> </w:t>
      </w:r>
      <w:r>
        <w:t>dismissed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appeal.</w:t>
      </w:r>
    </w:p>
    <w:p w14:paraId="661916F3" w14:textId="77777777" w:rsidR="009D168D" w:rsidRDefault="00000000">
      <w:pPr>
        <w:pStyle w:val="BodyText"/>
        <w:spacing w:before="176" w:line="254" w:lineRule="auto"/>
        <w:ind w:left="100" w:right="167"/>
      </w:pPr>
      <w:r>
        <w:t>The application for leave to appeal was opposed. The respondent argued that the applicant’s</w:t>
      </w:r>
      <w:r>
        <w:rPr>
          <w:spacing w:val="1"/>
        </w:rPr>
        <w:t xml:space="preserve"> </w:t>
      </w:r>
      <w:r>
        <w:t>grounds of appeal do not raise any questions of law. Further, the application was resisted on the</w:t>
      </w:r>
      <w:r>
        <w:rPr>
          <w:spacing w:val="1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 intended</w:t>
      </w:r>
      <w:r>
        <w:rPr>
          <w:spacing w:val="-1"/>
        </w:rPr>
        <w:t xml:space="preserve"> </w:t>
      </w:r>
      <w:r>
        <w:t>grounds of</w:t>
      </w:r>
      <w:r>
        <w:rPr>
          <w:spacing w:val="-1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were not concise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rumbling.</w:t>
      </w:r>
    </w:p>
    <w:p w14:paraId="6B9255D2" w14:textId="77777777" w:rsidR="009D168D" w:rsidRDefault="00000000">
      <w:pPr>
        <w:pStyle w:val="BodyText"/>
        <w:spacing w:before="158"/>
        <w:ind w:left="100"/>
      </w:pP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intended</w:t>
      </w:r>
      <w:r>
        <w:rPr>
          <w:spacing w:val="-1"/>
        </w:rPr>
        <w:t xml:space="preserve"> </w:t>
      </w:r>
      <w:r>
        <w:t>ground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appeal reads</w:t>
      </w:r>
      <w:r>
        <w:rPr>
          <w:spacing w:val="-4"/>
        </w:rPr>
        <w:t xml:space="preserve"> </w:t>
      </w:r>
      <w:r>
        <w:t>as follows;</w:t>
      </w:r>
    </w:p>
    <w:p w14:paraId="67F3488E" w14:textId="77777777" w:rsidR="009D168D" w:rsidRDefault="00000000">
      <w:pPr>
        <w:pStyle w:val="BodyText"/>
        <w:spacing w:before="176" w:line="254" w:lineRule="auto"/>
        <w:ind w:left="100" w:right="167"/>
      </w:pPr>
      <w:r>
        <w:t>The Honourable Court misdirected itself on the facts and law when it upheld the appeals officer’s</w:t>
      </w:r>
      <w:r>
        <w:rPr>
          <w:spacing w:val="1"/>
        </w:rPr>
        <w:t xml:space="preserve"> </w:t>
      </w:r>
      <w:r>
        <w:t>conclusion that appellant had been duly convicted for acting in a manner which was inconsistent</w:t>
      </w:r>
      <w:r>
        <w:rPr>
          <w:spacing w:val="1"/>
        </w:rPr>
        <w:t xml:space="preserve"> </w:t>
      </w:r>
      <w:r>
        <w:t>with his express or implied employment conditions, but without reliance on any evidence of abuse</w:t>
      </w:r>
      <w:r>
        <w:rPr>
          <w:spacing w:val="1"/>
        </w:rPr>
        <w:t xml:space="preserve"> </w:t>
      </w:r>
      <w:r>
        <w:t>of respondent’s OK Mart account by appellant. The Court a quo solely rested on Prudence Chibvuri’s</w:t>
      </w:r>
      <w:r>
        <w:rPr>
          <w:spacing w:val="-47"/>
        </w:rPr>
        <w:t xml:space="preserve"> </w:t>
      </w:r>
      <w:r>
        <w:t>bold averments that appellant had telephonically told her that he had swiped for payment of the</w:t>
      </w:r>
      <w:r>
        <w:rPr>
          <w:spacing w:val="1"/>
        </w:rPr>
        <w:t xml:space="preserve"> </w:t>
      </w:r>
      <w:r>
        <w:t>150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kgs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sugar from OK</w:t>
      </w:r>
      <w:r>
        <w:rPr>
          <w:spacing w:val="-2"/>
        </w:rPr>
        <w:t xml:space="preserve"> </w:t>
      </w:r>
      <w:r>
        <w:t>Mart</w:t>
      </w:r>
      <w:r>
        <w:rPr>
          <w:spacing w:val="-3"/>
        </w:rPr>
        <w:t xml:space="preserve"> </w:t>
      </w:r>
      <w:r>
        <w:t>kgs</w:t>
      </w:r>
      <w:r>
        <w:rPr>
          <w:spacing w:val="-2"/>
        </w:rPr>
        <w:t xml:space="preserve"> </w:t>
      </w:r>
      <w:r>
        <w:t>of sugar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OK</w:t>
      </w:r>
      <w:r>
        <w:rPr>
          <w:spacing w:val="-3"/>
        </w:rPr>
        <w:t xml:space="preserve"> </w:t>
      </w:r>
      <w:r>
        <w:t>Mart and</w:t>
      </w:r>
      <w:r>
        <w:rPr>
          <w:spacing w:val="-2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to Harare</w:t>
      </w:r>
      <w:r>
        <w:rPr>
          <w:spacing w:val="1"/>
        </w:rPr>
        <w:t xml:space="preserve"> </w:t>
      </w:r>
      <w:r>
        <w:t>for</w:t>
      </w:r>
    </w:p>
    <w:p w14:paraId="7B3365BF" w14:textId="77777777" w:rsidR="009D168D" w:rsidRDefault="00000000">
      <w:pPr>
        <w:pStyle w:val="BodyText"/>
        <w:spacing w:line="252" w:lineRule="auto"/>
        <w:ind w:left="100" w:right="619"/>
      </w:pPr>
      <w:r>
        <w:t>his personal benefit. The Court a quo’s misdirection was so gross in its defiance of logic, in that,</w:t>
      </w:r>
      <w:r>
        <w:rPr>
          <w:spacing w:val="-47"/>
        </w:rPr>
        <w:t xml:space="preserve"> </w:t>
      </w:r>
      <w:r>
        <w:t>direct evidence was</w:t>
      </w:r>
      <w:r>
        <w:rPr>
          <w:spacing w:val="-1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OK</w:t>
      </w:r>
      <w:r>
        <w:rPr>
          <w:spacing w:val="-2"/>
        </w:rPr>
        <w:t xml:space="preserve"> </w:t>
      </w:r>
      <w:r>
        <w:t>Mart’s</w:t>
      </w:r>
      <w:r>
        <w:rPr>
          <w:spacing w:val="-1"/>
        </w:rPr>
        <w:t xml:space="preserve"> </w:t>
      </w:r>
      <w:r>
        <w:t>Safeguard</w:t>
      </w:r>
      <w:r>
        <w:rPr>
          <w:spacing w:val="-2"/>
        </w:rPr>
        <w:t xml:space="preserve"> </w:t>
      </w:r>
      <w:r>
        <w:t>Security’s CCTV</w:t>
      </w:r>
      <w:r>
        <w:rPr>
          <w:spacing w:val="-1"/>
        </w:rPr>
        <w:t xml:space="preserve"> </w:t>
      </w:r>
      <w:r>
        <w:t>footage as</w:t>
      </w:r>
      <w:r>
        <w:rPr>
          <w:spacing w:val="-3"/>
        </w:rPr>
        <w:t xml:space="preserve"> </w:t>
      </w:r>
      <w:r>
        <w:t>witnessed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SGT</w:t>
      </w:r>
    </w:p>
    <w:p w14:paraId="7DD33B62" w14:textId="77777777" w:rsidR="009D168D" w:rsidRDefault="00000000">
      <w:pPr>
        <w:pStyle w:val="BodyText"/>
        <w:spacing w:before="1" w:line="254" w:lineRule="auto"/>
        <w:ind w:left="100" w:right="141"/>
      </w:pPr>
      <w:r>
        <w:t>Pafiwa and others showing OK Mart’s own stuff purchasing the sugar complained of, loading it into a</w:t>
      </w:r>
      <w:r>
        <w:rPr>
          <w:spacing w:val="-47"/>
        </w:rPr>
        <w:t xml:space="preserve"> </w:t>
      </w:r>
      <w:r>
        <w:t>Toyota Fun Cargo vehicle which neither belonged to appellant nor to respondent and offloading it</w:t>
      </w:r>
      <w:r>
        <w:rPr>
          <w:spacing w:val="1"/>
        </w:rPr>
        <w:t xml:space="preserve"> </w:t>
      </w:r>
      <w:r>
        <w:t>into dollar Nyama Butchery whose staff, Douglas Gondahwa’s bank card is the one actually used for</w:t>
      </w:r>
      <w:r>
        <w:rPr>
          <w:spacing w:val="1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sugar transaction</w:t>
      </w:r>
      <w:r>
        <w:rPr>
          <w:spacing w:val="-3"/>
        </w:rPr>
        <w:t xml:space="preserve"> </w:t>
      </w:r>
      <w:r>
        <w:t>complained</w:t>
      </w:r>
      <w:r>
        <w:rPr>
          <w:spacing w:val="-2"/>
        </w:rPr>
        <w:t xml:space="preserve"> </w:t>
      </w:r>
      <w:r>
        <w:t>of.</w:t>
      </w:r>
    </w:p>
    <w:p w14:paraId="2B9A0721" w14:textId="77777777" w:rsidR="009D168D" w:rsidRDefault="009D168D">
      <w:pPr>
        <w:spacing w:line="254" w:lineRule="auto"/>
        <w:sectPr w:rsidR="009D168D">
          <w:type w:val="continuous"/>
          <w:pgSz w:w="11910" w:h="16840"/>
          <w:pgMar w:top="1340" w:right="1320" w:bottom="1180" w:left="1340" w:header="720" w:footer="720" w:gutter="0"/>
          <w:cols w:space="720"/>
        </w:sectPr>
      </w:pPr>
    </w:p>
    <w:p w14:paraId="4F103F73" w14:textId="77777777" w:rsidR="009D168D" w:rsidRDefault="00000000">
      <w:pPr>
        <w:pStyle w:val="BodyText"/>
        <w:spacing w:before="41"/>
        <w:ind w:left="100"/>
      </w:pPr>
      <w:r>
        <w:lastRenderedPageBreak/>
        <w:t>The</w:t>
      </w:r>
      <w:r>
        <w:rPr>
          <w:spacing w:val="-1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ground</w:t>
      </w:r>
      <w:r>
        <w:rPr>
          <w:spacing w:val="-2"/>
        </w:rPr>
        <w:t xml:space="preserve"> </w:t>
      </w:r>
      <w:r>
        <w:t>reads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follows;</w:t>
      </w:r>
    </w:p>
    <w:p w14:paraId="3D5EFD0A" w14:textId="77777777" w:rsidR="009D168D" w:rsidRDefault="00000000">
      <w:pPr>
        <w:pStyle w:val="BodyText"/>
        <w:spacing w:before="175" w:line="254" w:lineRule="auto"/>
        <w:ind w:left="100" w:right="274"/>
      </w:pPr>
      <w:r>
        <w:t>The Court a quo grossly misdirected itself on facts and law when its disregarded complainant, Mr L.</w:t>
      </w:r>
      <w:r>
        <w:rPr>
          <w:spacing w:val="-47"/>
        </w:rPr>
        <w:t xml:space="preserve"> </w:t>
      </w:r>
      <w:r>
        <w:t>Wadawareva’s testimony that one OK Mart staff caught on the aforesaid CCTV footage,</w:t>
      </w:r>
      <w:r>
        <w:rPr>
          <w:spacing w:val="1"/>
        </w:rPr>
        <w:t xml:space="preserve"> </w:t>
      </w:r>
      <w:r>
        <w:t>Masimbaashe Mare had priorly telephoned the complaint confessing falsely implicating the</w:t>
      </w:r>
      <w:r>
        <w:rPr>
          <w:spacing w:val="1"/>
        </w:rPr>
        <w:t xml:space="preserve"> </w:t>
      </w:r>
      <w:r>
        <w:t>appellant in the sugar transaction complained of to cover their backs. It was with respect</w:t>
      </w:r>
      <w:r>
        <w:rPr>
          <w:spacing w:val="1"/>
        </w:rPr>
        <w:t xml:space="preserve"> </w:t>
      </w:r>
      <w:r>
        <w:t>unreasonable for the Honourable Court to disregard Masimbaashe’s confession it having not been</w:t>
      </w:r>
      <w:r>
        <w:rPr>
          <w:spacing w:val="1"/>
        </w:rPr>
        <w:t xml:space="preserve"> </w:t>
      </w:r>
      <w:r>
        <w:t>controverted by the complaint before the court a quo and also a similar confession having been</w:t>
      </w:r>
      <w:r>
        <w:rPr>
          <w:spacing w:val="1"/>
        </w:rPr>
        <w:t xml:space="preserve"> </w:t>
      </w:r>
      <w:r>
        <w:t>made by Brighton</w:t>
      </w:r>
      <w:r>
        <w:rPr>
          <w:spacing w:val="-2"/>
        </w:rPr>
        <w:t xml:space="preserve"> </w:t>
      </w:r>
      <w:r>
        <w:t>Mhlanga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cross examination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Disciplinary</w:t>
      </w:r>
      <w:r>
        <w:rPr>
          <w:spacing w:val="-1"/>
        </w:rPr>
        <w:t xml:space="preserve"> </w:t>
      </w:r>
      <w:r>
        <w:t>hearing.</w:t>
      </w:r>
    </w:p>
    <w:p w14:paraId="001E2F72" w14:textId="77777777" w:rsidR="009D168D" w:rsidRDefault="00000000">
      <w:pPr>
        <w:pStyle w:val="BodyText"/>
        <w:spacing w:before="158"/>
        <w:ind w:left="100"/>
      </w:pPr>
      <w:r>
        <w:rPr>
          <w:u w:val="single"/>
        </w:rPr>
        <w:t>Applicant’s</w:t>
      </w:r>
      <w:r>
        <w:rPr>
          <w:spacing w:val="-1"/>
          <w:u w:val="single"/>
        </w:rPr>
        <w:t xml:space="preserve"> </w:t>
      </w:r>
      <w:r>
        <w:rPr>
          <w:u w:val="single"/>
        </w:rPr>
        <w:t>submission</w:t>
      </w:r>
    </w:p>
    <w:p w14:paraId="210ECE7B" w14:textId="77777777" w:rsidR="009D168D" w:rsidRDefault="009D168D">
      <w:pPr>
        <w:pStyle w:val="BodyText"/>
        <w:spacing w:before="9"/>
        <w:rPr>
          <w:sz w:val="9"/>
        </w:rPr>
      </w:pPr>
    </w:p>
    <w:p w14:paraId="501402A6" w14:textId="77777777" w:rsidR="009D168D" w:rsidRDefault="00000000">
      <w:pPr>
        <w:pStyle w:val="BodyText"/>
        <w:spacing w:before="57" w:line="254" w:lineRule="auto"/>
        <w:ind w:left="100" w:right="130"/>
      </w:pPr>
      <w:r>
        <w:t>The applicant submitted that the issues being raised were res-judicata, having been decided by the</w:t>
      </w:r>
      <w:r>
        <w:rPr>
          <w:spacing w:val="1"/>
        </w:rPr>
        <w:t xml:space="preserve"> </w:t>
      </w:r>
      <w:r>
        <w:t>Court during earlier proceedings. It was submitted that the parties were the same and the dispute or</w:t>
      </w:r>
      <w:r>
        <w:rPr>
          <w:spacing w:val="-47"/>
        </w:rPr>
        <w:t xml:space="preserve"> </w:t>
      </w:r>
      <w:r>
        <w:t>issues were the same. It was also submitted that the issue was being raised for the first time in the</w:t>
      </w:r>
      <w:r>
        <w:rPr>
          <w:spacing w:val="1"/>
        </w:rPr>
        <w:t xml:space="preserve"> </w:t>
      </w:r>
      <w:r>
        <w:t>heads of arguments and it was not in the opposing papers, the respondent’s affidavit. The matter</w:t>
      </w:r>
      <w:r>
        <w:rPr>
          <w:spacing w:val="1"/>
        </w:rPr>
        <w:t xml:space="preserve"> </w:t>
      </w:r>
      <w:r>
        <w:t>was thus argued to be improperly before the Court as a case, should rise or fall on its founding</w:t>
      </w:r>
      <w:r>
        <w:rPr>
          <w:spacing w:val="1"/>
        </w:rPr>
        <w:t xml:space="preserve"> </w:t>
      </w:r>
      <w:r>
        <w:t>papers.</w:t>
      </w:r>
    </w:p>
    <w:p w14:paraId="2AB68AD9" w14:textId="77777777" w:rsidR="009D168D" w:rsidRDefault="00000000">
      <w:pPr>
        <w:pStyle w:val="BodyText"/>
        <w:spacing w:before="157" w:line="254" w:lineRule="auto"/>
        <w:ind w:left="100" w:right="144"/>
      </w:pPr>
      <w:r>
        <w:t>It is true that in the papers filed in response to this application, the respondent did not challenge the</w:t>
      </w:r>
      <w:r>
        <w:rPr>
          <w:spacing w:val="-47"/>
        </w:rPr>
        <w:t xml:space="preserve"> </w:t>
      </w:r>
      <w:r>
        <w:t>grounds of appeal on the basis that they were not precise nor concise. This is however a legal point</w:t>
      </w:r>
      <w:r>
        <w:rPr>
          <w:spacing w:val="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properly raise at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time,</w:t>
      </w:r>
      <w:r>
        <w:rPr>
          <w:spacing w:val="-1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appeal.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points are</w:t>
      </w:r>
      <w:r>
        <w:rPr>
          <w:spacing w:val="-1"/>
        </w:rPr>
        <w:t xml:space="preserve"> </w:t>
      </w:r>
      <w:r>
        <w:t>therefore properly</w:t>
      </w:r>
      <w:r>
        <w:rPr>
          <w:spacing w:val="-1"/>
        </w:rPr>
        <w:t xml:space="preserve"> </w:t>
      </w:r>
      <w:r>
        <w:t>raised.</w:t>
      </w:r>
    </w:p>
    <w:p w14:paraId="37F979EE" w14:textId="77777777" w:rsidR="009D168D" w:rsidRDefault="00000000">
      <w:pPr>
        <w:pStyle w:val="BodyText"/>
        <w:spacing w:before="159" w:line="254" w:lineRule="auto"/>
        <w:ind w:left="100" w:right="172"/>
      </w:pPr>
      <w:r>
        <w:t>The appellant also argued that the matter is re judicata. This cannot be so. The current application is</w:t>
      </w:r>
      <w:r>
        <w:rPr>
          <w:spacing w:val="-47"/>
        </w:rPr>
        <w:t xml:space="preserve"> </w:t>
      </w:r>
      <w:r>
        <w:t>a new dispute between the parties. It is not the same case as the 2020 case that was decided by</w:t>
      </w:r>
      <w:r>
        <w:rPr>
          <w:spacing w:val="1"/>
        </w:rPr>
        <w:t xml:space="preserve"> </w:t>
      </w:r>
      <w:r>
        <w:t>Judge Manyangadze. This is an application for leave to appeal and none of the issues raised therein</w:t>
      </w:r>
      <w:r>
        <w:rPr>
          <w:spacing w:val="1"/>
        </w:rPr>
        <w:t xml:space="preserve"> </w:t>
      </w:r>
      <w:r>
        <w:t>where previously decided by the Court. For the special plea of res judicata to succeed, it must be</w:t>
      </w:r>
      <w:r>
        <w:rPr>
          <w:spacing w:val="1"/>
        </w:rPr>
        <w:t xml:space="preserve"> </w:t>
      </w:r>
      <w:r>
        <w:t>established that the judgement given in the prior case concerned the same subject matter, that it</w:t>
      </w:r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founded on</w:t>
      </w:r>
      <w:r>
        <w:rPr>
          <w:spacing w:val="-3"/>
        </w:rPr>
        <w:t xml:space="preserve"> </w:t>
      </w:r>
      <w:r>
        <w:t>the same</w:t>
      </w:r>
      <w:r>
        <w:rPr>
          <w:spacing w:val="-2"/>
        </w:rPr>
        <w:t xml:space="preserve"> </w:t>
      </w:r>
      <w:r>
        <w:t>grounds and</w:t>
      </w:r>
      <w:r>
        <w:rPr>
          <w:spacing w:val="-1"/>
        </w:rPr>
        <w:t xml:space="preserve"> </w:t>
      </w:r>
      <w:r>
        <w:t>was between</w:t>
      </w:r>
      <w:r>
        <w:rPr>
          <w:spacing w:val="-3"/>
        </w:rPr>
        <w:t xml:space="preserve"> </w:t>
      </w:r>
      <w:r>
        <w:t>the same</w:t>
      </w:r>
      <w:r>
        <w:rPr>
          <w:spacing w:val="1"/>
        </w:rPr>
        <w:t xml:space="preserve"> </w:t>
      </w:r>
      <w:r>
        <w:t>parties.</w:t>
      </w:r>
    </w:p>
    <w:p w14:paraId="78C763CB" w14:textId="77777777" w:rsidR="009D168D" w:rsidRDefault="00000000">
      <w:pPr>
        <w:spacing w:before="157"/>
        <w:ind w:left="100"/>
        <w:rPr>
          <w:b/>
        </w:rPr>
      </w:pPr>
      <w:r>
        <w:t>See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regard the case</w:t>
      </w:r>
      <w:r>
        <w:rPr>
          <w:spacing w:val="-2"/>
        </w:rPr>
        <w:t xml:space="preserve"> </w:t>
      </w:r>
      <w:r>
        <w:t xml:space="preserve">of </w:t>
      </w:r>
      <w:r>
        <w:rPr>
          <w:b/>
        </w:rPr>
        <w:t>Madondo</w:t>
      </w:r>
      <w:r>
        <w:rPr>
          <w:b/>
          <w:spacing w:val="-1"/>
        </w:rPr>
        <w:t xml:space="preserve"> </w:t>
      </w:r>
      <w:r>
        <w:rPr>
          <w:b/>
        </w:rPr>
        <w:t>v</w:t>
      </w:r>
      <w:r>
        <w:rPr>
          <w:b/>
          <w:spacing w:val="1"/>
        </w:rPr>
        <w:t xml:space="preserve"> </w:t>
      </w:r>
      <w:r>
        <w:rPr>
          <w:b/>
        </w:rPr>
        <w:t>Fyfe</w:t>
      </w:r>
      <w:r>
        <w:rPr>
          <w:b/>
          <w:spacing w:val="-4"/>
        </w:rPr>
        <w:t xml:space="preserve"> </w:t>
      </w:r>
      <w:r>
        <w:rPr>
          <w:b/>
        </w:rPr>
        <w:t>&amp;</w:t>
      </w:r>
      <w:r>
        <w:rPr>
          <w:b/>
          <w:spacing w:val="1"/>
        </w:rPr>
        <w:t xml:space="preserve"> </w:t>
      </w:r>
      <w:r>
        <w:rPr>
          <w:b/>
        </w:rPr>
        <w:t>ors</w:t>
      </w:r>
      <w:r>
        <w:rPr>
          <w:b/>
          <w:spacing w:val="-3"/>
        </w:rPr>
        <w:t xml:space="preserve"> </w:t>
      </w:r>
      <w:r>
        <w:rPr>
          <w:b/>
        </w:rPr>
        <w:t>1988 (1)</w:t>
      </w:r>
      <w:r>
        <w:rPr>
          <w:b/>
          <w:spacing w:val="-3"/>
        </w:rPr>
        <w:t xml:space="preserve"> </w:t>
      </w:r>
      <w:r>
        <w:rPr>
          <w:b/>
        </w:rPr>
        <w:t>ZLR</w:t>
      </w:r>
      <w:r>
        <w:rPr>
          <w:b/>
          <w:spacing w:val="-2"/>
        </w:rPr>
        <w:t xml:space="preserve"> </w:t>
      </w:r>
      <w:r>
        <w:rPr>
          <w:b/>
        </w:rPr>
        <w:t>138</w:t>
      </w:r>
    </w:p>
    <w:p w14:paraId="144C55C4" w14:textId="77777777" w:rsidR="009D168D" w:rsidRDefault="00000000">
      <w:pPr>
        <w:pStyle w:val="BodyText"/>
        <w:spacing w:before="176" w:line="254" w:lineRule="auto"/>
        <w:ind w:left="100" w:right="286"/>
      </w:pPr>
      <w:r>
        <w:t>While the parties maybe the same, the judgement given in the prior case did not concern the same</w:t>
      </w:r>
      <w:r>
        <w:rPr>
          <w:spacing w:val="-47"/>
        </w:rPr>
        <w:t xml:space="preserve"> </w:t>
      </w:r>
      <w:r>
        <w:t>subject matter. This is a new matter concerned with, whether or not the applicant can be given</w:t>
      </w:r>
      <w:r>
        <w:rPr>
          <w:spacing w:val="1"/>
        </w:rPr>
        <w:t xml:space="preserve"> </w:t>
      </w:r>
      <w:r>
        <w:t>leave to appeal to the Supreme Court and further the two cases are not founded on the same</w:t>
      </w:r>
      <w:r>
        <w:rPr>
          <w:spacing w:val="1"/>
        </w:rPr>
        <w:t xml:space="preserve"> </w:t>
      </w:r>
      <w:r>
        <w:t>grounds.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therefore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merit</w:t>
      </w:r>
      <w:r>
        <w:rPr>
          <w:spacing w:val="-2"/>
        </w:rPr>
        <w:t xml:space="preserve"> </w:t>
      </w:r>
      <w:r>
        <w:t>in all</w:t>
      </w:r>
      <w:r>
        <w:rPr>
          <w:spacing w:val="-4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applicant’s</w:t>
      </w:r>
      <w:r>
        <w:rPr>
          <w:spacing w:val="1"/>
        </w:rPr>
        <w:t xml:space="preserve"> </w:t>
      </w:r>
      <w:r>
        <w:t>submissions.</w:t>
      </w:r>
    </w:p>
    <w:p w14:paraId="4F82ECC9" w14:textId="77777777" w:rsidR="009D168D" w:rsidRDefault="00000000">
      <w:pPr>
        <w:pStyle w:val="BodyText"/>
        <w:spacing w:before="159"/>
        <w:ind w:left="100"/>
      </w:pPr>
      <w:r>
        <w:rPr>
          <w:u w:val="single"/>
        </w:rPr>
        <w:t>Whether</w:t>
      </w:r>
      <w:r>
        <w:rPr>
          <w:spacing w:val="-3"/>
          <w:u w:val="single"/>
        </w:rPr>
        <w:t xml:space="preserve"> </w:t>
      </w:r>
      <w:r>
        <w:rPr>
          <w:u w:val="single"/>
        </w:rPr>
        <w:t>or not</w:t>
      </w:r>
      <w:r>
        <w:rPr>
          <w:spacing w:val="-2"/>
          <w:u w:val="single"/>
        </w:rPr>
        <w:t xml:space="preserve"> </w:t>
      </w:r>
      <w:r>
        <w:rPr>
          <w:u w:val="single"/>
        </w:rPr>
        <w:t>the grounds are</w:t>
      </w:r>
      <w:r>
        <w:rPr>
          <w:spacing w:val="1"/>
          <w:u w:val="single"/>
        </w:rPr>
        <w:t xml:space="preserve"> </w:t>
      </w:r>
      <w:r>
        <w:rPr>
          <w:u w:val="single"/>
        </w:rPr>
        <w:t>precise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concise</w:t>
      </w:r>
    </w:p>
    <w:p w14:paraId="6CC2B7C7" w14:textId="77777777" w:rsidR="009D168D" w:rsidRDefault="009D168D">
      <w:pPr>
        <w:pStyle w:val="BodyText"/>
        <w:spacing w:before="10"/>
        <w:rPr>
          <w:sz w:val="9"/>
        </w:rPr>
      </w:pPr>
    </w:p>
    <w:p w14:paraId="0511488E" w14:textId="77777777" w:rsidR="009D168D" w:rsidRDefault="00000000">
      <w:pPr>
        <w:pStyle w:val="BodyText"/>
        <w:spacing w:before="56" w:line="254" w:lineRule="auto"/>
        <w:ind w:left="100" w:right="123"/>
      </w:pPr>
      <w:r>
        <w:t>The grounds are clearly long and rumbling. They certainly are not precise and neither are they</w:t>
      </w:r>
      <w:r>
        <w:rPr>
          <w:spacing w:val="1"/>
        </w:rPr>
        <w:t xml:space="preserve"> </w:t>
      </w:r>
      <w:r>
        <w:t>concise. The Court must not be made to guess or work out precisely what the applicant intends to</w:t>
      </w:r>
      <w:r>
        <w:rPr>
          <w:spacing w:val="1"/>
        </w:rPr>
        <w:t xml:space="preserve"> </w:t>
      </w:r>
      <w:r>
        <w:t>challenge. Grounds of appeal must be clearly set out to enable the respondent and the Court to be</w:t>
      </w:r>
      <w:r>
        <w:rPr>
          <w:spacing w:val="1"/>
        </w:rPr>
        <w:t xml:space="preserve"> </w:t>
      </w:r>
      <w:r>
        <w:t xml:space="preserve">fully informed of what it is an appellant would be challenging, see the case of </w:t>
      </w:r>
      <w:r>
        <w:rPr>
          <w:b/>
        </w:rPr>
        <w:t>Chikura NO and anor v</w:t>
      </w:r>
      <w:r>
        <w:rPr>
          <w:b/>
          <w:spacing w:val="-47"/>
        </w:rPr>
        <w:t xml:space="preserve"> </w:t>
      </w:r>
      <w:r>
        <w:rPr>
          <w:b/>
        </w:rPr>
        <w:t xml:space="preserve">A/Sham’s Global BVI Ltd SC 17/17. </w:t>
      </w:r>
      <w:r>
        <w:t>The Court cannot sift through long and winding grounds of</w:t>
      </w:r>
      <w:r>
        <w:rPr>
          <w:spacing w:val="1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what grieves the</w:t>
      </w:r>
      <w:r>
        <w:rPr>
          <w:spacing w:val="-2"/>
        </w:rPr>
        <w:t xml:space="preserve"> </w:t>
      </w:r>
      <w:r>
        <w:t>appellant.</w:t>
      </w:r>
    </w:p>
    <w:p w14:paraId="03191B6C" w14:textId="77777777" w:rsidR="009D168D" w:rsidRDefault="00000000">
      <w:pPr>
        <w:pStyle w:val="BodyText"/>
        <w:spacing w:before="157" w:line="254" w:lineRule="auto"/>
        <w:ind w:left="100" w:right="281"/>
      </w:pPr>
      <w:r>
        <w:t>The other point raised is that the grounds of appeal do not raise any point of law. A perusal of the</w:t>
      </w:r>
      <w:r>
        <w:rPr>
          <w:spacing w:val="1"/>
        </w:rPr>
        <w:t xml:space="preserve"> </w:t>
      </w:r>
      <w:r>
        <w:t>grounds show that no legal issue is being raised. The applicant is raising factual issues. This is</w:t>
      </w:r>
      <w:r>
        <w:rPr>
          <w:spacing w:val="1"/>
        </w:rPr>
        <w:t xml:space="preserve"> </w:t>
      </w:r>
      <w:r>
        <w:t>contrary to the provisions of section Section 92 F of the Labour Act [ chapter 28:01] (the Act) which</w:t>
      </w:r>
      <w:r>
        <w:rPr>
          <w:spacing w:val="-47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that;</w:t>
      </w:r>
    </w:p>
    <w:p w14:paraId="753DBBAC" w14:textId="77777777" w:rsidR="009D168D" w:rsidRDefault="00000000">
      <w:pPr>
        <w:spacing w:before="158"/>
        <w:ind w:left="820"/>
        <w:rPr>
          <w:i/>
        </w:rPr>
      </w:pPr>
      <w:r>
        <w:rPr>
          <w:i/>
        </w:rPr>
        <w:t>“an</w:t>
      </w:r>
      <w:r>
        <w:rPr>
          <w:i/>
          <w:spacing w:val="-2"/>
        </w:rPr>
        <w:t xml:space="preserve"> </w:t>
      </w:r>
      <w:r>
        <w:rPr>
          <w:i/>
        </w:rPr>
        <w:t>appeal</w:t>
      </w:r>
      <w:r>
        <w:rPr>
          <w:i/>
          <w:spacing w:val="-2"/>
        </w:rPr>
        <w:t xml:space="preserve"> </w:t>
      </w:r>
      <w:r>
        <w:rPr>
          <w:i/>
        </w:rPr>
        <w:t>on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question</w:t>
      </w:r>
      <w:r>
        <w:rPr>
          <w:i/>
          <w:spacing w:val="-2"/>
        </w:rPr>
        <w:t xml:space="preserve"> </w:t>
      </w:r>
      <w:r>
        <w:rPr>
          <w:i/>
        </w:rPr>
        <w:t>of law only</w:t>
      </w:r>
      <w:r>
        <w:rPr>
          <w:i/>
          <w:spacing w:val="-2"/>
        </w:rPr>
        <w:t xml:space="preserve"> </w:t>
      </w:r>
      <w:r>
        <w:rPr>
          <w:i/>
        </w:rPr>
        <w:t>shall</w:t>
      </w:r>
      <w:r>
        <w:rPr>
          <w:i/>
          <w:spacing w:val="-2"/>
        </w:rPr>
        <w:t xml:space="preserve"> </w:t>
      </w:r>
      <w:r>
        <w:rPr>
          <w:i/>
        </w:rPr>
        <w:t>lie</w:t>
      </w:r>
      <w:r>
        <w:rPr>
          <w:i/>
          <w:spacing w:val="-4"/>
        </w:rPr>
        <w:t xml:space="preserve"> </w:t>
      </w:r>
      <w:r>
        <w:rPr>
          <w:i/>
        </w:rPr>
        <w:t>to the</w:t>
      </w:r>
      <w:r>
        <w:rPr>
          <w:i/>
          <w:spacing w:val="-2"/>
        </w:rPr>
        <w:t xml:space="preserve"> </w:t>
      </w:r>
      <w:r>
        <w:rPr>
          <w:i/>
        </w:rPr>
        <w:t>Supreme</w:t>
      </w:r>
      <w:r>
        <w:rPr>
          <w:i/>
          <w:spacing w:val="-3"/>
        </w:rPr>
        <w:t xml:space="preserve"> </w:t>
      </w:r>
      <w:r>
        <w:rPr>
          <w:i/>
        </w:rPr>
        <w:t>Court</w:t>
      </w:r>
      <w:r>
        <w:rPr>
          <w:i/>
          <w:spacing w:val="-3"/>
        </w:rPr>
        <w:t xml:space="preserve"> </w:t>
      </w:r>
      <w:r>
        <w:rPr>
          <w:i/>
        </w:rPr>
        <w:t>from any decision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the</w:t>
      </w:r>
    </w:p>
    <w:p w14:paraId="5C55B397" w14:textId="77777777" w:rsidR="009D168D" w:rsidRDefault="00000000">
      <w:pPr>
        <w:spacing w:before="17"/>
        <w:ind w:left="820"/>
        <w:rPr>
          <w:i/>
        </w:rPr>
      </w:pPr>
      <w:r>
        <w:rPr>
          <w:i/>
        </w:rPr>
        <w:t>Labour</w:t>
      </w:r>
      <w:r>
        <w:rPr>
          <w:i/>
          <w:spacing w:val="-2"/>
        </w:rPr>
        <w:t xml:space="preserve"> </w:t>
      </w:r>
      <w:r>
        <w:rPr>
          <w:i/>
        </w:rPr>
        <w:t>Court.”</w:t>
      </w:r>
    </w:p>
    <w:p w14:paraId="5ED78D3B" w14:textId="77777777" w:rsidR="009D168D" w:rsidRDefault="009D168D">
      <w:pPr>
        <w:sectPr w:rsidR="009D168D">
          <w:pgSz w:w="11910" w:h="16840"/>
          <w:pgMar w:top="1380" w:right="1320" w:bottom="1180" w:left="1340" w:header="0" w:footer="992" w:gutter="0"/>
          <w:cols w:space="720"/>
        </w:sectPr>
      </w:pPr>
    </w:p>
    <w:p w14:paraId="0E52076C" w14:textId="77777777" w:rsidR="009D168D" w:rsidRDefault="00000000">
      <w:pPr>
        <w:spacing w:before="41" w:line="254" w:lineRule="auto"/>
        <w:ind w:left="100" w:right="171"/>
      </w:pPr>
      <w:r>
        <w:lastRenderedPageBreak/>
        <w:t xml:space="preserve">The applicant appears in its heads to conceded this point but argues on the basis of </w:t>
      </w:r>
      <w:r>
        <w:rPr>
          <w:b/>
        </w:rPr>
        <w:t>Reserve Bank of</w:t>
      </w:r>
      <w:r>
        <w:rPr>
          <w:b/>
          <w:spacing w:val="-47"/>
        </w:rPr>
        <w:t xml:space="preserve"> </w:t>
      </w:r>
      <w:r>
        <w:rPr>
          <w:b/>
        </w:rPr>
        <w:t xml:space="preserve">Zimbabwe v Granger &amp; anor SC 34/01 and zvokusekwa v Bikita RDC 44/15 </w:t>
      </w:r>
      <w:r>
        <w:t>that were the</w:t>
      </w:r>
      <w:r>
        <w:rPr>
          <w:spacing w:val="1"/>
        </w:rPr>
        <w:t xml:space="preserve"> </w:t>
      </w:r>
      <w:r>
        <w:t>misdirections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facts</w:t>
      </w:r>
      <w:r>
        <w:rPr>
          <w:spacing w:val="-2"/>
        </w:rPr>
        <w:t xml:space="preserve"> </w:t>
      </w:r>
      <w:r>
        <w:t>are gross this</w:t>
      </w:r>
      <w:r>
        <w:rPr>
          <w:spacing w:val="-2"/>
        </w:rPr>
        <w:t xml:space="preserve"> </w:t>
      </w:r>
      <w:r>
        <w:t>would amount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 question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law.</w:t>
      </w:r>
    </w:p>
    <w:p w14:paraId="7BF37ECA" w14:textId="77777777" w:rsidR="009D168D" w:rsidRDefault="00000000">
      <w:pPr>
        <w:pStyle w:val="BodyText"/>
        <w:spacing w:before="159" w:line="254" w:lineRule="auto"/>
        <w:ind w:left="100" w:right="171"/>
      </w:pPr>
      <w:r>
        <w:t>The applicant however failed to demonstrate the gross findings of facts. The applicant seems to be</w:t>
      </w:r>
      <w:r>
        <w:rPr>
          <w:spacing w:val="1"/>
        </w:rPr>
        <w:t xml:space="preserve"> </w:t>
      </w:r>
      <w:r>
        <w:t>simply complaining that the Court was wrong in making particular findings and should have instead</w:t>
      </w:r>
      <w:r>
        <w:rPr>
          <w:spacing w:val="1"/>
        </w:rPr>
        <w:t xml:space="preserve"> </w:t>
      </w:r>
      <w:r>
        <w:t>made different findings or believed a particular witness as opposed to another. This is exactly what</w:t>
      </w:r>
      <w:r>
        <w:rPr>
          <w:spacing w:val="1"/>
        </w:rPr>
        <w:t xml:space="preserve"> </w:t>
      </w:r>
      <w:r>
        <w:t xml:space="preserve">was frowned upon by the Supreme Court in the case of </w:t>
      </w:r>
      <w:r>
        <w:rPr>
          <w:b/>
        </w:rPr>
        <w:t>Mahommed v Kashiri SC 85/19. In Zimabwe</w:t>
      </w:r>
      <w:r>
        <w:rPr>
          <w:b/>
          <w:spacing w:val="-47"/>
        </w:rPr>
        <w:t xml:space="preserve"> </w:t>
      </w:r>
      <w:r>
        <w:rPr>
          <w:b/>
        </w:rPr>
        <w:t>Open</w:t>
      </w:r>
      <w:r>
        <w:rPr>
          <w:b/>
          <w:spacing w:val="-2"/>
        </w:rPr>
        <w:t xml:space="preserve"> </w:t>
      </w:r>
      <w:r>
        <w:rPr>
          <w:b/>
        </w:rPr>
        <w:t>University</w:t>
      </w:r>
      <w:r>
        <w:rPr>
          <w:b/>
          <w:spacing w:val="-2"/>
        </w:rPr>
        <w:t xml:space="preserve"> </w:t>
      </w:r>
      <w:r>
        <w:rPr>
          <w:b/>
        </w:rPr>
        <w:t>v</w:t>
      </w:r>
      <w:r>
        <w:rPr>
          <w:b/>
          <w:spacing w:val="-1"/>
        </w:rPr>
        <w:t xml:space="preserve"> </w:t>
      </w:r>
      <w:r>
        <w:rPr>
          <w:b/>
        </w:rPr>
        <w:t>Ndekwere</w:t>
      </w:r>
      <w:r>
        <w:rPr>
          <w:b/>
          <w:spacing w:val="-2"/>
        </w:rPr>
        <w:t xml:space="preserve"> </w:t>
      </w:r>
      <w:r>
        <w:rPr>
          <w:b/>
        </w:rPr>
        <w:t>SC</w:t>
      </w:r>
      <w:r>
        <w:rPr>
          <w:b/>
          <w:spacing w:val="1"/>
        </w:rPr>
        <w:t xml:space="preserve"> </w:t>
      </w:r>
      <w:r>
        <w:rPr>
          <w:b/>
        </w:rPr>
        <w:t>52/19</w:t>
      </w:r>
      <w:r>
        <w:rPr>
          <w:b/>
          <w:spacing w:val="1"/>
        </w:rPr>
        <w:t xml:space="preserve"> </w:t>
      </w:r>
      <w:r>
        <w:t>the Supreme</w:t>
      </w:r>
      <w:r>
        <w:rPr>
          <w:spacing w:val="1"/>
        </w:rPr>
        <w:t xml:space="preserve"> </w:t>
      </w:r>
      <w:r>
        <w:t>Court stated</w:t>
      </w:r>
      <w:r>
        <w:rPr>
          <w:spacing w:val="-3"/>
        </w:rPr>
        <w:t xml:space="preserve"> </w:t>
      </w:r>
      <w:r>
        <w:t>as follows;</w:t>
      </w:r>
    </w:p>
    <w:p w14:paraId="4754134D" w14:textId="77777777" w:rsidR="009D168D" w:rsidRDefault="00000000">
      <w:pPr>
        <w:pStyle w:val="BodyText"/>
        <w:spacing w:before="158" w:line="254" w:lineRule="auto"/>
        <w:ind w:left="100" w:right="238"/>
      </w:pPr>
      <w:r>
        <w:t>“the gross aberrations on the facts was not articulated. It remains a bold allegation impugning</w:t>
      </w:r>
      <w:r>
        <w:rPr>
          <w:spacing w:val="1"/>
        </w:rPr>
        <w:t xml:space="preserve"> </w:t>
      </w:r>
      <w:r>
        <w:t>findings of fact. It did not state how and in what way the arbitrator grossly erred in reaching the</w:t>
      </w:r>
      <w:r>
        <w:rPr>
          <w:spacing w:val="1"/>
        </w:rPr>
        <w:t xml:space="preserve"> </w:t>
      </w:r>
      <w:r>
        <w:t>conclusion that was sought to be impugned. In these circumstances, it remained an attack against a</w:t>
      </w:r>
      <w:r>
        <w:rPr>
          <w:spacing w:val="-47"/>
        </w:rPr>
        <w:t xml:space="preserve"> </w:t>
      </w:r>
      <w:r>
        <w:t>simple</w:t>
      </w:r>
      <w:r>
        <w:rPr>
          <w:spacing w:val="-1"/>
        </w:rPr>
        <w:t xml:space="preserve"> </w:t>
      </w:r>
      <w:r>
        <w:t>finding</w:t>
      </w:r>
      <w:r>
        <w:rPr>
          <w:spacing w:val="-3"/>
        </w:rPr>
        <w:t xml:space="preserve"> </w:t>
      </w:r>
      <w:r>
        <w:t>of fact and</w:t>
      </w:r>
      <w:r>
        <w:rPr>
          <w:spacing w:val="-1"/>
        </w:rPr>
        <w:t xml:space="preserve"> </w:t>
      </w:r>
      <w:r>
        <w:t>clearly 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raise</w:t>
      </w:r>
      <w:r>
        <w:rPr>
          <w:spacing w:val="-2"/>
        </w:rPr>
        <w:t xml:space="preserve"> </w:t>
      </w:r>
      <w:r>
        <w:t>any issue of law.”</w:t>
      </w:r>
    </w:p>
    <w:p w14:paraId="7F755DFD" w14:textId="77777777" w:rsidR="009D168D" w:rsidRDefault="00000000">
      <w:pPr>
        <w:pStyle w:val="BodyText"/>
        <w:spacing w:before="158" w:line="254" w:lineRule="auto"/>
        <w:ind w:left="100" w:right="193"/>
        <w:rPr>
          <w:b/>
        </w:rPr>
      </w:pPr>
      <w:r>
        <w:t>This is the same case as in casu. Gross misdirection has not been substantiated. It has not been</w:t>
      </w:r>
      <w:r>
        <w:rPr>
          <w:spacing w:val="1"/>
        </w:rPr>
        <w:t xml:space="preserve"> </w:t>
      </w:r>
      <w:r>
        <w:t>demonstrated that the misdirection, if any, was so grossly unreasonable that any reasonable person</w:t>
      </w:r>
      <w:r>
        <w:rPr>
          <w:spacing w:val="-47"/>
        </w:rPr>
        <w:t xml:space="preserve"> </w:t>
      </w:r>
      <w:r>
        <w:t xml:space="preserve">applying his or her mind could not have arrived at such a conclusion of facts. See </w:t>
      </w:r>
      <w:r>
        <w:rPr>
          <w:b/>
        </w:rPr>
        <w:t>Hama v National</w:t>
      </w:r>
      <w:r>
        <w:rPr>
          <w:b/>
          <w:spacing w:val="1"/>
        </w:rPr>
        <w:t xml:space="preserve"> </w:t>
      </w:r>
      <w:r>
        <w:rPr>
          <w:b/>
        </w:rPr>
        <w:t>railways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Zimbabwe</w:t>
      </w:r>
      <w:r>
        <w:rPr>
          <w:b/>
          <w:spacing w:val="-2"/>
        </w:rPr>
        <w:t xml:space="preserve"> </w:t>
      </w:r>
      <w:r>
        <w:rPr>
          <w:b/>
        </w:rPr>
        <w:t>1996</w:t>
      </w:r>
      <w:r>
        <w:rPr>
          <w:b/>
          <w:spacing w:val="2"/>
        </w:rPr>
        <w:t xml:space="preserve"> </w:t>
      </w:r>
      <w:r>
        <w:rPr>
          <w:b/>
        </w:rPr>
        <w:t>(1)</w:t>
      </w:r>
      <w:r>
        <w:rPr>
          <w:b/>
          <w:spacing w:val="-2"/>
        </w:rPr>
        <w:t xml:space="preserve"> </w:t>
      </w:r>
      <w:r>
        <w:rPr>
          <w:b/>
        </w:rPr>
        <w:t>ZLR</w:t>
      </w:r>
      <w:r>
        <w:rPr>
          <w:b/>
          <w:spacing w:val="-2"/>
        </w:rPr>
        <w:t xml:space="preserve"> </w:t>
      </w:r>
      <w:r>
        <w:rPr>
          <w:b/>
        </w:rPr>
        <w:t>664.</w:t>
      </w:r>
    </w:p>
    <w:p w14:paraId="54A3BE20" w14:textId="77777777" w:rsidR="009D168D" w:rsidRDefault="00000000">
      <w:pPr>
        <w:pStyle w:val="BodyText"/>
        <w:spacing w:before="157" w:line="254" w:lineRule="auto"/>
        <w:ind w:left="100" w:right="215"/>
      </w:pPr>
      <w:r>
        <w:t>In the end the grounds remained simple attacks on the factual findings which cannot be the basis of</w:t>
      </w:r>
      <w:r>
        <w:rPr>
          <w:spacing w:val="-47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appeal in</w:t>
      </w:r>
      <w:r>
        <w:rPr>
          <w:spacing w:val="-1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 92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Act.</w:t>
      </w:r>
    </w:p>
    <w:p w14:paraId="28C1BE59" w14:textId="77777777" w:rsidR="009D168D" w:rsidRDefault="00000000">
      <w:pPr>
        <w:pStyle w:val="BodyText"/>
        <w:spacing w:before="161" w:line="252" w:lineRule="auto"/>
        <w:ind w:left="100" w:right="395"/>
      </w:pPr>
      <w:r>
        <w:t>In the result it is found that the intended grounds cannot succeed on appeal as firstly they are not</w:t>
      </w:r>
      <w:r>
        <w:rPr>
          <w:spacing w:val="-47"/>
        </w:rPr>
        <w:t xml:space="preserve"> </w:t>
      </w:r>
      <w:r>
        <w:t>concise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secondly,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raise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of law.</w:t>
      </w:r>
    </w:p>
    <w:p w14:paraId="2BB02550" w14:textId="77777777" w:rsidR="009D168D" w:rsidRDefault="00000000">
      <w:pPr>
        <w:pStyle w:val="BodyText"/>
        <w:spacing w:before="163"/>
        <w:ind w:left="100"/>
      </w:pPr>
      <w:r>
        <w:t>The</w:t>
      </w:r>
      <w:r>
        <w:rPr>
          <w:spacing w:val="-1"/>
        </w:rPr>
        <w:t xml:space="preserve"> </w:t>
      </w:r>
      <w:r>
        <w:t>objections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merit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succeed.</w:t>
      </w:r>
    </w:p>
    <w:p w14:paraId="1F9444C2" w14:textId="77777777" w:rsidR="009D168D" w:rsidRDefault="00000000">
      <w:pPr>
        <w:spacing w:before="178"/>
        <w:ind w:left="100"/>
        <w:rPr>
          <w:b/>
        </w:rPr>
      </w:pPr>
      <w:r>
        <w:rPr>
          <w:b/>
          <w:u w:val="single"/>
        </w:rPr>
        <w:t>Order:</w:t>
      </w:r>
    </w:p>
    <w:p w14:paraId="161E8006" w14:textId="77777777" w:rsidR="009D168D" w:rsidRDefault="009D168D">
      <w:pPr>
        <w:pStyle w:val="BodyText"/>
        <w:spacing w:before="9"/>
        <w:rPr>
          <w:b/>
          <w:sz w:val="9"/>
        </w:rPr>
      </w:pPr>
    </w:p>
    <w:p w14:paraId="2B222CD7" w14:textId="0B641D1E" w:rsidR="009D168D" w:rsidRDefault="00000000">
      <w:pPr>
        <w:pStyle w:val="BodyText"/>
        <w:spacing w:before="57" w:line="396" w:lineRule="auto"/>
        <w:ind w:left="100" w:right="3527"/>
      </w:pPr>
      <w:r>
        <w:t>The application for leave to appeal be and is hereby dismissed.</w:t>
      </w:r>
      <w:r>
        <w:rPr>
          <w:spacing w:val="-47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as to</w:t>
      </w:r>
      <w:r>
        <w:rPr>
          <w:spacing w:val="-1"/>
        </w:rPr>
        <w:t xml:space="preserve"> </w:t>
      </w:r>
      <w:r>
        <w:t>costs.</w:t>
      </w:r>
    </w:p>
    <w:p w14:paraId="591EF298" w14:textId="77777777" w:rsidR="009D168D" w:rsidRDefault="009D168D">
      <w:pPr>
        <w:pStyle w:val="BodyText"/>
        <w:rPr>
          <w:sz w:val="20"/>
        </w:rPr>
      </w:pPr>
    </w:p>
    <w:p w14:paraId="134D9DCB" w14:textId="77777777" w:rsidR="009D168D" w:rsidRDefault="009D168D">
      <w:pPr>
        <w:pStyle w:val="BodyText"/>
        <w:rPr>
          <w:sz w:val="20"/>
        </w:rPr>
      </w:pPr>
    </w:p>
    <w:p w14:paraId="23AB2FCB" w14:textId="77777777" w:rsidR="009D168D" w:rsidRDefault="009D168D">
      <w:pPr>
        <w:pStyle w:val="BodyText"/>
        <w:rPr>
          <w:sz w:val="20"/>
        </w:rPr>
      </w:pPr>
    </w:p>
    <w:p w14:paraId="79553750" w14:textId="77777777" w:rsidR="009D168D" w:rsidRDefault="009D168D">
      <w:pPr>
        <w:pStyle w:val="BodyText"/>
        <w:rPr>
          <w:sz w:val="20"/>
        </w:rPr>
      </w:pPr>
    </w:p>
    <w:p w14:paraId="5537FD95" w14:textId="77777777" w:rsidR="009D168D" w:rsidRDefault="009D168D">
      <w:pPr>
        <w:pStyle w:val="BodyText"/>
        <w:rPr>
          <w:sz w:val="20"/>
        </w:rPr>
      </w:pPr>
    </w:p>
    <w:p w14:paraId="60083157" w14:textId="77777777" w:rsidR="009D168D" w:rsidRDefault="00000000">
      <w:pPr>
        <w:pStyle w:val="BodyText"/>
        <w:spacing w:before="10"/>
        <w:rPr>
          <w:sz w:val="26"/>
        </w:rPr>
      </w:pPr>
      <w:r>
        <w:pict w14:anchorId="1F9DB5D2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181.95pt;margin-top:18.3pt;width:290.9pt;height:107.55pt;z-index:-251658240;mso-wrap-distance-left:0;mso-wrap-distance-right:0;mso-position-horizontal-relative:page" filled="f" stroked="f">
            <v:textbox inset="0,0,0,0">
              <w:txbxContent>
                <w:p w14:paraId="7C041FD0" w14:textId="77777777" w:rsidR="009D168D" w:rsidRDefault="009D168D">
                  <w:pPr>
                    <w:pStyle w:val="BodyText"/>
                  </w:pPr>
                </w:p>
                <w:p w14:paraId="45455F1B" w14:textId="77777777" w:rsidR="009D168D" w:rsidRDefault="009D168D">
                  <w:pPr>
                    <w:pStyle w:val="BodyText"/>
                  </w:pPr>
                </w:p>
                <w:p w14:paraId="115E620F" w14:textId="77777777" w:rsidR="009D168D" w:rsidRDefault="009D168D">
                  <w:pPr>
                    <w:pStyle w:val="BodyText"/>
                  </w:pPr>
                </w:p>
                <w:p w14:paraId="6CE4855B" w14:textId="77777777" w:rsidR="009D168D" w:rsidRDefault="009D168D">
                  <w:pPr>
                    <w:pStyle w:val="BodyText"/>
                    <w:spacing w:before="4"/>
                  </w:pPr>
                </w:p>
                <w:p w14:paraId="15DCDED6" w14:textId="77777777" w:rsidR="009D168D" w:rsidRDefault="00000000">
                  <w:pPr>
                    <w:pStyle w:val="BodyText"/>
                    <w:ind w:left="1417" w:right="1970"/>
                    <w:jc w:val="center"/>
                  </w:pPr>
                  <w:r>
                    <w:t>………………………………………..</w:t>
                  </w:r>
                </w:p>
                <w:p w14:paraId="555D6513" w14:textId="77777777" w:rsidR="009D168D" w:rsidRDefault="00000000">
                  <w:pPr>
                    <w:spacing w:before="178" w:line="625" w:lineRule="exact"/>
                    <w:ind w:left="1323" w:right="1970"/>
                    <w:jc w:val="center"/>
                    <w:rPr>
                      <w:sz w:val="52"/>
                    </w:rPr>
                  </w:pPr>
                  <w:r>
                    <w:rPr>
                      <w:sz w:val="52"/>
                    </w:rPr>
                    <w:t>JUDGE</w:t>
                  </w:r>
                </w:p>
              </w:txbxContent>
            </v:textbox>
            <w10:wrap type="topAndBottom" anchorx="page"/>
          </v:shape>
        </w:pict>
      </w:r>
    </w:p>
    <w:sectPr w:rsidR="009D168D">
      <w:pgSz w:w="11910" w:h="16840"/>
      <w:pgMar w:top="1380" w:right="1320" w:bottom="1180" w:left="1340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AC703" w14:textId="77777777" w:rsidR="002E62B5" w:rsidRDefault="002E62B5">
      <w:r>
        <w:separator/>
      </w:r>
    </w:p>
  </w:endnote>
  <w:endnote w:type="continuationSeparator" w:id="0">
    <w:p w14:paraId="5C705F5A" w14:textId="77777777" w:rsidR="002E62B5" w:rsidRDefault="002E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27092" w14:textId="77777777" w:rsidR="009D168D" w:rsidRDefault="00000000">
    <w:pPr>
      <w:pStyle w:val="BodyText"/>
      <w:spacing w:line="14" w:lineRule="auto"/>
      <w:rPr>
        <w:sz w:val="20"/>
      </w:rPr>
    </w:pPr>
    <w:r>
      <w:pict w14:anchorId="066CC8F9">
        <v:rect id="_x0000_s1026" style="position:absolute;margin-left:70.6pt;margin-top:778.3pt;width:454.25pt;height:.5pt;z-index:-15790592;mso-position-horizontal-relative:page;mso-position-vertical-relative:page" fillcolor="#d9d9d9" stroked="f">
          <w10:wrap anchorx="page" anchory="page"/>
        </v:rect>
      </w:pict>
    </w:r>
    <w:r>
      <w:pict w14:anchorId="1666ACE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2pt;margin-top:780.9pt;width:53.3pt;height:13.05pt;z-index:-15790080;mso-position-horizontal-relative:page;mso-position-vertical-relative:page" filled="f" stroked="f">
          <v:textbox inset="0,0,0,0">
            <w:txbxContent>
              <w:p w14:paraId="6D7A6324" w14:textId="77777777" w:rsidR="009D168D" w:rsidRDefault="00000000">
                <w:pPr>
                  <w:pStyle w:val="BodyText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1"/>
                  </w:rPr>
                  <w:t xml:space="preserve"> </w:t>
                </w:r>
                <w:r>
                  <w:t>|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2"/>
                  </w:rPr>
                  <w:t xml:space="preserve"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9"/>
                  </w:rPr>
                  <w:t xml:space="preserve"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9"/>
                  </w:rPr>
                  <w:t xml:space="preserve"> </w:t>
                </w:r>
                <w:r>
                  <w:rPr>
                    <w:color w:val="7E7E7E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E8656" w14:textId="77777777" w:rsidR="002E62B5" w:rsidRDefault="002E62B5">
      <w:r>
        <w:separator/>
      </w:r>
    </w:p>
  </w:footnote>
  <w:footnote w:type="continuationSeparator" w:id="0">
    <w:p w14:paraId="2E5D8A7E" w14:textId="77777777" w:rsidR="002E62B5" w:rsidRDefault="002E6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168D"/>
    <w:rsid w:val="002E62B5"/>
    <w:rsid w:val="00662271"/>
    <w:rsid w:val="009D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AD88875"/>
  <w15:docId w15:val="{37956FD4-0714-472D-836F-D10C1DCC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6248</Characters>
  <Application>Microsoft Office Word</Application>
  <DocSecurity>0</DocSecurity>
  <Lines>52</Lines>
  <Paragraphs>14</Paragraphs>
  <ScaleCrop>false</ScaleCrop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 Hove J</dc:creator>
  <cp:lastModifiedBy>Ophilia Tokowoyo</cp:lastModifiedBy>
  <cp:revision>3</cp:revision>
  <dcterms:created xsi:type="dcterms:W3CDTF">2023-10-06T10:01:00Z</dcterms:created>
  <dcterms:modified xsi:type="dcterms:W3CDTF">2023-10-06T10:10:00Z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