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CE8" w:rsidRDefault="00064CE8" w:rsidP="00064CE8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 THE LABOUR COURT OF ZIMBABWE</w:t>
      </w:r>
      <w:r>
        <w:rPr>
          <w:b/>
          <w:sz w:val="22"/>
          <w:szCs w:val="22"/>
        </w:rPr>
        <w:tab/>
        <w:t xml:space="preserve">                 JUDGMENT NO. LC/H/</w:t>
      </w:r>
      <w:r w:rsidR="00C061AC">
        <w:rPr>
          <w:b/>
          <w:sz w:val="22"/>
          <w:szCs w:val="22"/>
        </w:rPr>
        <w:t>506</w:t>
      </w:r>
      <w:r>
        <w:rPr>
          <w:b/>
          <w:sz w:val="22"/>
          <w:szCs w:val="22"/>
        </w:rPr>
        <w:t>/2016</w:t>
      </w:r>
    </w:p>
    <w:p w:rsidR="00064CE8" w:rsidRDefault="00064CE8" w:rsidP="00064CE8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HARARE, </w:t>
      </w:r>
      <w:r w:rsidR="00A30C6F">
        <w:rPr>
          <w:b/>
          <w:sz w:val="22"/>
          <w:szCs w:val="22"/>
        </w:rPr>
        <w:t xml:space="preserve">22 JUNE </w:t>
      </w:r>
      <w:r>
        <w:rPr>
          <w:b/>
          <w:sz w:val="22"/>
          <w:szCs w:val="22"/>
        </w:rPr>
        <w:t>2016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</w:t>
      </w:r>
      <w:r>
        <w:rPr>
          <w:b/>
          <w:sz w:val="22"/>
          <w:szCs w:val="22"/>
        </w:rPr>
        <w:tab/>
        <w:t xml:space="preserve">       CASE NO. LC/H/</w:t>
      </w:r>
      <w:r w:rsidR="00821694">
        <w:rPr>
          <w:b/>
          <w:sz w:val="22"/>
          <w:szCs w:val="22"/>
        </w:rPr>
        <w:t>103/16</w:t>
      </w:r>
    </w:p>
    <w:p w:rsidR="00064CE8" w:rsidRDefault="00064CE8" w:rsidP="00064CE8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AND </w:t>
      </w:r>
      <w:r w:rsidR="00C061AC">
        <w:rPr>
          <w:b/>
          <w:sz w:val="22"/>
          <w:szCs w:val="22"/>
        </w:rPr>
        <w:t xml:space="preserve">9 SEPTEMBER </w:t>
      </w:r>
      <w:bookmarkStart w:id="0" w:name="_GoBack"/>
      <w:bookmarkEnd w:id="0"/>
      <w:r>
        <w:rPr>
          <w:b/>
          <w:sz w:val="22"/>
          <w:szCs w:val="22"/>
        </w:rPr>
        <w:t>2016</w:t>
      </w:r>
    </w:p>
    <w:p w:rsidR="00064CE8" w:rsidRDefault="00064CE8" w:rsidP="00064CE8">
      <w:pPr>
        <w:spacing w:line="360" w:lineRule="auto"/>
        <w:jc w:val="both"/>
      </w:pPr>
      <w:r>
        <w:t>In the matter between:-</w:t>
      </w:r>
    </w:p>
    <w:p w:rsidR="00064CE8" w:rsidRDefault="00064CE8" w:rsidP="00064CE8">
      <w:pPr>
        <w:spacing w:line="360" w:lineRule="auto"/>
        <w:jc w:val="both"/>
      </w:pPr>
    </w:p>
    <w:p w:rsidR="00064CE8" w:rsidRDefault="00D87A08" w:rsidP="00064CE8">
      <w:pPr>
        <w:spacing w:line="360" w:lineRule="auto"/>
        <w:jc w:val="both"/>
        <w:rPr>
          <w:b/>
        </w:rPr>
      </w:pPr>
      <w:r>
        <w:rPr>
          <w:b/>
        </w:rPr>
        <w:t>ISHMAEL PARAJE</w:t>
      </w:r>
      <w:r w:rsidR="00064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64CE8">
        <w:rPr>
          <w:b/>
        </w:rPr>
        <w:tab/>
      </w:r>
      <w:r w:rsidR="00064CE8">
        <w:rPr>
          <w:b/>
        </w:rPr>
        <w:tab/>
      </w:r>
      <w:r w:rsidR="00064CE8">
        <w:rPr>
          <w:b/>
        </w:rPr>
        <w:tab/>
      </w:r>
      <w:r w:rsidR="00064CE8">
        <w:rPr>
          <w:b/>
        </w:rPr>
        <w:tab/>
      </w:r>
      <w:r w:rsidR="00064CE8">
        <w:rPr>
          <w:b/>
        </w:rPr>
        <w:tab/>
        <w:t>Appellant</w:t>
      </w:r>
    </w:p>
    <w:p w:rsidR="00064CE8" w:rsidRDefault="00064CE8" w:rsidP="00064CE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And</w:t>
      </w:r>
    </w:p>
    <w:p w:rsidR="00064CE8" w:rsidRDefault="00D87A08" w:rsidP="00064CE8">
      <w:pPr>
        <w:spacing w:line="360" w:lineRule="auto"/>
        <w:jc w:val="both"/>
        <w:rPr>
          <w:b/>
        </w:rPr>
      </w:pPr>
      <w:r>
        <w:rPr>
          <w:b/>
        </w:rPr>
        <w:t>RURAL ELECTRIFICATION AGENCY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64CE8">
        <w:rPr>
          <w:b/>
        </w:rPr>
        <w:t>Respondent</w:t>
      </w:r>
    </w:p>
    <w:p w:rsidR="00064CE8" w:rsidRDefault="00064CE8" w:rsidP="00064CE8">
      <w:pPr>
        <w:spacing w:line="360" w:lineRule="auto"/>
        <w:jc w:val="both"/>
        <w:rPr>
          <w:b/>
        </w:rPr>
      </w:pPr>
    </w:p>
    <w:p w:rsidR="00064CE8" w:rsidRDefault="00064CE8" w:rsidP="00064CE8">
      <w:pPr>
        <w:spacing w:line="360" w:lineRule="auto"/>
        <w:jc w:val="both"/>
      </w:pPr>
      <w:r>
        <w:t>Before The Honourable F.C. Maxwell, Judge</w:t>
      </w:r>
    </w:p>
    <w:p w:rsidR="00064CE8" w:rsidRDefault="00064CE8" w:rsidP="00064CE8">
      <w:pPr>
        <w:spacing w:line="360" w:lineRule="auto"/>
        <w:jc w:val="both"/>
      </w:pPr>
    </w:p>
    <w:p w:rsidR="00064CE8" w:rsidRDefault="00064CE8" w:rsidP="00064CE8">
      <w:pPr>
        <w:spacing w:line="360" w:lineRule="auto"/>
        <w:jc w:val="both"/>
        <w:rPr>
          <w:b/>
        </w:rPr>
      </w:pPr>
      <w:r>
        <w:rPr>
          <w:b/>
        </w:rPr>
        <w:t>For Appellant</w:t>
      </w:r>
      <w:r w:rsidR="00D87A08">
        <w:rPr>
          <w:b/>
        </w:rPr>
        <w:tab/>
      </w:r>
      <w:r w:rsidR="00D87A08">
        <w:rPr>
          <w:b/>
        </w:rPr>
        <w:tab/>
        <w:t>Ms C Mapanda (Trade Unionist)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64CE8" w:rsidRDefault="00064CE8" w:rsidP="00064CE8">
      <w:pPr>
        <w:spacing w:line="360" w:lineRule="auto"/>
        <w:jc w:val="both"/>
        <w:rPr>
          <w:b/>
        </w:rPr>
      </w:pPr>
      <w:r>
        <w:rPr>
          <w:b/>
        </w:rPr>
        <w:t>For Respondent</w:t>
      </w:r>
      <w:r w:rsidR="00D87A08">
        <w:rPr>
          <w:b/>
        </w:rPr>
        <w:tab/>
      </w:r>
      <w:r w:rsidR="00D87A08">
        <w:rPr>
          <w:b/>
        </w:rPr>
        <w:tab/>
      </w:r>
      <w:r w:rsidR="00FA7208">
        <w:rPr>
          <w:b/>
        </w:rPr>
        <w:t xml:space="preserve">Mr M. </w:t>
      </w:r>
      <w:proofErr w:type="spellStart"/>
      <w:r w:rsidR="00FA7208">
        <w:rPr>
          <w:b/>
        </w:rPr>
        <w:t>Gapa</w:t>
      </w:r>
      <w:r w:rsidR="00606E4D">
        <w:rPr>
          <w:b/>
        </w:rPr>
        <w:t>ra</w:t>
      </w:r>
      <w:proofErr w:type="spellEnd"/>
      <w:r w:rsidR="00606E4D">
        <w:rPr>
          <w:b/>
        </w:rPr>
        <w:t xml:space="preserve"> (Executive)</w:t>
      </w:r>
      <w:r>
        <w:rPr>
          <w:b/>
        </w:rPr>
        <w:tab/>
      </w:r>
      <w:r>
        <w:rPr>
          <w:b/>
        </w:rPr>
        <w:tab/>
      </w:r>
    </w:p>
    <w:p w:rsidR="00064CE8" w:rsidRDefault="00064CE8" w:rsidP="00064CE8">
      <w:pPr>
        <w:spacing w:line="360" w:lineRule="auto"/>
        <w:jc w:val="both"/>
        <w:rPr>
          <w:b/>
          <w:sz w:val="28"/>
          <w:szCs w:val="28"/>
        </w:rPr>
      </w:pPr>
    </w:p>
    <w:p w:rsidR="00064CE8" w:rsidRDefault="00064CE8" w:rsidP="00064CE8">
      <w:pPr>
        <w:rPr>
          <w:b/>
        </w:rPr>
      </w:pPr>
      <w:r>
        <w:rPr>
          <w:b/>
        </w:rPr>
        <w:t>MAXWELL, J</w:t>
      </w:r>
    </w:p>
    <w:p w:rsidR="00064CE8" w:rsidRDefault="00064CE8" w:rsidP="00064CE8"/>
    <w:p w:rsidR="0076068F" w:rsidRDefault="0076068F" w:rsidP="00E70F6E">
      <w:pPr>
        <w:spacing w:line="360" w:lineRule="auto"/>
        <w:jc w:val="both"/>
      </w:pPr>
    </w:p>
    <w:p w:rsidR="00E70F6E" w:rsidRDefault="00E70F6E" w:rsidP="00E70F6E">
      <w:pPr>
        <w:spacing w:line="360" w:lineRule="auto"/>
        <w:jc w:val="both"/>
      </w:pPr>
      <w:r>
        <w:tab/>
      </w:r>
      <w:r w:rsidR="000126EB">
        <w:t xml:space="preserve">This is an appeal against the decision of the Appeals </w:t>
      </w:r>
      <w:r w:rsidR="001366B2">
        <w:t xml:space="preserve">Committee issued on 20 April 2015.  Appellant was employed by respondent as a messenger based at Bindura.  He was suspended from duty following allegations of converting or attempting to convert respondent’s monies to his own use.  He was arraigned before a </w:t>
      </w:r>
      <w:r w:rsidR="00FC6AA5">
        <w:t>Disciplinary Committee and was convicted.  After conviction a dismissal penalty was imposed.</w:t>
      </w:r>
      <w:r w:rsidR="007B4EE0">
        <w:t xml:space="preserve">  Appellant was aggrieved and lodged an internal appeal which </w:t>
      </w:r>
      <w:r w:rsidR="002800AC">
        <w:t>was not successful.  Appellant thereafter approached this court on the following grounds,</w:t>
      </w:r>
    </w:p>
    <w:p w:rsidR="002800AC" w:rsidRDefault="002800AC" w:rsidP="009E711F">
      <w:pPr>
        <w:jc w:val="both"/>
      </w:pPr>
    </w:p>
    <w:p w:rsidR="002800AC" w:rsidRDefault="002800AC" w:rsidP="002800AC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The Appeals Committee grossly erred and misdirected itself by confirming the determination and penalty imposed on the appellant in respect of the firs</w:t>
      </w:r>
      <w:r w:rsidR="00FA7208">
        <w:t>t</w:t>
      </w:r>
      <w:r>
        <w:t xml:space="preserve"> charge considering that </w:t>
      </w:r>
      <w:r w:rsidR="00A317CC">
        <w:t>h</w:t>
      </w:r>
      <w:r>
        <w:t>e did not</w:t>
      </w:r>
      <w:r w:rsidR="00A23C51">
        <w:t xml:space="preserve"> convert the amount of $160.00 to his own use rather the said amount was returned </w:t>
      </w:r>
      <w:r w:rsidR="00020AAE">
        <w:t>back to the authority on the same day after the appellant failed to pay for the electricity bill.</w:t>
      </w:r>
    </w:p>
    <w:p w:rsidR="00807972" w:rsidRDefault="00807972" w:rsidP="002800AC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The Appeal Committee grossly erred in upholding the decision of the disciplinary committee i</w:t>
      </w:r>
      <w:r w:rsidR="00817588">
        <w:t xml:space="preserve">n relation to the third charge of taking or converting the amount of $405.00 to his own use in that there was proof that he </w:t>
      </w:r>
      <w:r w:rsidR="00817588">
        <w:lastRenderedPageBreak/>
        <w:t>converted the said amount to his own use (sic) and the appellant had already reimbursed to (sic) the money to the company.  There was no loss suffered by the respondent.</w:t>
      </w:r>
    </w:p>
    <w:p w:rsidR="00731668" w:rsidRDefault="00731668" w:rsidP="002800AC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The findings of the disciplinary and grievance committee as confirmed by appeals committee were grossly unreasonable and irrational in that</w:t>
      </w:r>
      <w:r w:rsidR="00906EB9">
        <w:t xml:space="preserve"> the facts of the matter as presented did not prove any case against the appellant considering that the respondent failed to furnish the appellant with the cash </w:t>
      </w:r>
      <w:r w:rsidR="002A3221">
        <w:t>request register which he requested during the</w:t>
      </w:r>
      <w:r w:rsidR="00441796">
        <w:t xml:space="preserve"> hearing which could have helped him to defend his case.</w:t>
      </w:r>
    </w:p>
    <w:p w:rsidR="00441796" w:rsidRDefault="00986CFE" w:rsidP="002800AC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The Appeals Committee erred in failing to realize that the dismissal penalty which was meted was gross in its defiance</w:t>
      </w:r>
      <w:r w:rsidR="009D4C45">
        <w:t xml:space="preserve"> of logic that no reasonable committee sitting to consider the facts would refrain </w:t>
      </w:r>
      <w:r w:rsidR="00F0409E">
        <w:t>from interfering with the penalty.  In terms of section 12</w:t>
      </w:r>
      <w:r w:rsidR="00B64E64">
        <w:t>B (4) of the Labour Act, the appeals committee was obliged to weigh the fairness of the appellant’s dismissal against any mitigation facts avail</w:t>
      </w:r>
      <w:r w:rsidR="00D0667B">
        <w:t xml:space="preserve">ing </w:t>
      </w:r>
      <w:r w:rsidR="00BD6D1F">
        <w:t>but it refrained from exercising its mandatory duty in concluding</w:t>
      </w:r>
      <w:r w:rsidR="00B13DDF">
        <w:t xml:space="preserve"> that the dismissal was fair.</w:t>
      </w:r>
    </w:p>
    <w:p w:rsidR="00B13DDF" w:rsidRDefault="00B13DDF" w:rsidP="009E711F">
      <w:pPr>
        <w:jc w:val="both"/>
      </w:pPr>
    </w:p>
    <w:p w:rsidR="00B13DDF" w:rsidRDefault="00B13DDF" w:rsidP="008637F3">
      <w:pPr>
        <w:spacing w:line="360" w:lineRule="auto"/>
        <w:ind w:firstLine="720"/>
        <w:jc w:val="both"/>
      </w:pPr>
      <w:r>
        <w:t>Appellant prayed for the granting of the appeal, the setting aside of the decision of the appeals committee</w:t>
      </w:r>
      <w:r w:rsidR="0078773F">
        <w:t>, the setting aside of the penalty of dismissal and his reinstatement without loss of salary and benefits.  In the alternative, appellant prayed</w:t>
      </w:r>
      <w:r w:rsidR="008637F3">
        <w:t xml:space="preserve"> for damages in lieu of reinstatement.</w:t>
      </w:r>
    </w:p>
    <w:p w:rsidR="008637F3" w:rsidRDefault="008637F3" w:rsidP="009E711F">
      <w:pPr>
        <w:ind w:firstLine="720"/>
        <w:jc w:val="both"/>
      </w:pPr>
    </w:p>
    <w:p w:rsidR="008637F3" w:rsidRDefault="008637F3" w:rsidP="008637F3">
      <w:pPr>
        <w:spacing w:line="360" w:lineRule="auto"/>
        <w:ind w:firstLine="720"/>
        <w:jc w:val="both"/>
      </w:pPr>
      <w:r>
        <w:t>In response, respondent contended that</w:t>
      </w:r>
      <w:r w:rsidR="001851DB">
        <w:t xml:space="preserve"> the appeals committee did not err.  Respondent stated that appellant did not </w:t>
      </w:r>
      <w:r w:rsidR="00B41431">
        <w:t>pay the electricity bill and neither did he return the $160.00.  Respondent also stated that appellant collected</w:t>
      </w:r>
      <w:r w:rsidR="00E24A07">
        <w:t xml:space="preserve"> $405.00 on 8 November </w:t>
      </w:r>
      <w:r w:rsidR="00E538E8">
        <w:t>20</w:t>
      </w:r>
      <w:r w:rsidR="00E24A07">
        <w:t>13 and did not pay the electricity bill as instructed</w:t>
      </w:r>
      <w:r w:rsidR="007539D5">
        <w:t>.  Instead he reimbursed the money in two instalments on 14 April</w:t>
      </w:r>
      <w:r w:rsidR="001746E8">
        <w:t xml:space="preserve"> 2014 and 23 May 2014.  With respect to the cash re</w:t>
      </w:r>
      <w:r w:rsidR="0023691C">
        <w:t xml:space="preserve">quest register, respondent stated that appellant had </w:t>
      </w:r>
      <w:r w:rsidR="00185F7E">
        <w:t>not requested for the document prior to the hearing and nothing precluded appellant from leading evidence orally from witnesses on the contents</w:t>
      </w:r>
      <w:r w:rsidR="009A4630">
        <w:t xml:space="preserve"> of the register. On the penalty, respondent stated that it properly exercised its discretion as appellant’s moral blameworthiness is </w:t>
      </w:r>
      <w:r w:rsidR="005952FE">
        <w:t xml:space="preserve">aggravated by the fact that he was in a position of trust.  </w:t>
      </w:r>
      <w:r w:rsidR="005952FE">
        <w:lastRenderedPageBreak/>
        <w:t xml:space="preserve">By displaying dishonesty </w:t>
      </w:r>
      <w:r w:rsidR="00CF55DD">
        <w:t>appellant betrayed the trust bestowed upon him justifying a penalty of</w:t>
      </w:r>
      <w:r w:rsidR="005C57BD">
        <w:t xml:space="preserve"> dismissal.  Respondent prayed for the dismissal of the appeal.</w:t>
      </w:r>
    </w:p>
    <w:p w:rsidR="005C57BD" w:rsidRDefault="005C57BD" w:rsidP="009E711F">
      <w:pPr>
        <w:jc w:val="both"/>
      </w:pPr>
    </w:p>
    <w:p w:rsidR="005C57BD" w:rsidRPr="009E711F" w:rsidRDefault="005C57BD" w:rsidP="005C57BD">
      <w:pPr>
        <w:spacing w:line="360" w:lineRule="auto"/>
        <w:jc w:val="both"/>
        <w:rPr>
          <w:u w:val="single"/>
        </w:rPr>
      </w:pPr>
      <w:r w:rsidRPr="009E711F">
        <w:rPr>
          <w:u w:val="single"/>
        </w:rPr>
        <w:t>Ground of Appeal</w:t>
      </w:r>
      <w:r w:rsidR="00210C0A" w:rsidRPr="009E711F">
        <w:rPr>
          <w:u w:val="single"/>
        </w:rPr>
        <w:t xml:space="preserve"> One</w:t>
      </w:r>
    </w:p>
    <w:p w:rsidR="00B554A3" w:rsidRDefault="00B554A3" w:rsidP="009E711F">
      <w:pPr>
        <w:jc w:val="both"/>
      </w:pPr>
    </w:p>
    <w:p w:rsidR="00B554A3" w:rsidRDefault="00B554A3" w:rsidP="005C57BD">
      <w:pPr>
        <w:spacing w:line="360" w:lineRule="auto"/>
        <w:jc w:val="both"/>
      </w:pPr>
      <w:r>
        <w:tab/>
        <w:t>Appellant alleges that he returned the money the same day.  He tendered</w:t>
      </w:r>
      <w:r w:rsidR="00D01466">
        <w:t xml:space="preserve"> no receipt as proof of the return.  He however has receipts for the $405.00 which he reimbursed in instalments.  He claims that the cash requests </w:t>
      </w:r>
      <w:r w:rsidR="009C1698">
        <w:t>form has evidence that the money was returned.  It seems to me th</w:t>
      </w:r>
      <w:r w:rsidR="00FF5338">
        <w:t>at the appellant’s position is a</w:t>
      </w:r>
      <w:r w:rsidR="009C1698">
        <w:t>n afterthought.  During the investigation</w:t>
      </w:r>
      <w:r w:rsidR="00BE00FB">
        <w:t>s in 2014 appellant did not stat</w:t>
      </w:r>
      <w:r w:rsidR="009C1698">
        <w:t>e that he returned the money the following day.  On 20/11/14 he wrote</w:t>
      </w:r>
    </w:p>
    <w:p w:rsidR="00F24612" w:rsidRPr="00A24E30" w:rsidRDefault="00F24612" w:rsidP="009E711F">
      <w:pPr>
        <w:jc w:val="both"/>
        <w:rPr>
          <w:sz w:val="22"/>
          <w:szCs w:val="22"/>
        </w:rPr>
      </w:pPr>
    </w:p>
    <w:p w:rsidR="00F24612" w:rsidRPr="00A24E30" w:rsidRDefault="00637F8E" w:rsidP="00A24E30">
      <w:pPr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“… I am appe</w:t>
      </w:r>
      <w:r w:rsidR="00BE00FB" w:rsidRPr="00A24E30">
        <w:rPr>
          <w:sz w:val="22"/>
          <w:szCs w:val="22"/>
        </w:rPr>
        <w:t>lling</w:t>
      </w:r>
      <w:r w:rsidR="00F24612" w:rsidRPr="00A24E30">
        <w:rPr>
          <w:sz w:val="22"/>
          <w:szCs w:val="22"/>
        </w:rPr>
        <w:t xml:space="preserve"> (sic) your office </w:t>
      </w:r>
      <w:r w:rsidR="00BE00FB">
        <w:rPr>
          <w:sz w:val="22"/>
          <w:szCs w:val="22"/>
        </w:rPr>
        <w:t>to</w:t>
      </w:r>
      <w:r w:rsidR="00F24612" w:rsidRPr="00A24E30">
        <w:rPr>
          <w:sz w:val="22"/>
          <w:szCs w:val="22"/>
        </w:rPr>
        <w:t xml:space="preserve"> give me more time to come up with a detailed report with evidence of payment of $</w:t>
      </w:r>
      <w:r w:rsidR="005E10F8" w:rsidRPr="00A24E30">
        <w:rPr>
          <w:sz w:val="22"/>
          <w:szCs w:val="22"/>
        </w:rPr>
        <w:t>160.00 …”</w:t>
      </w:r>
    </w:p>
    <w:p w:rsidR="005E10F8" w:rsidRDefault="005E10F8" w:rsidP="00A24E30">
      <w:pPr>
        <w:jc w:val="both"/>
      </w:pPr>
    </w:p>
    <w:p w:rsidR="005E10F8" w:rsidRDefault="005E10F8" w:rsidP="007436A5">
      <w:pPr>
        <w:spacing w:line="360" w:lineRule="auto"/>
        <w:ind w:firstLine="720"/>
        <w:jc w:val="both"/>
      </w:pPr>
      <w:r>
        <w:t xml:space="preserve">The disciplinary committee in its findings stated that the respondent did not submit evidence to substantiate his claims that he returned the money to the </w:t>
      </w:r>
      <w:r w:rsidR="002E2C58">
        <w:t xml:space="preserve">Provincial Accountant and that there </w:t>
      </w:r>
      <w:r w:rsidR="00BE00FB">
        <w:t>is high probability that he conv</w:t>
      </w:r>
      <w:r w:rsidR="002E2C58">
        <w:t xml:space="preserve">erted it to personal use.  The </w:t>
      </w:r>
      <w:r w:rsidR="00851494">
        <w:t>Appe</w:t>
      </w:r>
      <w:r w:rsidR="00F775FB">
        <w:t xml:space="preserve">als Committee cannot be faulted for confirming the disciplinary </w:t>
      </w:r>
      <w:r w:rsidR="00A24E30">
        <w:t>committee’s findings</w:t>
      </w:r>
      <w:r w:rsidR="00F775FB">
        <w:t xml:space="preserve">.  At the appeal hearing </w:t>
      </w:r>
      <w:r w:rsidR="00865960">
        <w:t xml:space="preserve"> it was stated that the promised</w:t>
      </w:r>
      <w:r w:rsidR="001F7AE0">
        <w:t xml:space="preserve"> detailed report was never submitted.  The failure to submit </w:t>
      </w:r>
      <w:r w:rsidR="00DC22CB">
        <w:t>the report after he had promised to do so is in</w:t>
      </w:r>
      <w:r w:rsidR="00385DA3">
        <w:t>terpreted against the appellant.  I find that on a balance of probabilities</w:t>
      </w:r>
      <w:r w:rsidR="00FA630C">
        <w:t xml:space="preserve"> appellant converted the $160.00 to his own use.  The Appeals Committee’s decision can not be faulted.</w:t>
      </w:r>
    </w:p>
    <w:p w:rsidR="007436A5" w:rsidRDefault="007436A5" w:rsidP="00A24E30">
      <w:pPr>
        <w:jc w:val="both"/>
      </w:pPr>
    </w:p>
    <w:p w:rsidR="007436A5" w:rsidRPr="00A24E30" w:rsidRDefault="007436A5" w:rsidP="005C57BD">
      <w:pPr>
        <w:spacing w:line="360" w:lineRule="auto"/>
        <w:jc w:val="both"/>
        <w:rPr>
          <w:u w:val="single"/>
        </w:rPr>
      </w:pPr>
      <w:r w:rsidRPr="00A24E30">
        <w:rPr>
          <w:u w:val="single"/>
        </w:rPr>
        <w:t>Ground of Appeal Two</w:t>
      </w:r>
    </w:p>
    <w:p w:rsidR="0082093E" w:rsidRDefault="0082093E" w:rsidP="00A24E30">
      <w:pPr>
        <w:jc w:val="both"/>
      </w:pPr>
    </w:p>
    <w:p w:rsidR="0082093E" w:rsidRDefault="0082093E" w:rsidP="005C57BD">
      <w:pPr>
        <w:spacing w:line="360" w:lineRule="auto"/>
        <w:jc w:val="both"/>
      </w:pPr>
      <w:r>
        <w:tab/>
        <w:t>Appellant argues that there is no proof that he converted $405.00 to his own use and that there was no loss to respondent as he reimbursed the money</w:t>
      </w:r>
      <w:r w:rsidR="00B87A3F">
        <w:t>.  Respondent stated that appellant did not reimburse the money on the day he received it.  This is borne out by the record of proceedings.  The money was received on 8 November 2013</w:t>
      </w:r>
      <w:r w:rsidR="00926D59">
        <w:t xml:space="preserve"> but was reimbursed</w:t>
      </w:r>
      <w:r w:rsidR="008E6967">
        <w:t xml:space="preserve"> in</w:t>
      </w:r>
      <w:r w:rsidR="00926D59">
        <w:t xml:space="preserve"> instalments on 14 April 2014</w:t>
      </w:r>
      <w:r w:rsidR="008E6967">
        <w:t xml:space="preserve"> and 23 May 2014</w:t>
      </w:r>
      <w:r w:rsidR="00475E45">
        <w:t>.  The reimbursement does not negate the conversion to</w:t>
      </w:r>
      <w:r w:rsidR="00AF3726">
        <w:t xml:space="preserve"> own use.  Appellant seems to intimate </w:t>
      </w:r>
      <w:r w:rsidR="00CB0C5F">
        <w:t>that there is a possibility that the money was stolen</w:t>
      </w:r>
      <w:r w:rsidR="00241E0D">
        <w:t xml:space="preserve"> or lost.  There is no indication that appellant report</w:t>
      </w:r>
      <w:r w:rsidR="00935784">
        <w:t xml:space="preserve">ed this possibility to his superiors.  </w:t>
      </w:r>
      <w:r w:rsidR="00935784">
        <w:lastRenderedPageBreak/>
        <w:t>He was silent until the fact that the electricity bill he</w:t>
      </w:r>
      <w:r w:rsidR="00D10F8B">
        <w:t xml:space="preserve"> was supposed to have paid was not paid was discovered on audit, almost six months later.  In </w:t>
      </w:r>
      <w:r w:rsidR="007B4361">
        <w:t>my view the Appeals Committee cannot be faulted for confirming his guilt.</w:t>
      </w:r>
    </w:p>
    <w:p w:rsidR="007B4361" w:rsidRDefault="007B4361" w:rsidP="00A24E30">
      <w:pPr>
        <w:jc w:val="both"/>
      </w:pPr>
    </w:p>
    <w:p w:rsidR="007B4361" w:rsidRDefault="007B4361" w:rsidP="005C57BD">
      <w:pPr>
        <w:spacing w:line="360" w:lineRule="auto"/>
        <w:jc w:val="both"/>
      </w:pPr>
      <w:r>
        <w:tab/>
        <w:t>Appellant’s represe</w:t>
      </w:r>
      <w:r w:rsidR="008D421D">
        <w:t>ntative seems to be mistaken that since there was reimbursement conviction should not have followed.</w:t>
      </w:r>
      <w:r w:rsidR="00F070FE">
        <w:t xml:space="preserve">  If anything, the reimbursement is proof that the money</w:t>
      </w:r>
      <w:r w:rsidR="005E3283">
        <w:t xml:space="preserve"> was not used for its intended purpose.  I therefore find no merit in the second ground of appeal.</w:t>
      </w:r>
    </w:p>
    <w:p w:rsidR="005E3283" w:rsidRDefault="005E3283" w:rsidP="00A24E30">
      <w:pPr>
        <w:jc w:val="both"/>
      </w:pPr>
    </w:p>
    <w:p w:rsidR="005E3283" w:rsidRPr="00A24E30" w:rsidRDefault="001D15DE" w:rsidP="005C57BD">
      <w:pPr>
        <w:spacing w:line="360" w:lineRule="auto"/>
        <w:jc w:val="both"/>
        <w:rPr>
          <w:u w:val="single"/>
        </w:rPr>
      </w:pPr>
      <w:r w:rsidRPr="00A24E30">
        <w:rPr>
          <w:u w:val="single"/>
        </w:rPr>
        <w:t>Ground of Appeal T</w:t>
      </w:r>
      <w:r w:rsidR="005E3283" w:rsidRPr="00A24E30">
        <w:rPr>
          <w:u w:val="single"/>
        </w:rPr>
        <w:t>hree</w:t>
      </w:r>
    </w:p>
    <w:p w:rsidR="005E3283" w:rsidRDefault="005E3283" w:rsidP="00A24E30">
      <w:pPr>
        <w:jc w:val="both"/>
      </w:pPr>
    </w:p>
    <w:p w:rsidR="005E3283" w:rsidRDefault="005E3283" w:rsidP="005C57BD">
      <w:pPr>
        <w:spacing w:line="360" w:lineRule="auto"/>
        <w:jc w:val="both"/>
      </w:pPr>
      <w:r>
        <w:tab/>
        <w:t xml:space="preserve">Appellant criticises the Appeals Committee for confirming the findings of the disciplinary </w:t>
      </w:r>
      <w:r w:rsidR="00193A11">
        <w:t xml:space="preserve">committee in the absence </w:t>
      </w:r>
      <w:r w:rsidR="00EB406A">
        <w:t xml:space="preserve">of the cash request register requested </w:t>
      </w:r>
      <w:r w:rsidR="00791A3C">
        <w:t>during the hearing.  As stated</w:t>
      </w:r>
      <w:r w:rsidR="000160E5">
        <w:t xml:space="preserve"> for</w:t>
      </w:r>
      <w:r w:rsidR="00791A3C">
        <w:t xml:space="preserve"> respondent nothing precluded appellant from </w:t>
      </w:r>
      <w:r w:rsidR="000160E5">
        <w:t>leading</w:t>
      </w:r>
      <w:r w:rsidR="00D819E6">
        <w:t xml:space="preserve"> oral evidence on the contents of the cash request register.  In any event there was proof </w:t>
      </w:r>
      <w:r w:rsidR="000A6A1E">
        <w:t>in the form of the appellant’s signature in the Cash Disbursement Register. Once the appellant’s signature</w:t>
      </w:r>
      <w:r w:rsidR="006C4762">
        <w:t xml:space="preserve"> appeared in the disbursement register there is need for proof that the amount disbursed was returned</w:t>
      </w:r>
      <w:r w:rsidR="00245CB1">
        <w:t>.  In the absence of such proof the Appeal</w:t>
      </w:r>
      <w:r w:rsidR="004C321D">
        <w:t>s</w:t>
      </w:r>
      <w:r w:rsidR="00245CB1">
        <w:t xml:space="preserve"> Committee cannot be faulted for confirming his conviction.  I find no merit in the third ground of </w:t>
      </w:r>
      <w:r w:rsidR="001D15DE">
        <w:t>appeal.</w:t>
      </w:r>
    </w:p>
    <w:p w:rsidR="001D15DE" w:rsidRDefault="001D15DE" w:rsidP="00A24E30">
      <w:pPr>
        <w:jc w:val="both"/>
      </w:pPr>
    </w:p>
    <w:p w:rsidR="001D15DE" w:rsidRPr="00A24E30" w:rsidRDefault="001D15DE" w:rsidP="005C57BD">
      <w:pPr>
        <w:spacing w:line="360" w:lineRule="auto"/>
        <w:jc w:val="both"/>
        <w:rPr>
          <w:u w:val="single"/>
        </w:rPr>
      </w:pPr>
      <w:r w:rsidRPr="00A24E30">
        <w:rPr>
          <w:u w:val="single"/>
        </w:rPr>
        <w:t>Ground of Appeal Four</w:t>
      </w:r>
    </w:p>
    <w:p w:rsidR="00E9126A" w:rsidRDefault="00E9126A" w:rsidP="00A24E30">
      <w:pPr>
        <w:spacing w:line="276" w:lineRule="auto"/>
        <w:jc w:val="both"/>
      </w:pPr>
    </w:p>
    <w:p w:rsidR="00E9126A" w:rsidRDefault="00E9126A" w:rsidP="005C57BD">
      <w:pPr>
        <w:spacing w:line="360" w:lineRule="auto"/>
        <w:jc w:val="both"/>
      </w:pPr>
      <w:r>
        <w:tab/>
        <w:t>Appellant criticises the dismissal penalty meted on him and submitted that S12B (4) of the Labour</w:t>
      </w:r>
      <w:r w:rsidR="00525A49">
        <w:t xml:space="preserve"> Act [Chapter 28:01] </w:t>
      </w:r>
      <w:r w:rsidR="00764ED6">
        <w:t>e</w:t>
      </w:r>
      <w:r w:rsidR="00525A49">
        <w:t>n</w:t>
      </w:r>
      <w:r w:rsidR="00764ED6">
        <w:t>joined the</w:t>
      </w:r>
      <w:r w:rsidR="00235E5F">
        <w:t xml:space="preserve"> Appeals Committee to </w:t>
      </w:r>
      <w:r w:rsidR="00426648">
        <w:t>weigh</w:t>
      </w:r>
      <w:r w:rsidR="00235E5F">
        <w:t xml:space="preserve"> the fairness of dismissal against any mitigating factors.  It is trite that the question of penalty appropriate in a matter is at the discretion of the employer unless it ca</w:t>
      </w:r>
      <w:r w:rsidR="00B63144">
        <w:t xml:space="preserve">n be demonstrated that the penalty was decided upon in circumstances </w:t>
      </w:r>
      <w:r w:rsidR="006752DF">
        <w:t xml:space="preserve">where the facts of the particular case dictate otherwise.  See </w:t>
      </w:r>
      <w:r w:rsidR="006752DF" w:rsidRPr="00426648">
        <w:rPr>
          <w:i/>
        </w:rPr>
        <w:t>Malimanji</w:t>
      </w:r>
      <w:r w:rsidR="00FE24CD">
        <w:t xml:space="preserve"> v </w:t>
      </w:r>
      <w:r w:rsidR="009B43C9">
        <w:rPr>
          <w:i/>
        </w:rPr>
        <w:t xml:space="preserve">  </w:t>
      </w:r>
      <w:r w:rsidR="00FE24CD">
        <w:t xml:space="preserve"> 2001 (2) </w:t>
      </w:r>
      <w:r w:rsidR="003E13E7">
        <w:t>ZLR</w:t>
      </w:r>
      <w:r w:rsidR="00FE24CD">
        <w:t xml:space="preserve"> 77.  Appellant has </w:t>
      </w:r>
      <w:r w:rsidR="003E13E7">
        <w:t>not</w:t>
      </w:r>
      <w:r w:rsidR="00FE24CD">
        <w:t xml:space="preserve"> pointed</w:t>
      </w:r>
      <w:r w:rsidR="006D610F">
        <w:t xml:space="preserve"> out any error in the exercise o</w:t>
      </w:r>
      <w:r w:rsidR="00FE24CD">
        <w:t>f the employer’s discretion.  In any event it was stated that once an employer has taken a serious view of the</w:t>
      </w:r>
      <w:r w:rsidR="008100CF">
        <w:t xml:space="preserve"> act of misconduct committed by the employee and dismissed him from employment, </w:t>
      </w:r>
      <w:r w:rsidR="00426648">
        <w:t>the question</w:t>
      </w:r>
      <w:r w:rsidR="005F5637">
        <w:t xml:space="preserve"> of penalty le</w:t>
      </w:r>
      <w:r w:rsidR="006D610F">
        <w:t>ss severe than dismissal be</w:t>
      </w:r>
      <w:r w:rsidR="005F5637">
        <w:t>ing available for consideration does not arise unless it is established</w:t>
      </w:r>
      <w:r w:rsidR="001310E2">
        <w:t xml:space="preserve"> that the employer acted </w:t>
      </w:r>
      <w:r w:rsidR="001310E2">
        <w:lastRenderedPageBreak/>
        <w:t xml:space="preserve">unreasonably in having a serious view of the offence committed by the employee.  See </w:t>
      </w:r>
      <w:r w:rsidR="001310E2" w:rsidRPr="00D86665">
        <w:rPr>
          <w:i/>
        </w:rPr>
        <w:t>Circle Cement (Pvt) Ltd</w:t>
      </w:r>
      <w:r w:rsidR="001310E2">
        <w:t xml:space="preserve"> v </w:t>
      </w:r>
      <w:r w:rsidR="001310E2" w:rsidRPr="00D86665">
        <w:rPr>
          <w:i/>
        </w:rPr>
        <w:t>Chipo</w:t>
      </w:r>
      <w:r w:rsidR="00D86665" w:rsidRPr="00D86665">
        <w:rPr>
          <w:i/>
        </w:rPr>
        <w:t xml:space="preserve"> Nyawasha</w:t>
      </w:r>
      <w:r w:rsidR="00D86665">
        <w:t xml:space="preserve"> SC 60/03</w:t>
      </w:r>
      <w:r w:rsidR="00C76562">
        <w:t xml:space="preserve">. Betrayal of trust goes to the </w:t>
      </w:r>
      <w:r w:rsidR="0075383C">
        <w:t>root of the contract of employment.  The</w:t>
      </w:r>
      <w:r w:rsidR="0051507F">
        <w:t xml:space="preserve"> finding of the Appeals Committee cannot be faulted.</w:t>
      </w:r>
    </w:p>
    <w:p w:rsidR="0051507F" w:rsidRDefault="0051507F" w:rsidP="005C57BD">
      <w:pPr>
        <w:spacing w:line="360" w:lineRule="auto"/>
        <w:jc w:val="both"/>
      </w:pPr>
    </w:p>
    <w:p w:rsidR="0051507F" w:rsidRDefault="0051507F" w:rsidP="005C57BD">
      <w:pPr>
        <w:spacing w:line="360" w:lineRule="auto"/>
        <w:jc w:val="both"/>
      </w:pPr>
      <w:r>
        <w:t>Resultantly there is no merit in this appeal.  The following order is therefore appropriate;</w:t>
      </w:r>
    </w:p>
    <w:p w:rsidR="008F1401" w:rsidRDefault="008F1401" w:rsidP="008F1401">
      <w:pPr>
        <w:jc w:val="both"/>
      </w:pPr>
    </w:p>
    <w:p w:rsidR="008F1401" w:rsidRDefault="008F1401" w:rsidP="005C57BD">
      <w:pPr>
        <w:spacing w:line="360" w:lineRule="auto"/>
        <w:jc w:val="both"/>
      </w:pPr>
      <w:r>
        <w:t>The appeal be and is hereby dismissed for lack of merit.</w:t>
      </w:r>
    </w:p>
    <w:p w:rsidR="00210C0A" w:rsidRDefault="00210C0A" w:rsidP="005C57BD">
      <w:pPr>
        <w:spacing w:line="360" w:lineRule="auto"/>
        <w:jc w:val="both"/>
      </w:pPr>
    </w:p>
    <w:sectPr w:rsidR="00210C0A" w:rsidSect="00316CA1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82F" w:rsidRDefault="007C582F" w:rsidP="00316CA1">
      <w:r>
        <w:separator/>
      </w:r>
    </w:p>
  </w:endnote>
  <w:endnote w:type="continuationSeparator" w:id="0">
    <w:p w:rsidR="007C582F" w:rsidRDefault="007C582F" w:rsidP="0031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57895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10E2" w:rsidRDefault="001310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E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310E2" w:rsidRDefault="001310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82F" w:rsidRDefault="007C582F" w:rsidP="00316CA1">
      <w:r>
        <w:separator/>
      </w:r>
    </w:p>
  </w:footnote>
  <w:footnote w:type="continuationSeparator" w:id="0">
    <w:p w:rsidR="007C582F" w:rsidRDefault="007C582F" w:rsidP="00316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E2" w:rsidRPr="00316CA1" w:rsidRDefault="001310E2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091E99">
      <w:rPr>
        <w:lang w:val="en-ZW"/>
      </w:rPr>
      <w:t>506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2B6D"/>
    <w:multiLevelType w:val="hybridMultilevel"/>
    <w:tmpl w:val="7D56AD9E"/>
    <w:lvl w:ilvl="0" w:tplc="30090011">
      <w:start w:val="1"/>
      <w:numFmt w:val="decimal"/>
      <w:lvlText w:val="%1)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E8"/>
    <w:rsid w:val="000126EB"/>
    <w:rsid w:val="000160E5"/>
    <w:rsid w:val="00020AAE"/>
    <w:rsid w:val="00064CE8"/>
    <w:rsid w:val="00091E99"/>
    <w:rsid w:val="000A6A1E"/>
    <w:rsid w:val="001310E2"/>
    <w:rsid w:val="001366B2"/>
    <w:rsid w:val="001746E8"/>
    <w:rsid w:val="001851DB"/>
    <w:rsid w:val="00185F7E"/>
    <w:rsid w:val="00193A11"/>
    <w:rsid w:val="001D15DE"/>
    <w:rsid w:val="001F7AE0"/>
    <w:rsid w:val="00205342"/>
    <w:rsid w:val="00210C0A"/>
    <w:rsid w:val="00235E5F"/>
    <w:rsid w:val="0023691C"/>
    <w:rsid w:val="00241E0D"/>
    <w:rsid w:val="00245CB1"/>
    <w:rsid w:val="002800AC"/>
    <w:rsid w:val="002A3221"/>
    <w:rsid w:val="002E2C58"/>
    <w:rsid w:val="00316CA1"/>
    <w:rsid w:val="00385DA3"/>
    <w:rsid w:val="003E13E7"/>
    <w:rsid w:val="00426648"/>
    <w:rsid w:val="00441796"/>
    <w:rsid w:val="00475E45"/>
    <w:rsid w:val="004B2022"/>
    <w:rsid w:val="004C321D"/>
    <w:rsid w:val="0051507F"/>
    <w:rsid w:val="00525A49"/>
    <w:rsid w:val="005952FE"/>
    <w:rsid w:val="00596078"/>
    <w:rsid w:val="005C57BD"/>
    <w:rsid w:val="005E10F8"/>
    <w:rsid w:val="005E3283"/>
    <w:rsid w:val="005F5637"/>
    <w:rsid w:val="00606E4D"/>
    <w:rsid w:val="00637F8E"/>
    <w:rsid w:val="006652DC"/>
    <w:rsid w:val="006752DF"/>
    <w:rsid w:val="006C4762"/>
    <w:rsid w:val="006D610F"/>
    <w:rsid w:val="00731668"/>
    <w:rsid w:val="007436A5"/>
    <w:rsid w:val="0075383C"/>
    <w:rsid w:val="007539D5"/>
    <w:rsid w:val="0076068F"/>
    <w:rsid w:val="00764ED6"/>
    <w:rsid w:val="0078773F"/>
    <w:rsid w:val="00791A3C"/>
    <w:rsid w:val="007B4361"/>
    <w:rsid w:val="007B4EE0"/>
    <w:rsid w:val="007C582F"/>
    <w:rsid w:val="00807972"/>
    <w:rsid w:val="008100CF"/>
    <w:rsid w:val="00817588"/>
    <w:rsid w:val="0082093E"/>
    <w:rsid w:val="00821694"/>
    <w:rsid w:val="00851494"/>
    <w:rsid w:val="008637F3"/>
    <w:rsid w:val="00865960"/>
    <w:rsid w:val="008D421D"/>
    <w:rsid w:val="008E6967"/>
    <w:rsid w:val="008F1401"/>
    <w:rsid w:val="008F602C"/>
    <w:rsid w:val="00906EB9"/>
    <w:rsid w:val="00914B05"/>
    <w:rsid w:val="00926D59"/>
    <w:rsid w:val="00935784"/>
    <w:rsid w:val="00986CFE"/>
    <w:rsid w:val="009A4630"/>
    <w:rsid w:val="009B43C9"/>
    <w:rsid w:val="009C1698"/>
    <w:rsid w:val="009D4C45"/>
    <w:rsid w:val="009E711F"/>
    <w:rsid w:val="00A23C51"/>
    <w:rsid w:val="00A24E30"/>
    <w:rsid w:val="00A30C6F"/>
    <w:rsid w:val="00A317CC"/>
    <w:rsid w:val="00AF3726"/>
    <w:rsid w:val="00B13DDF"/>
    <w:rsid w:val="00B41431"/>
    <w:rsid w:val="00B554A3"/>
    <w:rsid w:val="00B63144"/>
    <w:rsid w:val="00B64E64"/>
    <w:rsid w:val="00B87A3F"/>
    <w:rsid w:val="00BD6D1F"/>
    <w:rsid w:val="00BE00FB"/>
    <w:rsid w:val="00C061AC"/>
    <w:rsid w:val="00C76562"/>
    <w:rsid w:val="00CB0C5F"/>
    <w:rsid w:val="00CD7FFA"/>
    <w:rsid w:val="00CF55DD"/>
    <w:rsid w:val="00D01466"/>
    <w:rsid w:val="00D0667B"/>
    <w:rsid w:val="00D10F8B"/>
    <w:rsid w:val="00D819E6"/>
    <w:rsid w:val="00D86665"/>
    <w:rsid w:val="00D87A08"/>
    <w:rsid w:val="00DC22CB"/>
    <w:rsid w:val="00E24A07"/>
    <w:rsid w:val="00E538E8"/>
    <w:rsid w:val="00E70F6E"/>
    <w:rsid w:val="00E9126A"/>
    <w:rsid w:val="00E96CB9"/>
    <w:rsid w:val="00EB406A"/>
    <w:rsid w:val="00F0409E"/>
    <w:rsid w:val="00F070FE"/>
    <w:rsid w:val="00F24612"/>
    <w:rsid w:val="00F775FB"/>
    <w:rsid w:val="00FA630C"/>
    <w:rsid w:val="00FA7208"/>
    <w:rsid w:val="00FC6AA5"/>
    <w:rsid w:val="00FE24CD"/>
    <w:rsid w:val="00FF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CE8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0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C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CA1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16C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CA1"/>
    <w:rPr>
      <w:rFonts w:ascii="Tahoma" w:eastAsia="Times New Roman" w:hAnsi="Tahom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CE8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0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C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CA1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16C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CA1"/>
    <w:rPr>
      <w:rFonts w:ascii="Tahoma" w:eastAsia="Times New Roman" w:hAnsi="Tahom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41</cp:revision>
  <cp:lastPrinted>2016-08-02T10:04:00Z</cp:lastPrinted>
  <dcterms:created xsi:type="dcterms:W3CDTF">2016-08-02T07:23:00Z</dcterms:created>
  <dcterms:modified xsi:type="dcterms:W3CDTF">2016-08-24T06:49:00Z</dcterms:modified>
</cp:coreProperties>
</file>