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D0B" w:rsidRPr="00047C13" w:rsidRDefault="006A0D0B" w:rsidP="0090062E">
      <w:pPr>
        <w:spacing w:line="276" w:lineRule="auto"/>
        <w:jc w:val="both"/>
        <w:rPr>
          <w:b/>
        </w:rPr>
      </w:pPr>
      <w:r w:rsidRPr="00047C13">
        <w:rPr>
          <w:b/>
        </w:rPr>
        <w:t>IN T</w:t>
      </w:r>
      <w:r>
        <w:rPr>
          <w:b/>
        </w:rPr>
        <w:t>HE LABOUR COURT OF ZIMBABWE      JUDGMENT NO. LC/H/</w:t>
      </w:r>
      <w:r w:rsidR="00C9148F">
        <w:rPr>
          <w:b/>
        </w:rPr>
        <w:t>271</w:t>
      </w:r>
      <w:r>
        <w:rPr>
          <w:b/>
        </w:rPr>
        <w:t>/2016</w:t>
      </w:r>
    </w:p>
    <w:p w:rsidR="006A0D0B" w:rsidRDefault="006A0D0B" w:rsidP="0090062E">
      <w:pPr>
        <w:spacing w:line="276" w:lineRule="auto"/>
        <w:jc w:val="both"/>
        <w:rPr>
          <w:b/>
        </w:rPr>
      </w:pPr>
      <w:r w:rsidRPr="00047C13">
        <w:rPr>
          <w:b/>
        </w:rPr>
        <w:t xml:space="preserve">HARARE, </w:t>
      </w:r>
      <w:r>
        <w:rPr>
          <w:b/>
        </w:rPr>
        <w:t xml:space="preserve">8MARCH 2016 </w:t>
      </w:r>
      <w:r>
        <w:rPr>
          <w:b/>
        </w:rPr>
        <w:tab/>
      </w:r>
      <w:r>
        <w:rPr>
          <w:b/>
        </w:rPr>
        <w:tab/>
      </w:r>
      <w:r>
        <w:rPr>
          <w:b/>
        </w:rPr>
        <w:tab/>
        <w:t xml:space="preserve">     </w:t>
      </w:r>
      <w:r>
        <w:rPr>
          <w:b/>
        </w:rPr>
        <w:tab/>
        <w:t xml:space="preserve">  </w:t>
      </w:r>
      <w:r w:rsidRPr="00047C13">
        <w:rPr>
          <w:b/>
        </w:rPr>
        <w:t>CASE NO. LC/H/</w:t>
      </w:r>
      <w:r>
        <w:rPr>
          <w:b/>
        </w:rPr>
        <w:t>1094/15</w:t>
      </w:r>
    </w:p>
    <w:p w:rsidR="006A0D0B" w:rsidRDefault="006A0D0B" w:rsidP="0090062E">
      <w:pPr>
        <w:spacing w:line="276" w:lineRule="auto"/>
        <w:jc w:val="both"/>
        <w:rPr>
          <w:b/>
        </w:rPr>
      </w:pPr>
      <w:r>
        <w:rPr>
          <w:b/>
        </w:rPr>
        <w:t xml:space="preserve">AND </w:t>
      </w:r>
      <w:r w:rsidR="00EB2155">
        <w:rPr>
          <w:b/>
        </w:rPr>
        <w:t>6</w:t>
      </w:r>
      <w:bookmarkStart w:id="0" w:name="_GoBack"/>
      <w:bookmarkEnd w:id="0"/>
      <w:r w:rsidR="00C9148F">
        <w:rPr>
          <w:b/>
        </w:rPr>
        <w:t xml:space="preserve"> MAY</w:t>
      </w:r>
      <w:r>
        <w:rPr>
          <w:b/>
        </w:rPr>
        <w:t xml:space="preserve"> 2016</w:t>
      </w:r>
    </w:p>
    <w:p w:rsidR="006A0D0B" w:rsidRPr="00047C13" w:rsidRDefault="006A0D0B" w:rsidP="0090062E">
      <w:pPr>
        <w:spacing w:line="276" w:lineRule="auto"/>
        <w:jc w:val="both"/>
      </w:pPr>
      <w:r w:rsidRPr="00047C13">
        <w:t>In the matter between</w:t>
      </w:r>
      <w:r>
        <w:t>:-</w:t>
      </w:r>
    </w:p>
    <w:p w:rsidR="006A0D0B" w:rsidRPr="00047C13" w:rsidRDefault="006A0D0B" w:rsidP="0090062E">
      <w:pPr>
        <w:spacing w:line="276" w:lineRule="auto"/>
        <w:jc w:val="both"/>
      </w:pPr>
    </w:p>
    <w:p w:rsidR="006A0D0B" w:rsidRPr="00047C13" w:rsidRDefault="006A0D0B" w:rsidP="0090062E">
      <w:pPr>
        <w:spacing w:line="276" w:lineRule="auto"/>
        <w:jc w:val="both"/>
        <w:rPr>
          <w:b/>
        </w:rPr>
      </w:pPr>
      <w:r>
        <w:rPr>
          <w:b/>
        </w:rPr>
        <w:t>IRVINES ZIMBA</w:t>
      </w:r>
      <w:r w:rsidR="00C9148F">
        <w:rPr>
          <w:b/>
        </w:rPr>
        <w:t>B</w:t>
      </w:r>
      <w:r>
        <w:rPr>
          <w:b/>
        </w:rPr>
        <w:t>WE (PVT) LTD</w:t>
      </w:r>
      <w:r w:rsidR="0081782F">
        <w:rPr>
          <w:b/>
        </w:rPr>
        <w:t xml:space="preserve"> t/</w:t>
      </w:r>
      <w:proofErr w:type="gramStart"/>
      <w:r w:rsidR="0081782F">
        <w:rPr>
          <w:b/>
        </w:rPr>
        <w:t>a</w:t>
      </w:r>
      <w:proofErr w:type="gramEnd"/>
      <w:r w:rsidR="0081782F">
        <w:rPr>
          <w:b/>
        </w:rPr>
        <w:t xml:space="preserve"> IRVINES</w:t>
      </w:r>
      <w:r w:rsidR="0081782F">
        <w:rPr>
          <w:b/>
        </w:rPr>
        <w:tab/>
      </w:r>
      <w:r w:rsidR="0081782F">
        <w:rPr>
          <w:b/>
        </w:rPr>
        <w:tab/>
      </w:r>
      <w:r w:rsidR="0081782F">
        <w:rPr>
          <w:b/>
        </w:rPr>
        <w:tab/>
      </w:r>
      <w:r>
        <w:rPr>
          <w:b/>
        </w:rPr>
        <w:t>Appellant</w:t>
      </w:r>
    </w:p>
    <w:p w:rsidR="006A0D0B" w:rsidRPr="00047C13" w:rsidRDefault="006A0D0B" w:rsidP="0090062E">
      <w:pPr>
        <w:tabs>
          <w:tab w:val="left" w:pos="1995"/>
        </w:tabs>
        <w:spacing w:line="276" w:lineRule="auto"/>
        <w:jc w:val="both"/>
        <w:outlineLvl w:val="0"/>
      </w:pPr>
      <w:r w:rsidRPr="00047C13">
        <w:t>And</w:t>
      </w:r>
      <w:r w:rsidRPr="00047C13">
        <w:tab/>
      </w:r>
    </w:p>
    <w:p w:rsidR="006A0D0B" w:rsidRDefault="0081782F" w:rsidP="0090062E">
      <w:pPr>
        <w:spacing w:line="276" w:lineRule="auto"/>
        <w:jc w:val="both"/>
        <w:rPr>
          <w:b/>
        </w:rPr>
      </w:pPr>
      <w:r>
        <w:rPr>
          <w:b/>
        </w:rPr>
        <w:t>WEDZERAYI MATANYANGE</w:t>
      </w:r>
      <w:r>
        <w:rPr>
          <w:b/>
        </w:rPr>
        <w:tab/>
      </w:r>
      <w:r>
        <w:rPr>
          <w:b/>
        </w:rPr>
        <w:tab/>
      </w:r>
      <w:r w:rsidR="006A0D0B">
        <w:rPr>
          <w:b/>
        </w:rPr>
        <w:tab/>
      </w:r>
      <w:r w:rsidR="006A0D0B">
        <w:rPr>
          <w:b/>
        </w:rPr>
        <w:tab/>
      </w:r>
      <w:r w:rsidR="006A0D0B">
        <w:rPr>
          <w:b/>
        </w:rPr>
        <w:tab/>
      </w:r>
      <w:r w:rsidR="006A0D0B">
        <w:rPr>
          <w:b/>
        </w:rPr>
        <w:tab/>
        <w:t>Respondent</w:t>
      </w:r>
    </w:p>
    <w:p w:rsidR="006A0D0B" w:rsidRPr="00047C13" w:rsidRDefault="006A0D0B" w:rsidP="0090062E">
      <w:pPr>
        <w:spacing w:line="276" w:lineRule="auto"/>
        <w:jc w:val="both"/>
        <w:rPr>
          <w:b/>
        </w:rPr>
      </w:pPr>
    </w:p>
    <w:p w:rsidR="006A0D0B" w:rsidRDefault="006A0D0B" w:rsidP="0090062E">
      <w:pPr>
        <w:spacing w:line="276" w:lineRule="auto"/>
        <w:jc w:val="both"/>
        <w:outlineLvl w:val="0"/>
      </w:pPr>
      <w:r>
        <w:t xml:space="preserve">Before Honourable L.M. Murasi, Judge                             </w:t>
      </w:r>
    </w:p>
    <w:p w:rsidR="006A0D0B" w:rsidRPr="00047C13" w:rsidRDefault="006A0D0B" w:rsidP="0090062E">
      <w:pPr>
        <w:spacing w:line="276" w:lineRule="auto"/>
        <w:jc w:val="both"/>
      </w:pPr>
      <w:r w:rsidRPr="00047C13">
        <w:tab/>
      </w:r>
      <w:r w:rsidRPr="00047C13">
        <w:tab/>
      </w:r>
      <w:r w:rsidRPr="00047C13">
        <w:tab/>
      </w:r>
    </w:p>
    <w:p w:rsidR="006A0D0B" w:rsidRPr="00047C13" w:rsidRDefault="006A0D0B" w:rsidP="0090062E">
      <w:pPr>
        <w:spacing w:line="276" w:lineRule="auto"/>
        <w:rPr>
          <w:b/>
        </w:rPr>
      </w:pPr>
      <w:r>
        <w:rPr>
          <w:b/>
        </w:rPr>
        <w:t xml:space="preserve">For </w:t>
      </w:r>
      <w:r w:rsidRPr="00047C13">
        <w:rPr>
          <w:b/>
        </w:rPr>
        <w:t>App</w:t>
      </w:r>
      <w:r>
        <w:rPr>
          <w:b/>
        </w:rPr>
        <w:t>ellant</w:t>
      </w:r>
      <w:r>
        <w:rPr>
          <w:b/>
        </w:rPr>
        <w:tab/>
      </w:r>
      <w:r w:rsidRPr="00047C13">
        <w:rPr>
          <w:b/>
        </w:rPr>
        <w:tab/>
      </w:r>
      <w:r>
        <w:rPr>
          <w:b/>
        </w:rPr>
        <w:t xml:space="preserve">Mr </w:t>
      </w:r>
      <w:r w:rsidR="00BC1859">
        <w:rPr>
          <w:b/>
        </w:rPr>
        <w:t>G. Makings</w:t>
      </w:r>
      <w:r>
        <w:rPr>
          <w:b/>
        </w:rPr>
        <w:t xml:space="preserve"> (Legal Practitioner)</w:t>
      </w:r>
    </w:p>
    <w:p w:rsidR="006A0D0B" w:rsidRDefault="006A0D0B" w:rsidP="0090062E">
      <w:pPr>
        <w:spacing w:line="276" w:lineRule="auto"/>
        <w:jc w:val="both"/>
        <w:rPr>
          <w:b/>
        </w:rPr>
      </w:pPr>
      <w:r>
        <w:rPr>
          <w:b/>
        </w:rPr>
        <w:t>For Respondent</w:t>
      </w:r>
      <w:r>
        <w:rPr>
          <w:b/>
        </w:rPr>
        <w:tab/>
      </w:r>
      <w:r>
        <w:rPr>
          <w:b/>
        </w:rPr>
        <w:tab/>
      </w:r>
      <w:r w:rsidR="00BC1859">
        <w:rPr>
          <w:b/>
        </w:rPr>
        <w:t>Ms M. Nyangoni</w:t>
      </w:r>
      <w:r>
        <w:rPr>
          <w:b/>
        </w:rPr>
        <w:t xml:space="preserve"> (Legal Practitioner)</w:t>
      </w:r>
    </w:p>
    <w:p w:rsidR="006A0D0B" w:rsidRPr="00047C13" w:rsidRDefault="006A0D0B" w:rsidP="0090062E">
      <w:pPr>
        <w:spacing w:line="276" w:lineRule="auto"/>
        <w:jc w:val="both"/>
        <w:rPr>
          <w:b/>
        </w:rPr>
      </w:pPr>
    </w:p>
    <w:p w:rsidR="006A0D0B" w:rsidRDefault="006A0D0B" w:rsidP="0090062E">
      <w:pPr>
        <w:spacing w:line="276" w:lineRule="auto"/>
        <w:jc w:val="both"/>
        <w:outlineLvl w:val="0"/>
        <w:rPr>
          <w:b/>
        </w:rPr>
      </w:pPr>
      <w:r>
        <w:rPr>
          <w:b/>
        </w:rPr>
        <w:t>MURASI J:</w:t>
      </w:r>
    </w:p>
    <w:p w:rsidR="001307BB" w:rsidRDefault="001307BB" w:rsidP="0090062E">
      <w:pPr>
        <w:spacing w:line="360" w:lineRule="auto"/>
        <w:jc w:val="both"/>
        <w:outlineLvl w:val="0"/>
        <w:rPr>
          <w:b/>
        </w:rPr>
      </w:pPr>
    </w:p>
    <w:p w:rsidR="001307BB" w:rsidRDefault="001307BB" w:rsidP="008B2F8F">
      <w:pPr>
        <w:spacing w:line="360" w:lineRule="auto"/>
        <w:ind w:firstLine="720"/>
        <w:jc w:val="both"/>
        <w:outlineLvl w:val="0"/>
      </w:pPr>
      <w:r>
        <w:t>Respondent was in the employ of the appellant as chemicals handler</w:t>
      </w:r>
      <w:r w:rsidR="00715BD6">
        <w:t xml:space="preserve">. </w:t>
      </w:r>
      <w:r w:rsidR="00D7667F">
        <w:t xml:space="preserve"> </w:t>
      </w:r>
      <w:r w:rsidR="00C0392D">
        <w:t>It is all</w:t>
      </w:r>
      <w:r w:rsidR="00D70923">
        <w:t>eged that he took some chemical</w:t>
      </w:r>
      <w:r w:rsidR="00C0392D">
        <w:t xml:space="preserve"> with the intention of taking out of the company premises.  When he discovered that he could not </w:t>
      </w:r>
      <w:r w:rsidR="00EB3737">
        <w:t>possibly succeed in this endeavo</w:t>
      </w:r>
      <w:r w:rsidR="00D70923">
        <w:t>u</w:t>
      </w:r>
      <w:r w:rsidR="00EB3737">
        <w:t>r, it is</w:t>
      </w:r>
      <w:r w:rsidR="007744B8">
        <w:t xml:space="preserve"> alleged that he spilt the chemical into a hedge close by and approached the sec</w:t>
      </w:r>
      <w:r w:rsidR="00763DA9">
        <w:t>urity check-point with the empty container which he alleged he wanted to use to collect some water.  The respondent was brought before a disciplinary committee which found him guilty and recommended his dismissal.  The respondent took his matter to the Labour Officer and finally to arbitration.  The a</w:t>
      </w:r>
      <w:r w:rsidR="008B2F8F">
        <w:t>rbitrator found in favour of the respondent and appellant has approached this Court for relief.</w:t>
      </w:r>
    </w:p>
    <w:p w:rsidR="008B2F8F" w:rsidRDefault="008B2F8F" w:rsidP="00BE4E5F">
      <w:pPr>
        <w:ind w:firstLine="720"/>
        <w:jc w:val="both"/>
        <w:outlineLvl w:val="0"/>
      </w:pPr>
    </w:p>
    <w:p w:rsidR="008B2F8F" w:rsidRDefault="008B2F8F" w:rsidP="008B2F8F">
      <w:pPr>
        <w:spacing w:line="360" w:lineRule="auto"/>
        <w:ind w:firstLine="720"/>
        <w:jc w:val="both"/>
        <w:outlineLvl w:val="0"/>
      </w:pPr>
      <w:r>
        <w:t>Appellant’s grounds of appeal can be summarized as follows:</w:t>
      </w:r>
    </w:p>
    <w:p w:rsidR="00680DF4" w:rsidRDefault="00680DF4" w:rsidP="00BE4E5F">
      <w:pPr>
        <w:jc w:val="both"/>
        <w:outlineLvl w:val="0"/>
      </w:pPr>
    </w:p>
    <w:p w:rsidR="00394368" w:rsidRDefault="00394368" w:rsidP="00394368">
      <w:pPr>
        <w:pStyle w:val="ListParagraph"/>
        <w:numPr>
          <w:ilvl w:val="0"/>
          <w:numId w:val="2"/>
        </w:numPr>
        <w:spacing w:line="360" w:lineRule="auto"/>
        <w:jc w:val="both"/>
        <w:outlineLvl w:val="0"/>
      </w:pPr>
      <w:r>
        <w:t xml:space="preserve">That the arbitrator grossly misdirected himself at law in </w:t>
      </w:r>
      <w:r w:rsidR="00836E74">
        <w:t>coming</w:t>
      </w:r>
      <w:r>
        <w:t xml:space="preserve"> to the conclusion that a willful act committed by respondent of destroying evidence of theft was tantamount to a </w:t>
      </w:r>
      <w:r w:rsidR="00D70923">
        <w:t>minor</w:t>
      </w:r>
      <w:r>
        <w:t xml:space="preserve"> </w:t>
      </w:r>
      <w:r w:rsidR="00836E74">
        <w:t xml:space="preserve">loss or damage of the employer’s </w:t>
      </w:r>
      <w:r w:rsidR="00012E68">
        <w:t>property.</w:t>
      </w:r>
    </w:p>
    <w:p w:rsidR="00012E68" w:rsidRDefault="00012E68" w:rsidP="00394368">
      <w:pPr>
        <w:pStyle w:val="ListParagraph"/>
        <w:numPr>
          <w:ilvl w:val="0"/>
          <w:numId w:val="2"/>
        </w:numPr>
        <w:spacing w:line="360" w:lineRule="auto"/>
        <w:jc w:val="both"/>
        <w:outlineLvl w:val="0"/>
      </w:pPr>
      <w:r>
        <w:t>That respondent did not have authority to take away the original container.</w:t>
      </w:r>
    </w:p>
    <w:p w:rsidR="00012E68" w:rsidRDefault="00012E68" w:rsidP="00394368">
      <w:pPr>
        <w:pStyle w:val="ListParagraph"/>
        <w:numPr>
          <w:ilvl w:val="0"/>
          <w:numId w:val="2"/>
        </w:numPr>
        <w:spacing w:line="360" w:lineRule="auto"/>
        <w:jc w:val="both"/>
        <w:outlineLvl w:val="0"/>
      </w:pPr>
      <w:r>
        <w:t xml:space="preserve">That the facts surrounding the </w:t>
      </w:r>
      <w:r w:rsidR="00D70923">
        <w:t>commission</w:t>
      </w:r>
      <w:r w:rsidR="00B623C1">
        <w:t xml:space="preserve"> of the offence clearly showed theft and the arbitrator had misdirected </w:t>
      </w:r>
      <w:proofErr w:type="gramStart"/>
      <w:r w:rsidR="00B623C1">
        <w:t>himself</w:t>
      </w:r>
      <w:proofErr w:type="gramEnd"/>
      <w:r w:rsidR="00B623C1">
        <w:t xml:space="preserve"> and that respondent’s conduct went to the root of the contract and justified his dismissal</w:t>
      </w:r>
      <w:r w:rsidR="004D0FE7">
        <w:t>.</w:t>
      </w:r>
    </w:p>
    <w:p w:rsidR="004D0FE7" w:rsidRDefault="004D0FE7" w:rsidP="00C84525">
      <w:pPr>
        <w:jc w:val="both"/>
        <w:outlineLvl w:val="0"/>
      </w:pPr>
    </w:p>
    <w:p w:rsidR="004D0FE7" w:rsidRDefault="004D0FE7" w:rsidP="00A46EFE">
      <w:pPr>
        <w:spacing w:line="360" w:lineRule="auto"/>
        <w:ind w:firstLine="720"/>
        <w:jc w:val="both"/>
        <w:outlineLvl w:val="0"/>
      </w:pPr>
      <w:r w:rsidRPr="00A46EFE">
        <w:rPr>
          <w:i/>
        </w:rPr>
        <w:t>Mr Makings</w:t>
      </w:r>
      <w:r>
        <w:t xml:space="preserve"> for the appellant</w:t>
      </w:r>
      <w:r w:rsidR="00E55D5E">
        <w:t xml:space="preserve"> stated that he largely abided</w:t>
      </w:r>
      <w:r w:rsidR="00864BC4">
        <w:t xml:space="preserve"> by the heads of argument</w:t>
      </w:r>
      <w:r w:rsidR="005D5D20">
        <w:t xml:space="preserve"> </w:t>
      </w:r>
      <w:r w:rsidR="00800439">
        <w:t>filed of record.  He submitted that in whatever way the action by the respondent could be viewed, it am</w:t>
      </w:r>
      <w:r w:rsidR="00004767">
        <w:t xml:space="preserve">ounted to theft as the respondent did not have any right to remove any part of appellant’s  property without </w:t>
      </w:r>
      <w:r w:rsidR="00EF460A">
        <w:t xml:space="preserve">authorisation.  It was further submitted that the arbitrator had erred in holding that this was a minor loss and not amounting to theft.  </w:t>
      </w:r>
      <w:r w:rsidR="00EF460A" w:rsidRPr="00A46EFE">
        <w:rPr>
          <w:i/>
        </w:rPr>
        <w:t>Mr Makings</w:t>
      </w:r>
      <w:r w:rsidR="00EF460A">
        <w:t xml:space="preserve"> further stated that respondent</w:t>
      </w:r>
      <w:r w:rsidR="00A46EFE">
        <w:t xml:space="preserve"> had deliberately thrown away part of the chemic</w:t>
      </w:r>
      <w:r w:rsidR="00403656">
        <w:t>al in order to avoid detection.</w:t>
      </w:r>
    </w:p>
    <w:p w:rsidR="00A46EFE" w:rsidRDefault="00A46EFE" w:rsidP="00C84525">
      <w:pPr>
        <w:ind w:firstLine="720"/>
        <w:jc w:val="both"/>
        <w:outlineLvl w:val="0"/>
      </w:pPr>
    </w:p>
    <w:p w:rsidR="00A46EFE" w:rsidRDefault="00A46EFE" w:rsidP="00A46EFE">
      <w:pPr>
        <w:spacing w:line="360" w:lineRule="auto"/>
        <w:ind w:firstLine="720"/>
        <w:jc w:val="both"/>
        <w:outlineLvl w:val="0"/>
      </w:pPr>
      <w:r w:rsidRPr="00617B3C">
        <w:rPr>
          <w:i/>
        </w:rPr>
        <w:t>Ms Nyangoni</w:t>
      </w:r>
      <w:r>
        <w:t xml:space="preserve"> for the</w:t>
      </w:r>
      <w:r w:rsidR="00617B3C">
        <w:t xml:space="preserve"> respondent also stated th</w:t>
      </w:r>
      <w:r w:rsidR="00111BA4">
        <w:t>at she abided by the documents f</w:t>
      </w:r>
      <w:r w:rsidR="00617B3C">
        <w:t>iled of record.  She further stated that the charge of theft preferred against the respondent was a wrong one.  It was further submitted that respondent had gone back to lock up his office and took a bottle which had very little chemical</w:t>
      </w:r>
      <w:r w:rsidR="00B12616">
        <w:t xml:space="preserve"> in it which he spilt in order to use the bottle to fetch water.  It was argued that the quantity of the chemical spilt was never </w:t>
      </w:r>
      <w:r w:rsidR="00147CCD">
        <w:t>ascertained and thus the allegation that it could be mixed up to 200 litres is mere speculation.  It was further argued</w:t>
      </w:r>
      <w:r w:rsidR="00664CE8">
        <w:t xml:space="preserve"> that respondent was still in the company premises and subjected himself to the searches required at the</w:t>
      </w:r>
      <w:r w:rsidR="00775B18">
        <w:t xml:space="preserve"> security check point.  </w:t>
      </w:r>
      <w:r w:rsidR="00775B18" w:rsidRPr="006F3DE6">
        <w:rPr>
          <w:i/>
        </w:rPr>
        <w:t xml:space="preserve">Ms Nyangoni </w:t>
      </w:r>
      <w:r w:rsidR="00775B18">
        <w:t>further submitted that the offence of theft was not proved.</w:t>
      </w:r>
    </w:p>
    <w:p w:rsidR="006F3DE6" w:rsidRDefault="006F3DE6" w:rsidP="00C84525">
      <w:pPr>
        <w:ind w:firstLine="720"/>
        <w:jc w:val="both"/>
        <w:outlineLvl w:val="0"/>
      </w:pPr>
    </w:p>
    <w:p w:rsidR="006F3DE6" w:rsidRDefault="006F3DE6" w:rsidP="00A46EFE">
      <w:pPr>
        <w:spacing w:line="360" w:lineRule="auto"/>
        <w:ind w:firstLine="720"/>
        <w:jc w:val="both"/>
        <w:outlineLvl w:val="0"/>
      </w:pPr>
      <w:r>
        <w:t>I will first consider the determination made by the arbitrator.  The arbitrator makes the following findings:</w:t>
      </w:r>
    </w:p>
    <w:p w:rsidR="006F3DE6" w:rsidRDefault="006F3DE6" w:rsidP="00C84525">
      <w:pPr>
        <w:ind w:firstLine="720"/>
        <w:jc w:val="both"/>
        <w:outlineLvl w:val="0"/>
      </w:pPr>
    </w:p>
    <w:p w:rsidR="006F3DE6" w:rsidRPr="001D0528" w:rsidRDefault="006D6631" w:rsidP="001D0528">
      <w:pPr>
        <w:spacing w:line="276" w:lineRule="auto"/>
        <w:ind w:left="720"/>
        <w:jc w:val="both"/>
        <w:outlineLvl w:val="0"/>
        <w:rPr>
          <w:sz w:val="22"/>
          <w:szCs w:val="22"/>
        </w:rPr>
      </w:pPr>
      <w:r w:rsidRPr="001D0528">
        <w:rPr>
          <w:sz w:val="22"/>
          <w:szCs w:val="22"/>
        </w:rPr>
        <w:t>“</w:t>
      </w:r>
      <w:r w:rsidR="00976AF7" w:rsidRPr="001D0528">
        <w:rPr>
          <w:sz w:val="22"/>
          <w:szCs w:val="22"/>
        </w:rPr>
        <w:t xml:space="preserve">The issue at stake </w:t>
      </w:r>
      <w:r w:rsidR="00A01383" w:rsidRPr="001D0528">
        <w:rPr>
          <w:sz w:val="22"/>
          <w:szCs w:val="22"/>
        </w:rPr>
        <w:t>here is to consider whether any theft or fraud took place.  For a theft charge to hold, the claimant must have removed or taken the chemical from the respondent’s premises with the intention of perma</w:t>
      </w:r>
      <w:r w:rsidR="002874B3" w:rsidRPr="001D0528">
        <w:rPr>
          <w:sz w:val="22"/>
          <w:szCs w:val="22"/>
        </w:rPr>
        <w:t>nently depriving the respondent of the chemical.  In this case, the chemical was not found on the claimant nor was it taken from the respondent’s premises but was found spilled (spilt) on the hedge within the</w:t>
      </w:r>
      <w:r w:rsidR="008F316A" w:rsidRPr="001D0528">
        <w:rPr>
          <w:sz w:val="22"/>
          <w:szCs w:val="22"/>
        </w:rPr>
        <w:t xml:space="preserve"> company premises. …</w:t>
      </w:r>
    </w:p>
    <w:p w:rsidR="008F316A" w:rsidRPr="001D0528" w:rsidRDefault="008F316A" w:rsidP="001D0528">
      <w:pPr>
        <w:spacing w:line="276" w:lineRule="auto"/>
        <w:ind w:firstLine="720"/>
        <w:jc w:val="both"/>
        <w:outlineLvl w:val="0"/>
        <w:rPr>
          <w:sz w:val="22"/>
          <w:szCs w:val="22"/>
        </w:rPr>
      </w:pPr>
    </w:p>
    <w:p w:rsidR="008F316A" w:rsidRPr="001D0528" w:rsidRDefault="00B83CE5" w:rsidP="001D0528">
      <w:pPr>
        <w:spacing w:line="276" w:lineRule="auto"/>
        <w:ind w:left="720"/>
        <w:jc w:val="both"/>
        <w:outlineLvl w:val="0"/>
        <w:rPr>
          <w:sz w:val="22"/>
          <w:szCs w:val="22"/>
        </w:rPr>
      </w:pPr>
      <w:r w:rsidRPr="001D0528">
        <w:rPr>
          <w:sz w:val="22"/>
          <w:szCs w:val="22"/>
        </w:rPr>
        <w:t>The evidence led before the H</w:t>
      </w:r>
      <w:r w:rsidR="008F316A" w:rsidRPr="001D0528">
        <w:rPr>
          <w:sz w:val="22"/>
          <w:szCs w:val="22"/>
        </w:rPr>
        <w:t xml:space="preserve">earing </w:t>
      </w:r>
      <w:r w:rsidRPr="001D0528">
        <w:rPr>
          <w:sz w:val="22"/>
          <w:szCs w:val="22"/>
        </w:rPr>
        <w:t>Committee therefore does not sufficiently support or sustain the theft charge.  In other words, the claimant was wrongly charged and sh</w:t>
      </w:r>
      <w:r w:rsidR="004D3F57" w:rsidRPr="001D0528">
        <w:rPr>
          <w:sz w:val="22"/>
          <w:szCs w:val="22"/>
        </w:rPr>
        <w:t>ould have been charged for a lesser offence instead of being found guilty of an act not proved by consider.”</w:t>
      </w:r>
    </w:p>
    <w:p w:rsidR="004C2DE7" w:rsidRDefault="004C2DE7" w:rsidP="001D0528">
      <w:pPr>
        <w:ind w:firstLine="720"/>
        <w:jc w:val="both"/>
        <w:outlineLvl w:val="0"/>
      </w:pPr>
    </w:p>
    <w:p w:rsidR="004C2DE7" w:rsidRDefault="004C2DE7" w:rsidP="00A46EFE">
      <w:pPr>
        <w:spacing w:line="360" w:lineRule="auto"/>
        <w:ind w:firstLine="720"/>
        <w:jc w:val="both"/>
        <w:outlineLvl w:val="0"/>
      </w:pPr>
      <w:r>
        <w:t xml:space="preserve">In short the arbitrator was of the view </w:t>
      </w:r>
      <w:r w:rsidR="00403656">
        <w:t>that</w:t>
      </w:r>
      <w:r>
        <w:t xml:space="preserve"> insufficient evidence was adduced to show that respondent had committed the offence of theft.  What</w:t>
      </w:r>
      <w:r w:rsidR="0026310A">
        <w:t xml:space="preserve"> does the </w:t>
      </w:r>
      <w:r w:rsidR="0026310A">
        <w:lastRenderedPageBreak/>
        <w:t xml:space="preserve">evidence disclose?  A reading of the record shows that appellant relied on information from an </w:t>
      </w:r>
      <w:r w:rsidR="00230400">
        <w:t>informant.  This informant was not called to testify</w:t>
      </w:r>
      <w:r w:rsidR="0016617B">
        <w:t xml:space="preserve">.  What therefore remained were </w:t>
      </w:r>
      <w:r w:rsidR="00554925">
        <w:t>bare</w:t>
      </w:r>
      <w:r w:rsidR="0016617B">
        <w:t xml:space="preserve"> allegations against the respondent.  In fact, </w:t>
      </w:r>
      <w:r w:rsidR="0016617B" w:rsidRPr="0016617B">
        <w:rPr>
          <w:i/>
        </w:rPr>
        <w:t>Mr Makings</w:t>
      </w:r>
      <w:r w:rsidR="0016617B">
        <w:t xml:space="preserve"> was at pains to concede that the informant should have been called to </w:t>
      </w:r>
      <w:r w:rsidR="008274DC">
        <w:t>testify</w:t>
      </w:r>
      <w:r w:rsidR="0016617B">
        <w:t xml:space="preserve"> but he was also facing misconduct allegations and thus his cooperation was not to be taken for granted.</w:t>
      </w:r>
    </w:p>
    <w:p w:rsidR="00164A3B" w:rsidRDefault="00164A3B" w:rsidP="009A32CD">
      <w:pPr>
        <w:ind w:firstLine="720"/>
        <w:jc w:val="both"/>
        <w:outlineLvl w:val="0"/>
      </w:pPr>
    </w:p>
    <w:p w:rsidR="00AC4567" w:rsidRDefault="00164A3B" w:rsidP="00A46EFE">
      <w:pPr>
        <w:spacing w:line="360" w:lineRule="auto"/>
        <w:ind w:firstLine="720"/>
        <w:jc w:val="both"/>
        <w:outlineLvl w:val="0"/>
      </w:pPr>
      <w:r>
        <w:t xml:space="preserve">Did the appellant prove the charge of theft on a balance of probabilities? </w:t>
      </w:r>
      <w:r w:rsidR="00FE100E">
        <w:t xml:space="preserve"> The evidence adduced was that there was a portion of the hedge which showed that some chemical had been spilt.  The other evidence was that the respondent did</w:t>
      </w:r>
      <w:r w:rsidR="00A97B29">
        <w:t xml:space="preserve"> in fact have in his possession a bottle which previously contained a chemical.  The Court enquired of </w:t>
      </w:r>
      <w:r w:rsidR="00A97B29" w:rsidRPr="009D793C">
        <w:rPr>
          <w:i/>
        </w:rPr>
        <w:t>Mr Makings</w:t>
      </w:r>
      <w:r w:rsidR="00A97B29">
        <w:t xml:space="preserve"> </w:t>
      </w:r>
      <w:r w:rsidR="009A01F9">
        <w:t>as to whether a stock-take had been conducted by the appellant in order to ascertain any loss to appellant.  The response was in the negative.  What then did the appellant prove against</w:t>
      </w:r>
      <w:r w:rsidR="00D93A13">
        <w:t xml:space="preserve"> the respondent at the hearing? </w:t>
      </w:r>
      <w:r w:rsidR="0035706B">
        <w:t xml:space="preserve">Courts have occasionally had to point out that evidence does not have to be </w:t>
      </w:r>
      <w:r w:rsidR="00612565">
        <w:t>accepted merely because it is uncontradicted.  What is being weighed in the “balanc</w:t>
      </w:r>
      <w:r w:rsidR="005F010B">
        <w:t xml:space="preserve">e” is not quantities </w:t>
      </w:r>
      <w:r w:rsidR="00667595">
        <w:t xml:space="preserve">of evidence but the probabilities </w:t>
      </w:r>
      <w:r w:rsidR="005D7954">
        <w:t xml:space="preserve">arising from that evidence and all the circumstances of the case.  In </w:t>
      </w:r>
      <w:r w:rsidR="00554925">
        <w:rPr>
          <w:i/>
        </w:rPr>
        <w:t>West Rand</w:t>
      </w:r>
      <w:r w:rsidR="005D7954" w:rsidRPr="0074706F">
        <w:rPr>
          <w:i/>
        </w:rPr>
        <w:t xml:space="preserve"> </w:t>
      </w:r>
      <w:r w:rsidR="00A067AC" w:rsidRPr="0074706F">
        <w:rPr>
          <w:i/>
        </w:rPr>
        <w:t>Estates Ltd</w:t>
      </w:r>
      <w:r w:rsidR="00A067AC">
        <w:t xml:space="preserve"> </w:t>
      </w:r>
      <w:proofErr w:type="spellStart"/>
      <w:r w:rsidR="00A067AC">
        <w:t>vs</w:t>
      </w:r>
      <w:proofErr w:type="spellEnd"/>
      <w:r w:rsidR="00A067AC">
        <w:t xml:space="preserve"> </w:t>
      </w:r>
      <w:r w:rsidR="00A067AC" w:rsidRPr="0074706F">
        <w:rPr>
          <w:i/>
        </w:rPr>
        <w:t xml:space="preserve">New </w:t>
      </w:r>
      <w:r w:rsidR="0074706F" w:rsidRPr="0074706F">
        <w:rPr>
          <w:i/>
        </w:rPr>
        <w:t>Zealand</w:t>
      </w:r>
      <w:r w:rsidR="00A067AC" w:rsidRPr="0074706F">
        <w:rPr>
          <w:i/>
        </w:rPr>
        <w:t xml:space="preserve"> Insurances Co. Ltd</w:t>
      </w:r>
      <w:r w:rsidR="00554925">
        <w:t xml:space="preserve"> 19</w:t>
      </w:r>
      <w:r w:rsidR="00A067AC">
        <w:t>2</w:t>
      </w:r>
      <w:r w:rsidR="00554925">
        <w:t>5</w:t>
      </w:r>
      <w:r w:rsidR="00197D16">
        <w:t xml:space="preserve"> AD </w:t>
      </w:r>
      <w:r w:rsidR="006672CA">
        <w:t xml:space="preserve">245, </w:t>
      </w:r>
      <w:proofErr w:type="spellStart"/>
      <w:r w:rsidR="006672CA">
        <w:t>Kotze</w:t>
      </w:r>
      <w:proofErr w:type="spellEnd"/>
      <w:r w:rsidR="006672CA">
        <w:t xml:space="preserve"> JA had this to say:</w:t>
      </w:r>
    </w:p>
    <w:p w:rsidR="00AC4567" w:rsidRDefault="00AC4567" w:rsidP="009A32CD">
      <w:pPr>
        <w:ind w:firstLine="720"/>
        <w:jc w:val="both"/>
        <w:outlineLvl w:val="0"/>
      </w:pPr>
    </w:p>
    <w:p w:rsidR="00164A3B" w:rsidRPr="009A32CD" w:rsidRDefault="00AC4567" w:rsidP="009A32CD">
      <w:pPr>
        <w:spacing w:line="276" w:lineRule="auto"/>
        <w:ind w:left="720"/>
        <w:jc w:val="both"/>
        <w:outlineLvl w:val="0"/>
        <w:rPr>
          <w:sz w:val="22"/>
          <w:szCs w:val="22"/>
        </w:rPr>
      </w:pPr>
      <w:r w:rsidRPr="009A32CD">
        <w:rPr>
          <w:sz w:val="22"/>
          <w:szCs w:val="22"/>
        </w:rPr>
        <w:t>“I</w:t>
      </w:r>
      <w:r w:rsidR="00A518FA" w:rsidRPr="009A32CD">
        <w:rPr>
          <w:sz w:val="22"/>
          <w:szCs w:val="22"/>
        </w:rPr>
        <w:t>t is not a mere conject</w:t>
      </w:r>
      <w:r w:rsidR="008E293C" w:rsidRPr="009A32CD">
        <w:rPr>
          <w:sz w:val="22"/>
          <w:szCs w:val="22"/>
        </w:rPr>
        <w:t>ure</w:t>
      </w:r>
      <w:r w:rsidR="00A518FA" w:rsidRPr="009A32CD">
        <w:rPr>
          <w:sz w:val="22"/>
          <w:szCs w:val="22"/>
        </w:rPr>
        <w:t xml:space="preserve"> or slight probability that will suffice.  The probability must be of suffici</w:t>
      </w:r>
      <w:r w:rsidR="008E293C" w:rsidRPr="009A32CD">
        <w:rPr>
          <w:sz w:val="22"/>
          <w:szCs w:val="22"/>
        </w:rPr>
        <w:t>ent force to raise a reasonable presumption in favour of the party who relies on it.  It must be of s</w:t>
      </w:r>
      <w:r w:rsidR="00AA56BC" w:rsidRPr="009A32CD">
        <w:rPr>
          <w:sz w:val="22"/>
          <w:szCs w:val="22"/>
        </w:rPr>
        <w:t xml:space="preserve">ufficient weight to throw the </w:t>
      </w:r>
      <w:r w:rsidR="00AA56BC" w:rsidRPr="009A32CD">
        <w:rPr>
          <w:sz w:val="22"/>
          <w:szCs w:val="22"/>
          <w:u w:val="single"/>
        </w:rPr>
        <w:t>onus</w:t>
      </w:r>
      <w:r w:rsidR="00AA56BC" w:rsidRPr="009A32CD">
        <w:rPr>
          <w:sz w:val="22"/>
          <w:szCs w:val="22"/>
        </w:rPr>
        <w:t xml:space="preserve"> on the other side to rebut it.”</w:t>
      </w:r>
      <w:r w:rsidR="00A067AC" w:rsidRPr="009A32CD">
        <w:rPr>
          <w:sz w:val="22"/>
          <w:szCs w:val="22"/>
        </w:rPr>
        <w:t xml:space="preserve"> </w:t>
      </w:r>
    </w:p>
    <w:p w:rsidR="00943DDE" w:rsidRDefault="00943DDE" w:rsidP="009A32CD">
      <w:pPr>
        <w:ind w:firstLine="720"/>
        <w:jc w:val="both"/>
        <w:outlineLvl w:val="0"/>
      </w:pPr>
    </w:p>
    <w:p w:rsidR="006A6872" w:rsidRDefault="00943DDE" w:rsidP="00A46EFE">
      <w:pPr>
        <w:spacing w:line="360" w:lineRule="auto"/>
        <w:ind w:firstLine="720"/>
        <w:jc w:val="both"/>
        <w:outlineLvl w:val="0"/>
      </w:pPr>
      <w:r>
        <w:t xml:space="preserve">It is my view that during the disciplinary committee hearing, there was insufficient evidence adduced to prove on a balance </w:t>
      </w:r>
      <w:r w:rsidR="0015668B">
        <w:t xml:space="preserve">that respondent had committed the offence of theft.  It is not clear as to how the committee could have returned a verdict of guilty having regard to the nature of the evidence adduced before it.  The </w:t>
      </w:r>
      <w:r w:rsidR="005E6460">
        <w:t xml:space="preserve">committee’s decision is </w:t>
      </w:r>
      <w:r w:rsidR="00072AE2">
        <w:t>aptly</w:t>
      </w:r>
      <w:r w:rsidR="005E6460">
        <w:t xml:space="preserve"> described in the words of Gillespie J,</w:t>
      </w:r>
      <w:r w:rsidR="00593C67">
        <w:t xml:space="preserve"> in </w:t>
      </w:r>
      <w:r w:rsidR="00593C67" w:rsidRPr="00C57EF6">
        <w:rPr>
          <w:i/>
        </w:rPr>
        <w:t>S</w:t>
      </w:r>
      <w:r w:rsidR="00593C67">
        <w:t xml:space="preserve"> v </w:t>
      </w:r>
      <w:r w:rsidR="00593C67" w:rsidRPr="00C57EF6">
        <w:rPr>
          <w:i/>
        </w:rPr>
        <w:t>Jojo Mberi</w:t>
      </w:r>
      <w:r w:rsidR="00593C67">
        <w:t xml:space="preserve"> HH 239/98 where he had this to say</w:t>
      </w:r>
      <w:r w:rsidR="006A6872">
        <w:t>:</w:t>
      </w:r>
    </w:p>
    <w:p w:rsidR="006A6872" w:rsidRDefault="006A6872" w:rsidP="009A32CD">
      <w:pPr>
        <w:ind w:firstLine="720"/>
        <w:jc w:val="both"/>
        <w:outlineLvl w:val="0"/>
      </w:pPr>
    </w:p>
    <w:p w:rsidR="001B2134" w:rsidRPr="009A32CD" w:rsidRDefault="006A6872" w:rsidP="009A32CD">
      <w:pPr>
        <w:spacing w:line="276" w:lineRule="auto"/>
        <w:ind w:left="720"/>
        <w:jc w:val="both"/>
        <w:outlineLvl w:val="0"/>
        <w:rPr>
          <w:sz w:val="22"/>
          <w:szCs w:val="22"/>
        </w:rPr>
      </w:pPr>
      <w:r w:rsidRPr="009A32CD">
        <w:rPr>
          <w:sz w:val="22"/>
          <w:szCs w:val="22"/>
        </w:rPr>
        <w:t>“In my estimation this</w:t>
      </w:r>
      <w:r w:rsidR="00E33250" w:rsidRPr="009A32CD">
        <w:rPr>
          <w:sz w:val="22"/>
          <w:szCs w:val="22"/>
        </w:rPr>
        <w:t xml:space="preserve"> </w:t>
      </w:r>
      <w:r w:rsidRPr="009A32CD">
        <w:rPr>
          <w:sz w:val="22"/>
          <w:szCs w:val="22"/>
        </w:rPr>
        <w:t>is a classic example of the court massaging the evide</w:t>
      </w:r>
      <w:r w:rsidR="00C57EF6" w:rsidRPr="009A32CD">
        <w:rPr>
          <w:sz w:val="22"/>
          <w:szCs w:val="22"/>
        </w:rPr>
        <w:t xml:space="preserve">nce in order to have it fit a pre-conception.  That is not </w:t>
      </w:r>
      <w:r w:rsidR="00E33D32" w:rsidRPr="009A32CD">
        <w:rPr>
          <w:sz w:val="22"/>
          <w:szCs w:val="22"/>
        </w:rPr>
        <w:t xml:space="preserve">the way to do things.  It should scarcely need saying that one must examine the evidence first and see what it </w:t>
      </w:r>
      <w:r w:rsidR="00E33D32" w:rsidRPr="009A32CD">
        <w:rPr>
          <w:sz w:val="22"/>
          <w:szCs w:val="22"/>
        </w:rPr>
        <w:lastRenderedPageBreak/>
        <w:t>pro</w:t>
      </w:r>
      <w:r w:rsidR="004C340A" w:rsidRPr="009A32CD">
        <w:rPr>
          <w:sz w:val="22"/>
          <w:szCs w:val="22"/>
        </w:rPr>
        <w:t>ves rather than arriving at a pre-conception first, and see whether it can, no matte</w:t>
      </w:r>
      <w:r w:rsidR="001B2134" w:rsidRPr="009A32CD">
        <w:rPr>
          <w:sz w:val="22"/>
          <w:szCs w:val="22"/>
        </w:rPr>
        <w:t>r</w:t>
      </w:r>
      <w:r w:rsidR="00E33250" w:rsidRPr="009A32CD">
        <w:rPr>
          <w:sz w:val="22"/>
          <w:szCs w:val="22"/>
        </w:rPr>
        <w:t xml:space="preserve"> </w:t>
      </w:r>
      <w:r w:rsidR="001B2134" w:rsidRPr="009A32CD">
        <w:rPr>
          <w:sz w:val="22"/>
          <w:szCs w:val="22"/>
        </w:rPr>
        <w:t>how, be supported.”</w:t>
      </w:r>
    </w:p>
    <w:p w:rsidR="001B2134" w:rsidRDefault="001B2134" w:rsidP="009A32CD">
      <w:pPr>
        <w:ind w:firstLine="720"/>
        <w:jc w:val="both"/>
        <w:outlineLvl w:val="0"/>
      </w:pPr>
    </w:p>
    <w:p w:rsidR="00B76C6E" w:rsidRDefault="001B2134" w:rsidP="00A46EFE">
      <w:pPr>
        <w:spacing w:line="360" w:lineRule="auto"/>
        <w:ind w:firstLine="720"/>
        <w:jc w:val="both"/>
        <w:outlineLvl w:val="0"/>
      </w:pPr>
      <w:r>
        <w:t xml:space="preserve">It is my further view </w:t>
      </w:r>
      <w:r w:rsidR="00143F92">
        <w:t>that</w:t>
      </w:r>
      <w:r>
        <w:t xml:space="preserve"> the disciplinary </w:t>
      </w:r>
      <w:r w:rsidR="00E72AC5">
        <w:t>committee fell into the error and was so pleased at having thought of a theory explaining the facts of the theft to the extent that it overlooked the apparent inconsistencies and thereby assumed the existence of facts which were not proved and could therefore not be legitimately inferred.</w:t>
      </w:r>
      <w:r w:rsidR="00E33250">
        <w:t xml:space="preserve">  </w:t>
      </w:r>
    </w:p>
    <w:p w:rsidR="00B76C6E" w:rsidRDefault="00B76C6E" w:rsidP="00BA0679">
      <w:pPr>
        <w:ind w:firstLine="720"/>
        <w:jc w:val="both"/>
        <w:outlineLvl w:val="0"/>
      </w:pPr>
    </w:p>
    <w:p w:rsidR="00671436" w:rsidRDefault="00B76C6E" w:rsidP="00A46EFE">
      <w:pPr>
        <w:spacing w:line="360" w:lineRule="auto"/>
        <w:ind w:firstLine="720"/>
        <w:jc w:val="both"/>
        <w:outlineLvl w:val="0"/>
      </w:pPr>
      <w:r>
        <w:t xml:space="preserve">It is thus my view that the arbitrator was correct in making a finding that no </w:t>
      </w:r>
      <w:r w:rsidR="005B568D">
        <w:t xml:space="preserve">evidence had been adduced to prove theft.  </w:t>
      </w:r>
      <w:r w:rsidR="005B568D" w:rsidRPr="005C30B2">
        <w:rPr>
          <w:i/>
        </w:rPr>
        <w:t>Mr Makings</w:t>
      </w:r>
      <w:r w:rsidR="005B568D">
        <w:t xml:space="preserve"> argued in his heads of argument that the arbitrator had erred in stating that it was a minor loss.  My view</w:t>
      </w:r>
      <w:r w:rsidR="0065163C">
        <w:t xml:space="preserve"> is that the </w:t>
      </w:r>
      <w:r w:rsidR="00E2509B">
        <w:t>real reason for his decision was that there was no evidence.  I consider wha</w:t>
      </w:r>
      <w:r w:rsidR="00840491">
        <w:t>t h</w:t>
      </w:r>
      <w:r w:rsidR="00E2509B">
        <w:t xml:space="preserve">e stated as being minor as </w:t>
      </w:r>
      <w:r w:rsidR="00BA61F3" w:rsidRPr="00BA61F3">
        <w:rPr>
          <w:u w:val="single"/>
        </w:rPr>
        <w:t>obiter</w:t>
      </w:r>
      <w:r w:rsidR="00BA61F3">
        <w:t xml:space="preserve"> as he was discussing the possibility of the appellant having charged the </w:t>
      </w:r>
      <w:r w:rsidR="00425C18">
        <w:t>respondent with a lesser offence which could have been proved by the evidence.  The comments mad</w:t>
      </w:r>
      <w:r w:rsidR="0074500F">
        <w:t xml:space="preserve">e </w:t>
      </w:r>
      <w:r w:rsidR="0074500F" w:rsidRPr="0074500F">
        <w:rPr>
          <w:u w:val="single"/>
        </w:rPr>
        <w:t>obiter</w:t>
      </w:r>
      <w:r w:rsidR="0074500F">
        <w:t xml:space="preserve"> by the arbitrator to not detract</w:t>
      </w:r>
      <w:r w:rsidR="00996A48">
        <w:t xml:space="preserve"> from his main reason in finding in favour of the respondent that insufficient</w:t>
      </w:r>
      <w:r w:rsidR="00671436">
        <w:t xml:space="preserve"> evidence had been adduced.</w:t>
      </w:r>
    </w:p>
    <w:p w:rsidR="00671436" w:rsidRDefault="00671436" w:rsidP="004B32DD">
      <w:pPr>
        <w:ind w:firstLine="720"/>
        <w:jc w:val="both"/>
        <w:outlineLvl w:val="0"/>
      </w:pPr>
    </w:p>
    <w:p w:rsidR="00780803" w:rsidRDefault="00780803" w:rsidP="00A46EFE">
      <w:pPr>
        <w:spacing w:line="360" w:lineRule="auto"/>
        <w:ind w:firstLine="720"/>
        <w:jc w:val="both"/>
        <w:outlineLvl w:val="0"/>
      </w:pPr>
      <w:r>
        <w:t>In the result the Court is of the view that the appeal is without merit and ought to be dismissed.</w:t>
      </w:r>
    </w:p>
    <w:p w:rsidR="00780803" w:rsidRDefault="00780803" w:rsidP="00780803">
      <w:pPr>
        <w:spacing w:line="360" w:lineRule="auto"/>
        <w:jc w:val="both"/>
        <w:outlineLvl w:val="0"/>
      </w:pPr>
    </w:p>
    <w:p w:rsidR="00780803" w:rsidRDefault="00780803" w:rsidP="00780803">
      <w:pPr>
        <w:spacing w:line="360" w:lineRule="auto"/>
        <w:jc w:val="both"/>
        <w:outlineLvl w:val="0"/>
      </w:pPr>
      <w:r>
        <w:t>The Court makes the following order:</w:t>
      </w:r>
    </w:p>
    <w:p w:rsidR="00780803" w:rsidRDefault="00780803" w:rsidP="00BA0679">
      <w:pPr>
        <w:jc w:val="both"/>
        <w:outlineLvl w:val="0"/>
      </w:pPr>
    </w:p>
    <w:p w:rsidR="00660126" w:rsidRDefault="00780803" w:rsidP="00780803">
      <w:pPr>
        <w:pStyle w:val="ListParagraph"/>
        <w:numPr>
          <w:ilvl w:val="0"/>
          <w:numId w:val="3"/>
        </w:numPr>
        <w:spacing w:line="360" w:lineRule="auto"/>
        <w:jc w:val="both"/>
        <w:outlineLvl w:val="0"/>
      </w:pPr>
      <w:r>
        <w:t>The appeal</w:t>
      </w:r>
      <w:r w:rsidR="00660126">
        <w:t>, being without merit, is accordingly dismissed.</w:t>
      </w:r>
    </w:p>
    <w:p w:rsidR="00660126" w:rsidRDefault="00660126" w:rsidP="00780803">
      <w:pPr>
        <w:pStyle w:val="ListParagraph"/>
        <w:numPr>
          <w:ilvl w:val="0"/>
          <w:numId w:val="3"/>
        </w:numPr>
        <w:spacing w:line="360" w:lineRule="auto"/>
        <w:jc w:val="both"/>
        <w:outlineLvl w:val="0"/>
      </w:pPr>
      <w:r>
        <w:t>The arbitral award of Honourable Kupara be and is hereby upheld.</w:t>
      </w:r>
    </w:p>
    <w:p w:rsidR="00961189" w:rsidRDefault="00660126" w:rsidP="00780803">
      <w:pPr>
        <w:pStyle w:val="ListParagraph"/>
        <w:numPr>
          <w:ilvl w:val="0"/>
          <w:numId w:val="3"/>
        </w:numPr>
        <w:spacing w:line="360" w:lineRule="auto"/>
        <w:jc w:val="both"/>
        <w:outlineLvl w:val="0"/>
      </w:pPr>
      <w:r>
        <w:t xml:space="preserve">That appellant </w:t>
      </w:r>
      <w:r w:rsidR="00961189">
        <w:t>meets respondent’s costs.</w:t>
      </w:r>
    </w:p>
    <w:p w:rsidR="002C6515" w:rsidRDefault="002C6515" w:rsidP="00961189">
      <w:pPr>
        <w:spacing w:line="360" w:lineRule="auto"/>
        <w:jc w:val="both"/>
        <w:outlineLvl w:val="0"/>
      </w:pPr>
    </w:p>
    <w:p w:rsidR="002C6515" w:rsidRDefault="002C6515" w:rsidP="00961189">
      <w:pPr>
        <w:spacing w:line="360" w:lineRule="auto"/>
        <w:jc w:val="both"/>
        <w:outlineLvl w:val="0"/>
      </w:pPr>
    </w:p>
    <w:p w:rsidR="00961189" w:rsidRDefault="00840491" w:rsidP="00961189">
      <w:pPr>
        <w:spacing w:line="360" w:lineRule="auto"/>
        <w:jc w:val="both"/>
        <w:outlineLvl w:val="0"/>
      </w:pPr>
      <w:r>
        <w:rPr>
          <w:i/>
        </w:rPr>
        <w:t>G. Makings L</w:t>
      </w:r>
      <w:r w:rsidR="00961189" w:rsidRPr="009D26B1">
        <w:rPr>
          <w:i/>
        </w:rPr>
        <w:t>egal Practitioner</w:t>
      </w:r>
      <w:r w:rsidR="00961189">
        <w:t>. Appellant’s legal practitioners</w:t>
      </w:r>
    </w:p>
    <w:p w:rsidR="00943DDE" w:rsidRDefault="00961189" w:rsidP="00961189">
      <w:pPr>
        <w:spacing w:line="360" w:lineRule="auto"/>
        <w:jc w:val="both"/>
        <w:outlineLvl w:val="0"/>
      </w:pPr>
      <w:r w:rsidRPr="009D26B1">
        <w:rPr>
          <w:i/>
        </w:rPr>
        <w:t>Muhonde Attorneys</w:t>
      </w:r>
      <w:r w:rsidR="00894B3D">
        <w:t>, R</w:t>
      </w:r>
      <w:r w:rsidR="009D26B1">
        <w:t>espondent’s legal practitioners</w:t>
      </w:r>
      <w:r w:rsidR="00E33250">
        <w:t xml:space="preserve">                                                                                                                                                                                                                                                                                                                                                                                                                                                                                                                                                                                                                   </w:t>
      </w:r>
    </w:p>
    <w:p w:rsidR="008B2F8F" w:rsidRPr="001307BB" w:rsidRDefault="008B2F8F" w:rsidP="006A0D0B">
      <w:pPr>
        <w:spacing w:line="360" w:lineRule="auto"/>
        <w:jc w:val="both"/>
        <w:outlineLvl w:val="0"/>
      </w:pPr>
    </w:p>
    <w:p w:rsidR="00B12616" w:rsidRDefault="00B12616"/>
    <w:sectPr w:rsidR="00B12616" w:rsidSect="00880AE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BF5" w:rsidRDefault="00841BF5" w:rsidP="00424F17">
      <w:r>
        <w:separator/>
      </w:r>
    </w:p>
  </w:endnote>
  <w:endnote w:type="continuationSeparator" w:id="0">
    <w:p w:rsidR="00841BF5" w:rsidRDefault="00841BF5" w:rsidP="0042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968413"/>
      <w:docPartObj>
        <w:docPartGallery w:val="Page Numbers (Bottom of Page)"/>
        <w:docPartUnique/>
      </w:docPartObj>
    </w:sdtPr>
    <w:sdtEndPr>
      <w:rPr>
        <w:noProof/>
      </w:rPr>
    </w:sdtEndPr>
    <w:sdtContent>
      <w:p w:rsidR="00BA61F3" w:rsidRDefault="00BA61F3">
        <w:pPr>
          <w:pStyle w:val="Footer"/>
          <w:jc w:val="center"/>
        </w:pPr>
        <w:r>
          <w:fldChar w:fldCharType="begin"/>
        </w:r>
        <w:r>
          <w:instrText xml:space="preserve"> PAGE   \* MERGEFORMAT </w:instrText>
        </w:r>
        <w:r>
          <w:fldChar w:fldCharType="separate"/>
        </w:r>
        <w:r w:rsidR="00EB2155">
          <w:rPr>
            <w:noProof/>
          </w:rPr>
          <w:t>4</w:t>
        </w:r>
        <w:r>
          <w:rPr>
            <w:noProof/>
          </w:rPr>
          <w:fldChar w:fldCharType="end"/>
        </w:r>
      </w:p>
    </w:sdtContent>
  </w:sdt>
  <w:p w:rsidR="00BA61F3" w:rsidRDefault="00BA61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BF5" w:rsidRDefault="00841BF5" w:rsidP="00424F17">
      <w:r>
        <w:separator/>
      </w:r>
    </w:p>
  </w:footnote>
  <w:footnote w:type="continuationSeparator" w:id="0">
    <w:p w:rsidR="00841BF5" w:rsidRDefault="00841BF5" w:rsidP="00424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1F3" w:rsidRPr="00424F17" w:rsidRDefault="00BA61F3">
    <w:pPr>
      <w:pStyle w:val="Header"/>
      <w:rPr>
        <w:lang w:val="en-ZW"/>
      </w:rPr>
    </w:pPr>
    <w:r>
      <w:rPr>
        <w:lang w:val="en-ZW"/>
      </w:rPr>
      <w:tab/>
    </w:r>
    <w:r>
      <w:rPr>
        <w:lang w:val="en-ZW"/>
      </w:rPr>
      <w:tab/>
      <w:t>JUDGMENT NO. LC/H/</w:t>
    </w:r>
    <w:r w:rsidR="00C9148F">
      <w:rPr>
        <w:lang w:val="en-ZW"/>
      </w:rPr>
      <w:t>271</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C172E"/>
    <w:multiLevelType w:val="hybridMultilevel"/>
    <w:tmpl w:val="FDB6D4C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3BF13BAB"/>
    <w:multiLevelType w:val="hybridMultilevel"/>
    <w:tmpl w:val="84E81B1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40B8101C"/>
    <w:multiLevelType w:val="hybridMultilevel"/>
    <w:tmpl w:val="00A4F1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D0B"/>
    <w:rsid w:val="00004767"/>
    <w:rsid w:val="00012E68"/>
    <w:rsid w:val="00072AE2"/>
    <w:rsid w:val="00111BA4"/>
    <w:rsid w:val="001307BB"/>
    <w:rsid w:val="00143F92"/>
    <w:rsid w:val="00147CCD"/>
    <w:rsid w:val="0015668B"/>
    <w:rsid w:val="00164A3B"/>
    <w:rsid w:val="0016617B"/>
    <w:rsid w:val="00197D16"/>
    <w:rsid w:val="001B2134"/>
    <w:rsid w:val="001D0528"/>
    <w:rsid w:val="00230400"/>
    <w:rsid w:val="0026310A"/>
    <w:rsid w:val="002874B3"/>
    <w:rsid w:val="002C6515"/>
    <w:rsid w:val="0035401F"/>
    <w:rsid w:val="0035706B"/>
    <w:rsid w:val="00394368"/>
    <w:rsid w:val="00403656"/>
    <w:rsid w:val="00424F17"/>
    <w:rsid w:val="00425C18"/>
    <w:rsid w:val="004B32DD"/>
    <w:rsid w:val="004C2DE7"/>
    <w:rsid w:val="004C340A"/>
    <w:rsid w:val="004D0FE7"/>
    <w:rsid w:val="004D3F57"/>
    <w:rsid w:val="00534DC1"/>
    <w:rsid w:val="00554925"/>
    <w:rsid w:val="00593C67"/>
    <w:rsid w:val="005B568D"/>
    <w:rsid w:val="005C30B2"/>
    <w:rsid w:val="005D5D20"/>
    <w:rsid w:val="005D7954"/>
    <w:rsid w:val="005E6460"/>
    <w:rsid w:val="005F010B"/>
    <w:rsid w:val="00612565"/>
    <w:rsid w:val="00617B3C"/>
    <w:rsid w:val="0065163C"/>
    <w:rsid w:val="00660126"/>
    <w:rsid w:val="00664CE8"/>
    <w:rsid w:val="006672CA"/>
    <w:rsid w:val="00667595"/>
    <w:rsid w:val="00671436"/>
    <w:rsid w:val="00680DF4"/>
    <w:rsid w:val="006A0D0B"/>
    <w:rsid w:val="006A6872"/>
    <w:rsid w:val="006D6631"/>
    <w:rsid w:val="006F3DE6"/>
    <w:rsid w:val="00701A47"/>
    <w:rsid w:val="00715BD6"/>
    <w:rsid w:val="0074500F"/>
    <w:rsid w:val="0074706F"/>
    <w:rsid w:val="00763DA9"/>
    <w:rsid w:val="007744B8"/>
    <w:rsid w:val="00775B18"/>
    <w:rsid w:val="00780803"/>
    <w:rsid w:val="00800439"/>
    <w:rsid w:val="0081782F"/>
    <w:rsid w:val="008274DC"/>
    <w:rsid w:val="00836E74"/>
    <w:rsid w:val="00840491"/>
    <w:rsid w:val="00841BF5"/>
    <w:rsid w:val="00864BC4"/>
    <w:rsid w:val="00880AE4"/>
    <w:rsid w:val="00894B3D"/>
    <w:rsid w:val="008B2F8F"/>
    <w:rsid w:val="008E293C"/>
    <w:rsid w:val="008F316A"/>
    <w:rsid w:val="0090062E"/>
    <w:rsid w:val="00902F28"/>
    <w:rsid w:val="00943DDE"/>
    <w:rsid w:val="00961189"/>
    <w:rsid w:val="00976AF7"/>
    <w:rsid w:val="00996A48"/>
    <w:rsid w:val="009A01F9"/>
    <w:rsid w:val="009A32CD"/>
    <w:rsid w:val="009D26B1"/>
    <w:rsid w:val="009D793C"/>
    <w:rsid w:val="00A01383"/>
    <w:rsid w:val="00A067AC"/>
    <w:rsid w:val="00A26A5D"/>
    <w:rsid w:val="00A46EFE"/>
    <w:rsid w:val="00A518FA"/>
    <w:rsid w:val="00A73B17"/>
    <w:rsid w:val="00A97B29"/>
    <w:rsid w:val="00AA56BC"/>
    <w:rsid w:val="00AC4567"/>
    <w:rsid w:val="00AD6662"/>
    <w:rsid w:val="00B12616"/>
    <w:rsid w:val="00B622AE"/>
    <w:rsid w:val="00B623C1"/>
    <w:rsid w:val="00B76C6E"/>
    <w:rsid w:val="00B83CE5"/>
    <w:rsid w:val="00B908B9"/>
    <w:rsid w:val="00BA0679"/>
    <w:rsid w:val="00BA61F3"/>
    <w:rsid w:val="00BC1859"/>
    <w:rsid w:val="00BD49FC"/>
    <w:rsid w:val="00BE4E5F"/>
    <w:rsid w:val="00C0392D"/>
    <w:rsid w:val="00C57EF6"/>
    <w:rsid w:val="00C84525"/>
    <w:rsid w:val="00C9148F"/>
    <w:rsid w:val="00CE44EC"/>
    <w:rsid w:val="00D52486"/>
    <w:rsid w:val="00D70923"/>
    <w:rsid w:val="00D7667F"/>
    <w:rsid w:val="00D93A13"/>
    <w:rsid w:val="00DA62AE"/>
    <w:rsid w:val="00E2509B"/>
    <w:rsid w:val="00E33250"/>
    <w:rsid w:val="00E33D32"/>
    <w:rsid w:val="00E55D5E"/>
    <w:rsid w:val="00E72AC5"/>
    <w:rsid w:val="00EB2155"/>
    <w:rsid w:val="00EB3737"/>
    <w:rsid w:val="00EC69CD"/>
    <w:rsid w:val="00EF460A"/>
    <w:rsid w:val="00FE100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D0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368"/>
    <w:pPr>
      <w:ind w:left="720"/>
      <w:contextualSpacing/>
    </w:pPr>
  </w:style>
  <w:style w:type="paragraph" w:styleId="Header">
    <w:name w:val="header"/>
    <w:basedOn w:val="Normal"/>
    <w:link w:val="HeaderChar"/>
    <w:uiPriority w:val="99"/>
    <w:unhideWhenUsed/>
    <w:rsid w:val="00424F17"/>
    <w:pPr>
      <w:tabs>
        <w:tab w:val="center" w:pos="4513"/>
        <w:tab w:val="right" w:pos="9026"/>
      </w:tabs>
    </w:pPr>
  </w:style>
  <w:style w:type="character" w:customStyle="1" w:styleId="HeaderChar">
    <w:name w:val="Header Char"/>
    <w:basedOn w:val="DefaultParagraphFont"/>
    <w:link w:val="Header"/>
    <w:uiPriority w:val="99"/>
    <w:rsid w:val="00424F17"/>
    <w:rPr>
      <w:rFonts w:ascii="Tahoma" w:eastAsia="Times New Roman" w:hAnsi="Tahoma" w:cs="Times New Roman"/>
      <w:sz w:val="24"/>
      <w:szCs w:val="24"/>
      <w:lang w:val="en-US"/>
    </w:rPr>
  </w:style>
  <w:style w:type="paragraph" w:styleId="Footer">
    <w:name w:val="footer"/>
    <w:basedOn w:val="Normal"/>
    <w:link w:val="FooterChar"/>
    <w:uiPriority w:val="99"/>
    <w:unhideWhenUsed/>
    <w:rsid w:val="00424F17"/>
    <w:pPr>
      <w:tabs>
        <w:tab w:val="center" w:pos="4513"/>
        <w:tab w:val="right" w:pos="9026"/>
      </w:tabs>
    </w:pPr>
  </w:style>
  <w:style w:type="character" w:customStyle="1" w:styleId="FooterChar">
    <w:name w:val="Footer Char"/>
    <w:basedOn w:val="DefaultParagraphFont"/>
    <w:link w:val="Footer"/>
    <w:uiPriority w:val="99"/>
    <w:rsid w:val="00424F17"/>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90062E"/>
    <w:rPr>
      <w:rFonts w:cs="Tahoma"/>
      <w:sz w:val="16"/>
      <w:szCs w:val="16"/>
    </w:rPr>
  </w:style>
  <w:style w:type="character" w:customStyle="1" w:styleId="BalloonTextChar">
    <w:name w:val="Balloon Text Char"/>
    <w:basedOn w:val="DefaultParagraphFont"/>
    <w:link w:val="BalloonText"/>
    <w:uiPriority w:val="99"/>
    <w:semiHidden/>
    <w:rsid w:val="0090062E"/>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D0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368"/>
    <w:pPr>
      <w:ind w:left="720"/>
      <w:contextualSpacing/>
    </w:pPr>
  </w:style>
  <w:style w:type="paragraph" w:styleId="Header">
    <w:name w:val="header"/>
    <w:basedOn w:val="Normal"/>
    <w:link w:val="HeaderChar"/>
    <w:uiPriority w:val="99"/>
    <w:unhideWhenUsed/>
    <w:rsid w:val="00424F17"/>
    <w:pPr>
      <w:tabs>
        <w:tab w:val="center" w:pos="4513"/>
        <w:tab w:val="right" w:pos="9026"/>
      </w:tabs>
    </w:pPr>
  </w:style>
  <w:style w:type="character" w:customStyle="1" w:styleId="HeaderChar">
    <w:name w:val="Header Char"/>
    <w:basedOn w:val="DefaultParagraphFont"/>
    <w:link w:val="Header"/>
    <w:uiPriority w:val="99"/>
    <w:rsid w:val="00424F17"/>
    <w:rPr>
      <w:rFonts w:ascii="Tahoma" w:eastAsia="Times New Roman" w:hAnsi="Tahoma" w:cs="Times New Roman"/>
      <w:sz w:val="24"/>
      <w:szCs w:val="24"/>
      <w:lang w:val="en-US"/>
    </w:rPr>
  </w:style>
  <w:style w:type="paragraph" w:styleId="Footer">
    <w:name w:val="footer"/>
    <w:basedOn w:val="Normal"/>
    <w:link w:val="FooterChar"/>
    <w:uiPriority w:val="99"/>
    <w:unhideWhenUsed/>
    <w:rsid w:val="00424F17"/>
    <w:pPr>
      <w:tabs>
        <w:tab w:val="center" w:pos="4513"/>
        <w:tab w:val="right" w:pos="9026"/>
      </w:tabs>
    </w:pPr>
  </w:style>
  <w:style w:type="character" w:customStyle="1" w:styleId="FooterChar">
    <w:name w:val="Footer Char"/>
    <w:basedOn w:val="DefaultParagraphFont"/>
    <w:link w:val="Footer"/>
    <w:uiPriority w:val="99"/>
    <w:rsid w:val="00424F17"/>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90062E"/>
    <w:rPr>
      <w:rFonts w:cs="Tahoma"/>
      <w:sz w:val="16"/>
      <w:szCs w:val="16"/>
    </w:rPr>
  </w:style>
  <w:style w:type="character" w:customStyle="1" w:styleId="BalloonTextChar">
    <w:name w:val="Balloon Text Char"/>
    <w:basedOn w:val="DefaultParagraphFont"/>
    <w:link w:val="BalloonText"/>
    <w:uiPriority w:val="99"/>
    <w:semiHidden/>
    <w:rsid w:val="0090062E"/>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50</cp:revision>
  <cp:lastPrinted>2016-04-28T08:17:00Z</cp:lastPrinted>
  <dcterms:created xsi:type="dcterms:W3CDTF">2016-04-19T06:24:00Z</dcterms:created>
  <dcterms:modified xsi:type="dcterms:W3CDTF">2016-04-28T08:18:00Z</dcterms:modified>
</cp:coreProperties>
</file>