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0B" w:rsidRPr="006720E7" w:rsidRDefault="007E0E2B" w:rsidP="008313F2">
      <w:pPr>
        <w:pStyle w:val="NoSpacing"/>
        <w:jc w:val="both"/>
        <w:rPr>
          <w:b/>
          <w:sz w:val="24"/>
          <w:szCs w:val="24"/>
          <w:lang w:val="en-US"/>
        </w:rPr>
      </w:pPr>
      <w:r w:rsidRPr="006720E7">
        <w:rPr>
          <w:b/>
          <w:sz w:val="24"/>
          <w:szCs w:val="24"/>
          <w:lang w:val="en-US"/>
        </w:rPr>
        <w:t>IPHITHULE MILISWA MATHIYA</w:t>
      </w:r>
    </w:p>
    <w:p w:rsidR="007E0E2B" w:rsidRPr="006720E7" w:rsidRDefault="007E0E2B" w:rsidP="008313F2">
      <w:pPr>
        <w:pStyle w:val="NoSpacing"/>
        <w:jc w:val="both"/>
        <w:rPr>
          <w:b/>
          <w:sz w:val="24"/>
          <w:szCs w:val="24"/>
          <w:lang w:val="en-US"/>
        </w:rPr>
      </w:pPr>
    </w:p>
    <w:p w:rsidR="007E0E2B" w:rsidRPr="006720E7" w:rsidRDefault="007E0E2B" w:rsidP="008313F2">
      <w:pPr>
        <w:pStyle w:val="NoSpacing"/>
        <w:jc w:val="both"/>
        <w:rPr>
          <w:b/>
          <w:sz w:val="24"/>
          <w:szCs w:val="24"/>
          <w:lang w:val="en-US"/>
        </w:rPr>
      </w:pPr>
      <w:r w:rsidRPr="006720E7">
        <w:rPr>
          <w:b/>
          <w:sz w:val="24"/>
          <w:szCs w:val="24"/>
          <w:lang w:val="en-US"/>
        </w:rPr>
        <w:t>Versus</w:t>
      </w:r>
    </w:p>
    <w:p w:rsidR="007E0E2B" w:rsidRPr="006720E7" w:rsidRDefault="007E0E2B" w:rsidP="008313F2">
      <w:pPr>
        <w:pStyle w:val="NoSpacing"/>
        <w:jc w:val="both"/>
        <w:rPr>
          <w:b/>
          <w:sz w:val="24"/>
          <w:szCs w:val="24"/>
          <w:lang w:val="en-US"/>
        </w:rPr>
      </w:pPr>
    </w:p>
    <w:p w:rsidR="007E0E2B" w:rsidRPr="006720E7" w:rsidRDefault="007E0E2B" w:rsidP="008313F2">
      <w:pPr>
        <w:pStyle w:val="NoSpacing"/>
        <w:jc w:val="both"/>
        <w:rPr>
          <w:b/>
          <w:sz w:val="24"/>
          <w:szCs w:val="24"/>
          <w:lang w:val="en-US"/>
        </w:rPr>
      </w:pPr>
      <w:r w:rsidRPr="006720E7">
        <w:rPr>
          <w:b/>
          <w:sz w:val="24"/>
          <w:szCs w:val="24"/>
          <w:lang w:val="en-US"/>
        </w:rPr>
        <w:t>THE MASTER OF THE HIGH COURT</w:t>
      </w:r>
    </w:p>
    <w:p w:rsidR="007E0E2B" w:rsidRPr="006720E7" w:rsidRDefault="007E0E2B" w:rsidP="008313F2">
      <w:pPr>
        <w:pStyle w:val="NoSpacing"/>
        <w:jc w:val="both"/>
        <w:rPr>
          <w:b/>
          <w:sz w:val="24"/>
          <w:szCs w:val="24"/>
          <w:lang w:val="en-US"/>
        </w:rPr>
      </w:pPr>
    </w:p>
    <w:p w:rsidR="007E0E2B" w:rsidRPr="006720E7" w:rsidRDefault="007E0E2B" w:rsidP="008313F2">
      <w:pPr>
        <w:pStyle w:val="NoSpacing"/>
        <w:jc w:val="both"/>
        <w:rPr>
          <w:b/>
          <w:sz w:val="24"/>
          <w:szCs w:val="24"/>
          <w:lang w:val="en-US"/>
        </w:rPr>
      </w:pPr>
      <w:r w:rsidRPr="006720E7">
        <w:rPr>
          <w:b/>
          <w:sz w:val="24"/>
          <w:szCs w:val="24"/>
          <w:lang w:val="en-US"/>
        </w:rPr>
        <w:t>And</w:t>
      </w:r>
    </w:p>
    <w:p w:rsidR="007E0E2B" w:rsidRPr="006720E7" w:rsidRDefault="007E0E2B" w:rsidP="008313F2">
      <w:pPr>
        <w:pStyle w:val="NoSpacing"/>
        <w:jc w:val="both"/>
        <w:rPr>
          <w:b/>
          <w:sz w:val="24"/>
          <w:szCs w:val="24"/>
          <w:lang w:val="en-US"/>
        </w:rPr>
      </w:pPr>
    </w:p>
    <w:p w:rsidR="007E0E2B" w:rsidRPr="006720E7" w:rsidRDefault="007E0E2B" w:rsidP="008313F2">
      <w:pPr>
        <w:pStyle w:val="NoSpacing"/>
        <w:jc w:val="both"/>
        <w:rPr>
          <w:b/>
          <w:sz w:val="24"/>
          <w:szCs w:val="24"/>
          <w:lang w:val="en-US"/>
        </w:rPr>
      </w:pPr>
      <w:r w:rsidRPr="006720E7">
        <w:rPr>
          <w:b/>
          <w:sz w:val="24"/>
          <w:szCs w:val="24"/>
          <w:lang w:val="en-US"/>
        </w:rPr>
        <w:t>LOMANGWE NDIWENI</w:t>
      </w:r>
    </w:p>
    <w:p w:rsidR="007E0E2B" w:rsidRPr="006720E7" w:rsidRDefault="007E0E2B" w:rsidP="008313F2">
      <w:pPr>
        <w:pStyle w:val="NoSpacing"/>
        <w:jc w:val="both"/>
        <w:rPr>
          <w:b/>
          <w:sz w:val="24"/>
          <w:szCs w:val="24"/>
          <w:lang w:val="en-US"/>
        </w:rPr>
      </w:pPr>
    </w:p>
    <w:p w:rsidR="007E0E2B" w:rsidRPr="006720E7" w:rsidRDefault="007E0E2B" w:rsidP="008313F2">
      <w:pPr>
        <w:pStyle w:val="NoSpacing"/>
        <w:jc w:val="both"/>
        <w:rPr>
          <w:b/>
          <w:sz w:val="24"/>
          <w:szCs w:val="24"/>
          <w:lang w:val="en-US"/>
        </w:rPr>
      </w:pPr>
      <w:r w:rsidRPr="006720E7">
        <w:rPr>
          <w:b/>
          <w:sz w:val="24"/>
          <w:szCs w:val="24"/>
          <w:lang w:val="en-US"/>
        </w:rPr>
        <w:t>And</w:t>
      </w:r>
    </w:p>
    <w:p w:rsidR="007E0E2B" w:rsidRPr="006720E7" w:rsidRDefault="007E0E2B" w:rsidP="008313F2">
      <w:pPr>
        <w:pStyle w:val="NoSpacing"/>
        <w:jc w:val="both"/>
        <w:rPr>
          <w:b/>
          <w:sz w:val="24"/>
          <w:szCs w:val="24"/>
          <w:lang w:val="en-US"/>
        </w:rPr>
      </w:pPr>
    </w:p>
    <w:p w:rsidR="007E0E2B" w:rsidRPr="006720E7" w:rsidRDefault="007E0E2B" w:rsidP="008313F2">
      <w:pPr>
        <w:pStyle w:val="NoSpacing"/>
        <w:jc w:val="both"/>
        <w:rPr>
          <w:b/>
          <w:sz w:val="24"/>
          <w:szCs w:val="24"/>
          <w:lang w:val="en-US"/>
        </w:rPr>
      </w:pPr>
      <w:r w:rsidRPr="006720E7">
        <w:rPr>
          <w:b/>
          <w:sz w:val="24"/>
          <w:szCs w:val="24"/>
          <w:lang w:val="en-US"/>
        </w:rPr>
        <w:t>ANDERSON EXECUTOR</w:t>
      </w:r>
      <w:r w:rsidR="00D20384" w:rsidRPr="006720E7">
        <w:rPr>
          <w:b/>
          <w:sz w:val="24"/>
          <w:szCs w:val="24"/>
          <w:lang w:val="en-US"/>
        </w:rPr>
        <w:t xml:space="preserve"> &amp; TRUST (PVT) LTD</w:t>
      </w:r>
    </w:p>
    <w:p w:rsidR="00D20384" w:rsidRPr="006720E7" w:rsidRDefault="00D20384" w:rsidP="008313F2">
      <w:pPr>
        <w:pStyle w:val="NoSpacing"/>
        <w:jc w:val="both"/>
        <w:rPr>
          <w:b/>
          <w:sz w:val="24"/>
          <w:szCs w:val="24"/>
          <w:lang w:val="en-US"/>
        </w:rPr>
      </w:pPr>
    </w:p>
    <w:p w:rsidR="00D20384" w:rsidRPr="006720E7" w:rsidRDefault="00D20384" w:rsidP="008313F2">
      <w:pPr>
        <w:pStyle w:val="NoSpacing"/>
        <w:jc w:val="both"/>
        <w:rPr>
          <w:b/>
          <w:sz w:val="24"/>
          <w:szCs w:val="24"/>
          <w:lang w:val="en-US"/>
        </w:rPr>
      </w:pPr>
      <w:r w:rsidRPr="006720E7">
        <w:rPr>
          <w:b/>
          <w:sz w:val="24"/>
          <w:szCs w:val="24"/>
          <w:lang w:val="en-US"/>
        </w:rPr>
        <w:t>And</w:t>
      </w:r>
    </w:p>
    <w:p w:rsidR="00D20384" w:rsidRPr="006720E7" w:rsidRDefault="00D20384" w:rsidP="008313F2">
      <w:pPr>
        <w:pStyle w:val="NoSpacing"/>
        <w:jc w:val="both"/>
        <w:rPr>
          <w:b/>
          <w:sz w:val="24"/>
          <w:szCs w:val="24"/>
          <w:lang w:val="en-US"/>
        </w:rPr>
      </w:pPr>
    </w:p>
    <w:p w:rsidR="00D20384" w:rsidRPr="006720E7" w:rsidRDefault="00D20384" w:rsidP="008313F2">
      <w:pPr>
        <w:pStyle w:val="NoSpacing"/>
        <w:jc w:val="both"/>
        <w:rPr>
          <w:b/>
          <w:sz w:val="24"/>
          <w:szCs w:val="24"/>
          <w:lang w:val="en-US"/>
        </w:rPr>
      </w:pPr>
      <w:r w:rsidRPr="006720E7">
        <w:rPr>
          <w:b/>
          <w:sz w:val="24"/>
          <w:szCs w:val="24"/>
          <w:lang w:val="en-US"/>
        </w:rPr>
        <w:t>JULIAN NCUBE N.O.</w:t>
      </w:r>
    </w:p>
    <w:p w:rsidR="00D20384" w:rsidRPr="006720E7" w:rsidRDefault="00D20384" w:rsidP="008313F2">
      <w:pPr>
        <w:pStyle w:val="NoSpacing"/>
        <w:jc w:val="both"/>
        <w:rPr>
          <w:b/>
          <w:sz w:val="24"/>
          <w:szCs w:val="24"/>
          <w:lang w:val="en-US"/>
        </w:rPr>
      </w:pPr>
    </w:p>
    <w:p w:rsidR="00D20384" w:rsidRPr="006720E7" w:rsidRDefault="00D20384" w:rsidP="008313F2">
      <w:pPr>
        <w:pStyle w:val="NoSpacing"/>
        <w:jc w:val="both"/>
        <w:rPr>
          <w:sz w:val="24"/>
          <w:szCs w:val="24"/>
          <w:lang w:val="en-US"/>
        </w:rPr>
      </w:pPr>
      <w:r w:rsidRPr="006720E7">
        <w:rPr>
          <w:sz w:val="24"/>
          <w:szCs w:val="24"/>
          <w:lang w:val="en-US"/>
        </w:rPr>
        <w:t>IN THE HIGH COURT OF ZIMBABWE</w:t>
      </w:r>
    </w:p>
    <w:p w:rsidR="00D20384" w:rsidRPr="006720E7" w:rsidRDefault="00D20384" w:rsidP="008313F2">
      <w:pPr>
        <w:pStyle w:val="NoSpacing"/>
        <w:jc w:val="both"/>
        <w:rPr>
          <w:sz w:val="24"/>
          <w:szCs w:val="24"/>
          <w:lang w:val="en-US"/>
        </w:rPr>
      </w:pPr>
      <w:r w:rsidRPr="006720E7">
        <w:rPr>
          <w:sz w:val="24"/>
          <w:szCs w:val="24"/>
          <w:lang w:val="en-US"/>
        </w:rPr>
        <w:t>MOYO J</w:t>
      </w:r>
    </w:p>
    <w:p w:rsidR="00D20384" w:rsidRPr="006720E7" w:rsidRDefault="00D20384" w:rsidP="008313F2">
      <w:pPr>
        <w:pStyle w:val="NoSpacing"/>
        <w:jc w:val="both"/>
        <w:rPr>
          <w:sz w:val="24"/>
          <w:szCs w:val="24"/>
          <w:lang w:val="en-US"/>
        </w:rPr>
      </w:pPr>
      <w:r w:rsidRPr="006720E7">
        <w:rPr>
          <w:sz w:val="24"/>
          <w:szCs w:val="24"/>
          <w:lang w:val="en-US"/>
        </w:rPr>
        <w:t>BULAWAYO 8 JULY &amp; 29 SEPTEMBER 2022</w:t>
      </w:r>
    </w:p>
    <w:p w:rsidR="00D20384" w:rsidRPr="006720E7" w:rsidRDefault="00D20384" w:rsidP="008313F2">
      <w:pPr>
        <w:pStyle w:val="NoSpacing"/>
        <w:jc w:val="both"/>
        <w:rPr>
          <w:sz w:val="24"/>
          <w:szCs w:val="24"/>
          <w:lang w:val="en-US"/>
        </w:rPr>
      </w:pPr>
    </w:p>
    <w:p w:rsidR="00D20384" w:rsidRPr="006720E7" w:rsidRDefault="00D20384" w:rsidP="008313F2">
      <w:pPr>
        <w:pStyle w:val="NoSpacing"/>
        <w:jc w:val="both"/>
        <w:rPr>
          <w:b/>
          <w:sz w:val="24"/>
          <w:szCs w:val="24"/>
          <w:lang w:val="en-US"/>
        </w:rPr>
      </w:pPr>
      <w:r w:rsidRPr="006720E7">
        <w:rPr>
          <w:b/>
          <w:sz w:val="24"/>
          <w:szCs w:val="24"/>
          <w:lang w:val="en-US"/>
        </w:rPr>
        <w:t>Opposed Application</w:t>
      </w:r>
    </w:p>
    <w:p w:rsidR="00D20384" w:rsidRPr="006720E7" w:rsidRDefault="00D20384" w:rsidP="008313F2">
      <w:pPr>
        <w:pStyle w:val="NoSpacing"/>
        <w:jc w:val="both"/>
        <w:rPr>
          <w:b/>
          <w:sz w:val="24"/>
          <w:szCs w:val="24"/>
          <w:lang w:val="en-US"/>
        </w:rPr>
      </w:pPr>
    </w:p>
    <w:p w:rsidR="00D20384" w:rsidRPr="006720E7" w:rsidRDefault="00D20384" w:rsidP="008313F2">
      <w:pPr>
        <w:pStyle w:val="NoSpacing"/>
        <w:jc w:val="both"/>
        <w:rPr>
          <w:sz w:val="24"/>
          <w:szCs w:val="24"/>
          <w:lang w:val="en-US"/>
        </w:rPr>
      </w:pPr>
      <w:r w:rsidRPr="006720E7">
        <w:rPr>
          <w:i/>
          <w:sz w:val="24"/>
          <w:szCs w:val="24"/>
          <w:lang w:val="en-US"/>
        </w:rPr>
        <w:t>J. Tshuma</w:t>
      </w:r>
      <w:r w:rsidRPr="006720E7">
        <w:rPr>
          <w:sz w:val="24"/>
          <w:szCs w:val="24"/>
          <w:lang w:val="en-US"/>
        </w:rPr>
        <w:t xml:space="preserve"> for the applicant</w:t>
      </w:r>
    </w:p>
    <w:p w:rsidR="00D20384" w:rsidRPr="006720E7" w:rsidRDefault="00D20384" w:rsidP="008313F2">
      <w:pPr>
        <w:pStyle w:val="NoSpacing"/>
        <w:jc w:val="both"/>
        <w:rPr>
          <w:sz w:val="24"/>
          <w:szCs w:val="24"/>
          <w:lang w:val="en-US"/>
        </w:rPr>
      </w:pPr>
      <w:r w:rsidRPr="006720E7">
        <w:rPr>
          <w:i/>
          <w:sz w:val="24"/>
          <w:szCs w:val="24"/>
          <w:lang w:val="en-US"/>
        </w:rPr>
        <w:t>Advocate P. Dube</w:t>
      </w:r>
      <w:r w:rsidRPr="006720E7">
        <w:rPr>
          <w:sz w:val="24"/>
          <w:szCs w:val="24"/>
          <w:lang w:val="en-US"/>
        </w:rPr>
        <w:t xml:space="preserve"> for the 2</w:t>
      </w:r>
      <w:r w:rsidRPr="006720E7">
        <w:rPr>
          <w:sz w:val="24"/>
          <w:szCs w:val="24"/>
          <w:vertAlign w:val="superscript"/>
          <w:lang w:val="en-US"/>
        </w:rPr>
        <w:t>nd</w:t>
      </w:r>
      <w:r w:rsidRPr="006720E7">
        <w:rPr>
          <w:sz w:val="24"/>
          <w:szCs w:val="24"/>
          <w:lang w:val="en-US"/>
        </w:rPr>
        <w:t xml:space="preserve"> respondent</w:t>
      </w:r>
    </w:p>
    <w:p w:rsidR="00D20384" w:rsidRPr="006720E7" w:rsidRDefault="00D20384" w:rsidP="008313F2">
      <w:pPr>
        <w:pStyle w:val="NoSpacing"/>
        <w:jc w:val="both"/>
        <w:rPr>
          <w:sz w:val="24"/>
          <w:szCs w:val="24"/>
          <w:lang w:val="en-US"/>
        </w:rPr>
      </w:pPr>
      <w:r w:rsidRPr="006720E7">
        <w:rPr>
          <w:sz w:val="24"/>
          <w:szCs w:val="24"/>
          <w:lang w:val="en-US"/>
        </w:rPr>
        <w:t>No appearance for 1</w:t>
      </w:r>
      <w:r w:rsidRPr="006720E7">
        <w:rPr>
          <w:sz w:val="24"/>
          <w:szCs w:val="24"/>
          <w:vertAlign w:val="superscript"/>
          <w:lang w:val="en-US"/>
        </w:rPr>
        <w:t>st</w:t>
      </w:r>
      <w:r w:rsidRPr="006720E7">
        <w:rPr>
          <w:sz w:val="24"/>
          <w:szCs w:val="24"/>
          <w:lang w:val="en-US"/>
        </w:rPr>
        <w:t>, 3</w:t>
      </w:r>
      <w:r w:rsidRPr="006720E7">
        <w:rPr>
          <w:sz w:val="24"/>
          <w:szCs w:val="24"/>
          <w:vertAlign w:val="superscript"/>
          <w:lang w:val="en-US"/>
        </w:rPr>
        <w:t>rd</w:t>
      </w:r>
      <w:r w:rsidRPr="006720E7">
        <w:rPr>
          <w:sz w:val="24"/>
          <w:szCs w:val="24"/>
          <w:lang w:val="en-US"/>
        </w:rPr>
        <w:t xml:space="preserve"> &amp; 4</w:t>
      </w:r>
      <w:r w:rsidRPr="006720E7">
        <w:rPr>
          <w:sz w:val="24"/>
          <w:szCs w:val="24"/>
          <w:vertAlign w:val="superscript"/>
          <w:lang w:val="en-US"/>
        </w:rPr>
        <w:t>th</w:t>
      </w:r>
      <w:r w:rsidRPr="006720E7">
        <w:rPr>
          <w:sz w:val="24"/>
          <w:szCs w:val="24"/>
          <w:lang w:val="en-US"/>
        </w:rPr>
        <w:t xml:space="preserve"> respondents</w:t>
      </w:r>
    </w:p>
    <w:p w:rsidR="00D20384" w:rsidRPr="006720E7" w:rsidRDefault="00D20384" w:rsidP="008313F2">
      <w:pPr>
        <w:pStyle w:val="NoSpacing"/>
        <w:jc w:val="both"/>
        <w:rPr>
          <w:sz w:val="24"/>
          <w:szCs w:val="24"/>
          <w:lang w:val="en-US"/>
        </w:rPr>
      </w:pPr>
    </w:p>
    <w:p w:rsidR="00D20384" w:rsidRPr="006720E7" w:rsidRDefault="00D20384" w:rsidP="008313F2">
      <w:pPr>
        <w:jc w:val="both"/>
        <w:rPr>
          <w:sz w:val="24"/>
          <w:szCs w:val="24"/>
          <w:lang w:val="en-US"/>
        </w:rPr>
      </w:pPr>
      <w:r w:rsidRPr="006720E7">
        <w:rPr>
          <w:sz w:val="24"/>
          <w:szCs w:val="24"/>
          <w:lang w:val="en-US"/>
        </w:rPr>
        <w:tab/>
      </w:r>
      <w:r w:rsidRPr="006720E7">
        <w:rPr>
          <w:b/>
          <w:sz w:val="24"/>
          <w:szCs w:val="24"/>
          <w:lang w:val="en-US"/>
        </w:rPr>
        <w:t>MOYO J:</w:t>
      </w:r>
      <w:r w:rsidRPr="006720E7">
        <w:rPr>
          <w:b/>
          <w:sz w:val="24"/>
          <w:szCs w:val="24"/>
          <w:lang w:val="en-US"/>
        </w:rPr>
        <w:tab/>
      </w:r>
      <w:r w:rsidR="00681D0D" w:rsidRPr="006720E7">
        <w:rPr>
          <w:sz w:val="24"/>
          <w:szCs w:val="24"/>
          <w:lang w:val="en-US"/>
        </w:rPr>
        <w:t>This is an application brought to this court in terms of section 4 (1) of the Administrative Justice Act Chapter 10:28.  It is an application to set aside the determination by the Master of the High Court (herein cited as 1</w:t>
      </w:r>
      <w:r w:rsidR="00681D0D" w:rsidRPr="006720E7">
        <w:rPr>
          <w:sz w:val="24"/>
          <w:szCs w:val="24"/>
          <w:vertAlign w:val="superscript"/>
          <w:lang w:val="en-US"/>
        </w:rPr>
        <w:t>st</w:t>
      </w:r>
      <w:r w:rsidR="00681D0D" w:rsidRPr="006720E7">
        <w:rPr>
          <w:sz w:val="24"/>
          <w:szCs w:val="24"/>
          <w:lang w:val="en-US"/>
        </w:rPr>
        <w:t xml:space="preserve"> respondent), wherein on 8</w:t>
      </w:r>
      <w:r w:rsidR="00681D0D" w:rsidRPr="006720E7">
        <w:rPr>
          <w:sz w:val="24"/>
          <w:szCs w:val="24"/>
          <w:vertAlign w:val="superscript"/>
          <w:lang w:val="en-US"/>
        </w:rPr>
        <w:t>th</w:t>
      </w:r>
      <w:r w:rsidR="00681D0D" w:rsidRPr="006720E7">
        <w:rPr>
          <w:sz w:val="24"/>
          <w:szCs w:val="24"/>
          <w:lang w:val="en-US"/>
        </w:rPr>
        <w:t xml:space="preserve"> of August 2019, she declared the last Will and </w:t>
      </w:r>
      <w:r w:rsidR="002364EF" w:rsidRPr="006720E7">
        <w:rPr>
          <w:sz w:val="24"/>
          <w:szCs w:val="24"/>
          <w:lang w:val="en-US"/>
        </w:rPr>
        <w:t>T</w:t>
      </w:r>
      <w:r w:rsidR="00681D0D" w:rsidRPr="006720E7">
        <w:rPr>
          <w:sz w:val="24"/>
          <w:szCs w:val="24"/>
          <w:lang w:val="en-US"/>
        </w:rPr>
        <w:t xml:space="preserve">estament of the </w:t>
      </w:r>
      <w:r w:rsidR="002364EF" w:rsidRPr="006720E7">
        <w:rPr>
          <w:sz w:val="24"/>
          <w:szCs w:val="24"/>
          <w:lang w:val="en-US"/>
        </w:rPr>
        <w:t>L</w:t>
      </w:r>
      <w:r w:rsidR="00681D0D" w:rsidRPr="006720E7">
        <w:rPr>
          <w:sz w:val="24"/>
          <w:szCs w:val="24"/>
          <w:lang w:val="en-US"/>
        </w:rPr>
        <w:t>ate Tulli Ndlovu Mathiya as void due to a subsequent customary law union that he contracted with the 2</w:t>
      </w:r>
      <w:r w:rsidR="00681D0D" w:rsidRPr="006720E7">
        <w:rPr>
          <w:sz w:val="24"/>
          <w:szCs w:val="24"/>
          <w:vertAlign w:val="superscript"/>
          <w:lang w:val="en-US"/>
        </w:rPr>
        <w:t>nd</w:t>
      </w:r>
      <w:r w:rsidR="00681D0D" w:rsidRPr="006720E7">
        <w:rPr>
          <w:sz w:val="24"/>
          <w:szCs w:val="24"/>
          <w:lang w:val="en-US"/>
        </w:rPr>
        <w:t xml:space="preserve"> respondent, namely Lomangwe Ndiweni.</w:t>
      </w:r>
    </w:p>
    <w:p w:rsidR="00681D0D" w:rsidRPr="006720E7" w:rsidRDefault="00681D0D" w:rsidP="008313F2">
      <w:pPr>
        <w:jc w:val="both"/>
        <w:rPr>
          <w:sz w:val="24"/>
          <w:szCs w:val="24"/>
          <w:lang w:val="en-US"/>
        </w:rPr>
      </w:pPr>
      <w:r w:rsidRPr="006720E7">
        <w:rPr>
          <w:sz w:val="24"/>
          <w:szCs w:val="24"/>
          <w:lang w:val="en-US"/>
        </w:rPr>
        <w:tab/>
        <w:t>What brings the application to this court is that the Master declare</w:t>
      </w:r>
      <w:r w:rsidR="005A37F9" w:rsidRPr="006720E7">
        <w:rPr>
          <w:sz w:val="24"/>
          <w:szCs w:val="24"/>
          <w:lang w:val="en-US"/>
        </w:rPr>
        <w:t>d</w:t>
      </w:r>
      <w:r w:rsidRPr="006720E7">
        <w:rPr>
          <w:sz w:val="24"/>
          <w:szCs w:val="24"/>
          <w:lang w:val="en-US"/>
        </w:rPr>
        <w:t xml:space="preserve"> the Will of the late Tulli Ndlovu Mathiya null and void on the basis that he executed the Will prior to his customary law</w:t>
      </w:r>
      <w:r w:rsidR="00A253A8" w:rsidRPr="006720E7">
        <w:rPr>
          <w:sz w:val="24"/>
          <w:szCs w:val="24"/>
          <w:lang w:val="en-US"/>
        </w:rPr>
        <w:t xml:space="preserve"> union to the 2</w:t>
      </w:r>
      <w:r w:rsidR="00A253A8" w:rsidRPr="006720E7">
        <w:rPr>
          <w:sz w:val="24"/>
          <w:szCs w:val="24"/>
          <w:vertAlign w:val="superscript"/>
          <w:lang w:val="en-US"/>
        </w:rPr>
        <w:t>nd</w:t>
      </w:r>
      <w:r w:rsidR="00A253A8" w:rsidRPr="006720E7">
        <w:rPr>
          <w:sz w:val="24"/>
          <w:szCs w:val="24"/>
          <w:lang w:val="en-US"/>
        </w:rPr>
        <w:t xml:space="preserve"> respondent and that consequently his marriage to the 2</w:t>
      </w:r>
      <w:r w:rsidR="00A253A8" w:rsidRPr="006720E7">
        <w:rPr>
          <w:sz w:val="24"/>
          <w:szCs w:val="24"/>
          <w:vertAlign w:val="superscript"/>
          <w:lang w:val="en-US"/>
        </w:rPr>
        <w:t>nd</w:t>
      </w:r>
      <w:r w:rsidR="00A253A8" w:rsidRPr="006720E7">
        <w:rPr>
          <w:sz w:val="24"/>
          <w:szCs w:val="24"/>
          <w:lang w:val="en-US"/>
        </w:rPr>
        <w:t xml:space="preserve"> res</w:t>
      </w:r>
      <w:r w:rsidR="00D43953" w:rsidRPr="006720E7">
        <w:rPr>
          <w:sz w:val="24"/>
          <w:szCs w:val="24"/>
          <w:lang w:val="en-US"/>
        </w:rPr>
        <w:t>p</w:t>
      </w:r>
      <w:r w:rsidR="00A253A8" w:rsidRPr="006720E7">
        <w:rPr>
          <w:sz w:val="24"/>
          <w:szCs w:val="24"/>
          <w:lang w:val="en-US"/>
        </w:rPr>
        <w:t xml:space="preserve">ondent invalidated the </w:t>
      </w:r>
      <w:r w:rsidR="005A37F9" w:rsidRPr="006720E7">
        <w:rPr>
          <w:sz w:val="24"/>
          <w:szCs w:val="24"/>
          <w:lang w:val="en-US"/>
        </w:rPr>
        <w:t>Wi</w:t>
      </w:r>
      <w:r w:rsidR="00A253A8" w:rsidRPr="006720E7">
        <w:rPr>
          <w:sz w:val="24"/>
          <w:szCs w:val="24"/>
          <w:lang w:val="en-US"/>
        </w:rPr>
        <w:t>ll in terms of section 16 of the Wills Act Chapter 6:06.</w:t>
      </w:r>
    </w:p>
    <w:p w:rsidR="00D43953" w:rsidRPr="006720E7" w:rsidRDefault="00D43953" w:rsidP="008313F2">
      <w:pPr>
        <w:ind w:firstLine="720"/>
        <w:jc w:val="both"/>
        <w:rPr>
          <w:sz w:val="24"/>
          <w:szCs w:val="24"/>
          <w:lang w:val="en-US"/>
        </w:rPr>
      </w:pPr>
      <w:r w:rsidRPr="006720E7">
        <w:rPr>
          <w:sz w:val="24"/>
          <w:szCs w:val="24"/>
          <w:lang w:val="en-US"/>
        </w:rPr>
        <w:t>At the hearing of the application 2</w:t>
      </w:r>
      <w:r w:rsidRPr="006720E7">
        <w:rPr>
          <w:sz w:val="24"/>
          <w:szCs w:val="24"/>
          <w:vertAlign w:val="superscript"/>
          <w:lang w:val="en-US"/>
        </w:rPr>
        <w:t>nd</w:t>
      </w:r>
      <w:r w:rsidRPr="006720E7">
        <w:rPr>
          <w:sz w:val="24"/>
          <w:szCs w:val="24"/>
          <w:lang w:val="en-US"/>
        </w:rPr>
        <w:t xml:space="preserve"> respondent raised 3 points </w:t>
      </w:r>
      <w:r w:rsidRPr="006720E7">
        <w:rPr>
          <w:i/>
          <w:sz w:val="24"/>
          <w:szCs w:val="24"/>
          <w:lang w:val="en-US"/>
        </w:rPr>
        <w:t>in limine</w:t>
      </w:r>
      <w:r w:rsidRPr="006720E7">
        <w:rPr>
          <w:sz w:val="24"/>
          <w:szCs w:val="24"/>
          <w:lang w:val="en-US"/>
        </w:rPr>
        <w:t>.</w:t>
      </w:r>
    </w:p>
    <w:p w:rsidR="00D43953" w:rsidRPr="006720E7" w:rsidRDefault="00D43953" w:rsidP="008313F2">
      <w:pPr>
        <w:pStyle w:val="ListParagraph"/>
        <w:numPr>
          <w:ilvl w:val="0"/>
          <w:numId w:val="1"/>
        </w:numPr>
        <w:jc w:val="both"/>
        <w:rPr>
          <w:sz w:val="24"/>
          <w:szCs w:val="24"/>
          <w:lang w:val="en-US"/>
        </w:rPr>
      </w:pPr>
      <w:r w:rsidRPr="006720E7">
        <w:rPr>
          <w:sz w:val="24"/>
          <w:szCs w:val="24"/>
          <w:lang w:val="en-US"/>
        </w:rPr>
        <w:lastRenderedPageBreak/>
        <w:t xml:space="preserve">That applicant is not properly before the court in that the application is not made within the ambit of the High </w:t>
      </w:r>
      <w:r w:rsidR="002364EF" w:rsidRPr="006720E7">
        <w:rPr>
          <w:sz w:val="24"/>
          <w:szCs w:val="24"/>
          <w:lang w:val="en-US"/>
        </w:rPr>
        <w:t>C</w:t>
      </w:r>
      <w:r w:rsidRPr="006720E7">
        <w:rPr>
          <w:sz w:val="24"/>
          <w:szCs w:val="24"/>
          <w:lang w:val="en-US"/>
        </w:rPr>
        <w:t xml:space="preserve">ourt </w:t>
      </w:r>
      <w:r w:rsidR="005A37F9" w:rsidRPr="006720E7">
        <w:rPr>
          <w:sz w:val="24"/>
          <w:szCs w:val="24"/>
          <w:lang w:val="en-US"/>
        </w:rPr>
        <w:t>Rules</w:t>
      </w:r>
      <w:r w:rsidRPr="006720E7">
        <w:rPr>
          <w:sz w:val="24"/>
          <w:szCs w:val="24"/>
          <w:lang w:val="en-US"/>
        </w:rPr>
        <w:t xml:space="preserve"> in that it failed to comply with Rule 257 of Order 53 of the High Court Rules 1971.  Applicant contends that they have not flouted any rules as they have come to court in terms of section 4 (1) of the Administrative Justice Act (supra).  It occurs to my mind that one should be able to b</w:t>
      </w:r>
      <w:r w:rsidR="005A37F9" w:rsidRPr="006720E7">
        <w:rPr>
          <w:sz w:val="24"/>
          <w:szCs w:val="24"/>
          <w:lang w:val="en-US"/>
        </w:rPr>
        <w:t>r</w:t>
      </w:r>
      <w:r w:rsidRPr="006720E7">
        <w:rPr>
          <w:sz w:val="24"/>
          <w:szCs w:val="24"/>
          <w:lang w:val="en-US"/>
        </w:rPr>
        <w:t xml:space="preserve">ing an application for review in terms of Order 33 Rule 257 for matters that fall within the ambit of that rule.  As correctly argued by applicant’s counsel against this point </w:t>
      </w:r>
      <w:r w:rsidRPr="006720E7">
        <w:rPr>
          <w:i/>
          <w:sz w:val="24"/>
          <w:szCs w:val="24"/>
          <w:lang w:val="en-US"/>
        </w:rPr>
        <w:t>in limine</w:t>
      </w:r>
      <w:r w:rsidRPr="006720E7">
        <w:rPr>
          <w:sz w:val="24"/>
          <w:szCs w:val="24"/>
          <w:lang w:val="en-US"/>
        </w:rPr>
        <w:t xml:space="preserve">, the Supreme Court settled this issue in the case of </w:t>
      </w:r>
      <w:r w:rsidRPr="006720E7">
        <w:rPr>
          <w:i/>
          <w:sz w:val="24"/>
          <w:szCs w:val="24"/>
          <w:lang w:val="en-US"/>
        </w:rPr>
        <w:t>Arafas Mtausi Gwaradzimba N.O</w:t>
      </w:r>
      <w:r w:rsidRPr="006720E7">
        <w:rPr>
          <w:sz w:val="24"/>
          <w:szCs w:val="24"/>
          <w:lang w:val="en-US"/>
        </w:rPr>
        <w:t xml:space="preserve">. vs </w:t>
      </w:r>
      <w:r w:rsidRPr="006720E7">
        <w:rPr>
          <w:i/>
          <w:sz w:val="24"/>
          <w:szCs w:val="24"/>
          <w:lang w:val="en-US"/>
        </w:rPr>
        <w:t>Gurta A. G.</w:t>
      </w:r>
      <w:r w:rsidRPr="006720E7">
        <w:rPr>
          <w:sz w:val="24"/>
          <w:szCs w:val="24"/>
          <w:lang w:val="en-US"/>
        </w:rPr>
        <w:t xml:space="preserve"> SC-10-15 where G</w:t>
      </w:r>
      <w:r w:rsidRPr="006720E7">
        <w:rPr>
          <w:sz w:val="20"/>
          <w:szCs w:val="20"/>
          <w:lang w:val="en-US"/>
        </w:rPr>
        <w:t>WAUNZA</w:t>
      </w:r>
      <w:r w:rsidRPr="006720E7">
        <w:rPr>
          <w:sz w:val="24"/>
          <w:szCs w:val="24"/>
          <w:lang w:val="en-US"/>
        </w:rPr>
        <w:t xml:space="preserve"> JA (as she then was)</w:t>
      </w:r>
      <w:r w:rsidR="005A37F9" w:rsidRPr="006720E7">
        <w:rPr>
          <w:sz w:val="24"/>
          <w:szCs w:val="24"/>
          <w:lang w:val="en-US"/>
        </w:rPr>
        <w:t>,</w:t>
      </w:r>
      <w:r w:rsidRPr="006720E7">
        <w:rPr>
          <w:sz w:val="24"/>
          <w:szCs w:val="24"/>
          <w:lang w:val="en-US"/>
        </w:rPr>
        <w:t xml:space="preserve"> upheld a High Court finding that an application brought in terms of section 4 (1) of the Administrative Justice Act need not follow the provisions of Order 33 of the High Court Rules as there is no specific format prescribed in the Act as long as it meets the requirements of  the subsection.  This point </w:t>
      </w:r>
      <w:r w:rsidRPr="006720E7">
        <w:rPr>
          <w:i/>
          <w:sz w:val="24"/>
          <w:szCs w:val="24"/>
          <w:lang w:val="en-US"/>
        </w:rPr>
        <w:t>in limine</w:t>
      </w:r>
      <w:r w:rsidRPr="006720E7">
        <w:rPr>
          <w:sz w:val="24"/>
          <w:szCs w:val="24"/>
          <w:lang w:val="en-US"/>
        </w:rPr>
        <w:t xml:space="preserve"> is accordingly dismissed for lack of merit.</w:t>
      </w:r>
    </w:p>
    <w:p w:rsidR="00D43953" w:rsidRPr="006720E7" w:rsidRDefault="00D43953" w:rsidP="008313F2">
      <w:pPr>
        <w:pStyle w:val="ListParagraph"/>
        <w:numPr>
          <w:ilvl w:val="0"/>
          <w:numId w:val="1"/>
        </w:numPr>
        <w:jc w:val="both"/>
        <w:rPr>
          <w:sz w:val="24"/>
          <w:szCs w:val="24"/>
          <w:u w:val="single"/>
          <w:lang w:val="en-US"/>
        </w:rPr>
      </w:pPr>
      <w:r w:rsidRPr="006720E7">
        <w:rPr>
          <w:sz w:val="24"/>
          <w:szCs w:val="24"/>
          <w:u w:val="single"/>
          <w:lang w:val="en-US"/>
        </w:rPr>
        <w:t xml:space="preserve">The doctrine of </w:t>
      </w:r>
      <w:proofErr w:type="spellStart"/>
      <w:r w:rsidRPr="006720E7">
        <w:rPr>
          <w:sz w:val="24"/>
          <w:szCs w:val="24"/>
          <w:u w:val="single"/>
          <w:lang w:val="en-US"/>
        </w:rPr>
        <w:t>p</w:t>
      </w:r>
      <w:r w:rsidR="006720E7">
        <w:rPr>
          <w:sz w:val="24"/>
          <w:szCs w:val="24"/>
          <w:u w:val="single"/>
          <w:lang w:val="en-US"/>
        </w:rPr>
        <w:t>eremption</w:t>
      </w:r>
      <w:proofErr w:type="spellEnd"/>
      <w:r w:rsidRPr="006720E7">
        <w:rPr>
          <w:sz w:val="24"/>
          <w:szCs w:val="24"/>
          <w:u w:val="single"/>
          <w:lang w:val="en-US"/>
        </w:rPr>
        <w:t xml:space="preserve"> </w:t>
      </w:r>
    </w:p>
    <w:p w:rsidR="00D43953" w:rsidRPr="006720E7" w:rsidRDefault="00D43953" w:rsidP="008313F2">
      <w:pPr>
        <w:pStyle w:val="ListParagraph"/>
        <w:ind w:left="1080"/>
        <w:jc w:val="both"/>
        <w:rPr>
          <w:i/>
          <w:sz w:val="24"/>
          <w:szCs w:val="24"/>
          <w:lang w:val="en-US"/>
        </w:rPr>
      </w:pPr>
      <w:r w:rsidRPr="006720E7">
        <w:rPr>
          <w:sz w:val="24"/>
          <w:szCs w:val="24"/>
          <w:lang w:val="en-US"/>
        </w:rPr>
        <w:t>2</w:t>
      </w:r>
      <w:r w:rsidRPr="006720E7">
        <w:rPr>
          <w:sz w:val="24"/>
          <w:szCs w:val="24"/>
          <w:vertAlign w:val="superscript"/>
          <w:lang w:val="en-US"/>
        </w:rPr>
        <w:t>nd</w:t>
      </w:r>
      <w:r w:rsidRPr="006720E7">
        <w:rPr>
          <w:sz w:val="24"/>
          <w:szCs w:val="24"/>
          <w:lang w:val="en-US"/>
        </w:rPr>
        <w:t xml:space="preserve"> respondent’s counsel argued that applicant through her conduct before the Master accepted or acquiesced to the decision of 1</w:t>
      </w:r>
      <w:r w:rsidRPr="006720E7">
        <w:rPr>
          <w:sz w:val="24"/>
          <w:szCs w:val="24"/>
          <w:vertAlign w:val="superscript"/>
          <w:lang w:val="en-US"/>
        </w:rPr>
        <w:t>st</w:t>
      </w:r>
      <w:r w:rsidRPr="006720E7">
        <w:rPr>
          <w:sz w:val="24"/>
          <w:szCs w:val="24"/>
          <w:lang w:val="en-US"/>
        </w:rPr>
        <w:t xml:space="preserve"> respondent appointing</w:t>
      </w:r>
      <w:r w:rsidR="0002271B" w:rsidRPr="006720E7">
        <w:rPr>
          <w:sz w:val="24"/>
          <w:szCs w:val="24"/>
          <w:lang w:val="en-US"/>
        </w:rPr>
        <w:t xml:space="preserve"> 2</w:t>
      </w:r>
      <w:r w:rsidR="0002271B" w:rsidRPr="006720E7">
        <w:rPr>
          <w:sz w:val="24"/>
          <w:szCs w:val="24"/>
          <w:vertAlign w:val="superscript"/>
          <w:lang w:val="en-US"/>
        </w:rPr>
        <w:t>nd</w:t>
      </w:r>
      <w:r w:rsidR="0002271B" w:rsidRPr="006720E7">
        <w:rPr>
          <w:sz w:val="24"/>
          <w:szCs w:val="24"/>
          <w:lang w:val="en-US"/>
        </w:rPr>
        <w:t xml:space="preserve"> respondent as a co-executor against the provisions</w:t>
      </w:r>
      <w:r w:rsidR="002364EF" w:rsidRPr="006720E7">
        <w:rPr>
          <w:sz w:val="24"/>
          <w:szCs w:val="24"/>
          <w:lang w:val="en-US"/>
        </w:rPr>
        <w:t xml:space="preserve"> </w:t>
      </w:r>
      <w:r w:rsidR="0002271B" w:rsidRPr="006720E7">
        <w:rPr>
          <w:sz w:val="24"/>
          <w:szCs w:val="24"/>
          <w:lang w:val="en-US"/>
        </w:rPr>
        <w:t>of the Will and therefore should be prevented from challenging 1</w:t>
      </w:r>
      <w:r w:rsidR="0002271B" w:rsidRPr="006720E7">
        <w:rPr>
          <w:sz w:val="24"/>
          <w:szCs w:val="24"/>
          <w:vertAlign w:val="superscript"/>
          <w:lang w:val="en-US"/>
        </w:rPr>
        <w:t>st</w:t>
      </w:r>
      <w:r w:rsidR="0002271B" w:rsidRPr="006720E7">
        <w:rPr>
          <w:sz w:val="24"/>
          <w:szCs w:val="24"/>
          <w:lang w:val="en-US"/>
        </w:rPr>
        <w:t xml:space="preserve"> respondent’s actions.  However, as clearly pointed out by the applicant’s counsel, there is nowhere in the papers before this court to show that applicant unequivocally abandoned their rights.  In the absence of express actions by the applicant who was not legally represented at the time, per her founding affidavit, I am not persuaded that the waiver of rights can be taken as a matter of inference.  The waiver of rights can only be taken expressly and not by assumption.  I do not hold the view that applicant’s co</w:t>
      </w:r>
      <w:r w:rsidR="002364EF" w:rsidRPr="006720E7">
        <w:rPr>
          <w:sz w:val="24"/>
          <w:szCs w:val="24"/>
          <w:lang w:val="en-US"/>
        </w:rPr>
        <w:t>n</w:t>
      </w:r>
      <w:r w:rsidR="0002271B" w:rsidRPr="006720E7">
        <w:rPr>
          <w:sz w:val="24"/>
          <w:szCs w:val="24"/>
          <w:lang w:val="en-US"/>
        </w:rPr>
        <w:t>duct in acceptin</w:t>
      </w:r>
      <w:r w:rsidR="002364EF" w:rsidRPr="006720E7">
        <w:rPr>
          <w:sz w:val="24"/>
          <w:szCs w:val="24"/>
          <w:lang w:val="en-US"/>
        </w:rPr>
        <w:t>g</w:t>
      </w:r>
      <w:r w:rsidR="0002271B" w:rsidRPr="006720E7">
        <w:rPr>
          <w:sz w:val="24"/>
          <w:szCs w:val="24"/>
          <w:lang w:val="en-US"/>
        </w:rPr>
        <w:t xml:space="preserve"> the appointment of 2</w:t>
      </w:r>
      <w:r w:rsidR="0002271B" w:rsidRPr="006720E7">
        <w:rPr>
          <w:sz w:val="24"/>
          <w:szCs w:val="24"/>
          <w:vertAlign w:val="superscript"/>
          <w:lang w:val="en-US"/>
        </w:rPr>
        <w:t>nd</w:t>
      </w:r>
      <w:r w:rsidR="0002271B" w:rsidRPr="006720E7">
        <w:rPr>
          <w:sz w:val="24"/>
          <w:szCs w:val="24"/>
          <w:lang w:val="en-US"/>
        </w:rPr>
        <w:t xml:space="preserve"> respondent as co-executor can be taken to mean an unequivocal waiv</w:t>
      </w:r>
      <w:r w:rsidR="008313F2" w:rsidRPr="006720E7">
        <w:rPr>
          <w:sz w:val="24"/>
          <w:szCs w:val="24"/>
          <w:lang w:val="en-US"/>
        </w:rPr>
        <w:t>e</w:t>
      </w:r>
      <w:r w:rsidR="0002271B" w:rsidRPr="006720E7">
        <w:rPr>
          <w:sz w:val="24"/>
          <w:szCs w:val="24"/>
          <w:lang w:val="en-US"/>
        </w:rPr>
        <w:t xml:space="preserve">r of her rights.  I accordingly dismiss this point </w:t>
      </w:r>
      <w:r w:rsidR="0002271B" w:rsidRPr="006720E7">
        <w:rPr>
          <w:i/>
          <w:sz w:val="24"/>
          <w:szCs w:val="24"/>
          <w:lang w:val="en-US"/>
        </w:rPr>
        <w:t>in limine.</w:t>
      </w:r>
    </w:p>
    <w:p w:rsidR="0002271B" w:rsidRPr="006720E7" w:rsidRDefault="0002271B" w:rsidP="008313F2">
      <w:pPr>
        <w:pStyle w:val="ListParagraph"/>
        <w:numPr>
          <w:ilvl w:val="0"/>
          <w:numId w:val="1"/>
        </w:numPr>
        <w:jc w:val="both"/>
        <w:rPr>
          <w:sz w:val="24"/>
          <w:szCs w:val="24"/>
          <w:u w:val="single"/>
          <w:lang w:val="en-US"/>
        </w:rPr>
      </w:pPr>
      <w:r w:rsidRPr="006720E7">
        <w:rPr>
          <w:sz w:val="24"/>
          <w:szCs w:val="24"/>
          <w:u w:val="single"/>
          <w:lang w:val="en-US"/>
        </w:rPr>
        <w:t xml:space="preserve">The material non-disclosure </w:t>
      </w:r>
    </w:p>
    <w:p w:rsidR="0002271B" w:rsidRPr="006720E7" w:rsidRDefault="005A37F9" w:rsidP="008313F2">
      <w:pPr>
        <w:pStyle w:val="ListParagraph"/>
        <w:ind w:left="1080"/>
        <w:jc w:val="both"/>
        <w:rPr>
          <w:sz w:val="24"/>
          <w:szCs w:val="24"/>
          <w:lang w:val="en-US"/>
        </w:rPr>
      </w:pPr>
      <w:r w:rsidRPr="006720E7">
        <w:rPr>
          <w:sz w:val="24"/>
          <w:szCs w:val="24"/>
          <w:lang w:val="en-US"/>
        </w:rPr>
        <w:t>In that applicant</w:t>
      </w:r>
      <w:r w:rsidR="0002271B" w:rsidRPr="006720E7">
        <w:rPr>
          <w:sz w:val="24"/>
          <w:szCs w:val="24"/>
          <w:lang w:val="en-US"/>
        </w:rPr>
        <w:t xml:space="preserve"> did not divulge other court processes before this </w:t>
      </w:r>
      <w:r w:rsidR="002364EF" w:rsidRPr="006720E7">
        <w:rPr>
          <w:sz w:val="24"/>
          <w:szCs w:val="24"/>
          <w:lang w:val="en-US"/>
        </w:rPr>
        <w:t xml:space="preserve">court </w:t>
      </w:r>
      <w:r w:rsidR="0002271B" w:rsidRPr="006720E7">
        <w:rPr>
          <w:sz w:val="24"/>
          <w:szCs w:val="24"/>
          <w:lang w:val="en-US"/>
        </w:rPr>
        <w:t xml:space="preserve">that is HC 973/20 wherein </w:t>
      </w:r>
      <w:r w:rsidRPr="006720E7">
        <w:rPr>
          <w:sz w:val="24"/>
          <w:szCs w:val="24"/>
          <w:lang w:val="en-US"/>
        </w:rPr>
        <w:t>2</w:t>
      </w:r>
      <w:r w:rsidRPr="006720E7">
        <w:rPr>
          <w:sz w:val="24"/>
          <w:szCs w:val="24"/>
          <w:vertAlign w:val="superscript"/>
          <w:lang w:val="en-US"/>
        </w:rPr>
        <w:t>nd</w:t>
      </w:r>
      <w:r w:rsidRPr="006720E7">
        <w:rPr>
          <w:sz w:val="24"/>
          <w:szCs w:val="24"/>
          <w:lang w:val="en-US"/>
        </w:rPr>
        <w:t xml:space="preserve"> respondent</w:t>
      </w:r>
      <w:r w:rsidR="0002271B" w:rsidRPr="006720E7">
        <w:rPr>
          <w:sz w:val="24"/>
          <w:szCs w:val="24"/>
          <w:lang w:val="en-US"/>
        </w:rPr>
        <w:t xml:space="preserve"> seeks an order that </w:t>
      </w:r>
      <w:r w:rsidRPr="006720E7">
        <w:rPr>
          <w:sz w:val="24"/>
          <w:szCs w:val="24"/>
          <w:lang w:val="en-US"/>
        </w:rPr>
        <w:t xml:space="preserve">stand number 5 Circular Drive be declared as the matrimonial home of </w:t>
      </w:r>
      <w:r w:rsidR="0002271B" w:rsidRPr="006720E7">
        <w:rPr>
          <w:sz w:val="24"/>
          <w:szCs w:val="24"/>
          <w:lang w:val="en-US"/>
        </w:rPr>
        <w:t xml:space="preserve">the </w:t>
      </w:r>
      <w:r w:rsidRPr="006720E7">
        <w:rPr>
          <w:sz w:val="24"/>
          <w:szCs w:val="24"/>
          <w:lang w:val="en-US"/>
        </w:rPr>
        <w:t xml:space="preserve">parties and consequently that she is </w:t>
      </w:r>
      <w:r w:rsidRPr="006720E7">
        <w:rPr>
          <w:sz w:val="24"/>
          <w:szCs w:val="24"/>
          <w:lang w:val="en-US"/>
        </w:rPr>
        <w:lastRenderedPageBreak/>
        <w:t>supposed to inherit it as the surviving spouse.</w:t>
      </w:r>
      <w:r w:rsidR="0002271B" w:rsidRPr="006720E7">
        <w:rPr>
          <w:sz w:val="24"/>
          <w:szCs w:val="24"/>
          <w:lang w:val="en-US"/>
        </w:rPr>
        <w:t xml:space="preserve">  2</w:t>
      </w:r>
      <w:r w:rsidR="0002271B" w:rsidRPr="006720E7">
        <w:rPr>
          <w:sz w:val="24"/>
          <w:szCs w:val="24"/>
          <w:vertAlign w:val="superscript"/>
          <w:lang w:val="en-US"/>
        </w:rPr>
        <w:t>nd</w:t>
      </w:r>
      <w:r w:rsidR="0002271B" w:rsidRPr="006720E7">
        <w:rPr>
          <w:sz w:val="24"/>
          <w:szCs w:val="24"/>
          <w:lang w:val="en-US"/>
        </w:rPr>
        <w:t xml:space="preserve"> respondent argues that the matters are related and therefore applicant had a duty to disclose same.  Applicant contends that the other matter is not </w:t>
      </w:r>
      <w:r w:rsidR="001830F0" w:rsidRPr="006720E7">
        <w:rPr>
          <w:sz w:val="24"/>
          <w:szCs w:val="24"/>
          <w:lang w:val="en-US"/>
        </w:rPr>
        <w:t>material to the determination of this one.  In this matter, the applicant has approached the court in terms of section 4 (1) of the Administrative Justi</w:t>
      </w:r>
      <w:r w:rsidR="00F8643A" w:rsidRPr="006720E7">
        <w:rPr>
          <w:sz w:val="24"/>
          <w:szCs w:val="24"/>
          <w:lang w:val="en-US"/>
        </w:rPr>
        <w:t>c</w:t>
      </w:r>
      <w:r w:rsidR="001830F0" w:rsidRPr="006720E7">
        <w:rPr>
          <w:sz w:val="24"/>
          <w:szCs w:val="24"/>
          <w:lang w:val="en-US"/>
        </w:rPr>
        <w:t>e Act and yet in HC 973/20, the 2</w:t>
      </w:r>
      <w:r w:rsidR="001830F0" w:rsidRPr="006720E7">
        <w:rPr>
          <w:sz w:val="24"/>
          <w:szCs w:val="24"/>
          <w:vertAlign w:val="superscript"/>
          <w:lang w:val="en-US"/>
        </w:rPr>
        <w:t>nd</w:t>
      </w:r>
      <w:r w:rsidR="001830F0" w:rsidRPr="006720E7">
        <w:rPr>
          <w:sz w:val="24"/>
          <w:szCs w:val="24"/>
          <w:lang w:val="en-US"/>
        </w:rPr>
        <w:t xml:space="preserve"> respondent seeks an order for personal maintenance (clause 1 of Annexure R1) and a declaration that house number 5 Circular Drive, Burnside was the matrimonial home (clause 2 of Annexure R1).  In this application, applicant is aggrieved by the Master’s actions in setting aside a Will and declaring it invalid.  I hold the view that the 2 matters can be dealt with separately with no prejudice to the other side. </w:t>
      </w:r>
    </w:p>
    <w:p w:rsidR="001830F0" w:rsidRPr="006720E7" w:rsidRDefault="001830F0" w:rsidP="008313F2">
      <w:pPr>
        <w:ind w:firstLine="720"/>
        <w:jc w:val="both"/>
        <w:rPr>
          <w:sz w:val="24"/>
          <w:szCs w:val="24"/>
          <w:lang w:val="en-US"/>
        </w:rPr>
      </w:pPr>
      <w:r w:rsidRPr="006720E7">
        <w:rPr>
          <w:sz w:val="24"/>
          <w:szCs w:val="24"/>
          <w:lang w:val="en-US"/>
        </w:rPr>
        <w:t>I accordingly find that there is no material non-disclosure.  It is my considered view that it is not any non-disclosure that matter</w:t>
      </w:r>
      <w:r w:rsidR="005A37F9" w:rsidRPr="006720E7">
        <w:rPr>
          <w:sz w:val="24"/>
          <w:szCs w:val="24"/>
          <w:lang w:val="en-US"/>
        </w:rPr>
        <w:t>s</w:t>
      </w:r>
      <w:r w:rsidRPr="006720E7">
        <w:rPr>
          <w:sz w:val="24"/>
          <w:szCs w:val="24"/>
          <w:lang w:val="en-US"/>
        </w:rPr>
        <w:t>, but, the non-disclosure must be material to the dispute at hand.  It must also be discerned from the papers that the non-disclosure was a deliberate ploy, to shortchange the othe</w:t>
      </w:r>
      <w:r w:rsidR="002364EF" w:rsidRPr="006720E7">
        <w:rPr>
          <w:sz w:val="24"/>
          <w:szCs w:val="24"/>
          <w:lang w:val="en-US"/>
        </w:rPr>
        <w:t>r</w:t>
      </w:r>
      <w:r w:rsidRPr="006720E7">
        <w:rPr>
          <w:sz w:val="24"/>
          <w:szCs w:val="24"/>
          <w:lang w:val="en-US"/>
        </w:rPr>
        <w:t xml:space="preserve"> party and mislead the court.  There must be an inference that can be drawn as to the intention to deceive the court by failing to disclose material</w:t>
      </w:r>
      <w:r w:rsidR="005800B2" w:rsidRPr="006720E7">
        <w:rPr>
          <w:sz w:val="24"/>
          <w:szCs w:val="24"/>
          <w:lang w:val="en-US"/>
        </w:rPr>
        <w:t xml:space="preserve"> </w:t>
      </w:r>
      <w:r w:rsidR="002364EF" w:rsidRPr="006720E7">
        <w:rPr>
          <w:sz w:val="24"/>
          <w:szCs w:val="24"/>
          <w:lang w:val="en-US"/>
        </w:rPr>
        <w:t xml:space="preserve">facts.  I am not </w:t>
      </w:r>
      <w:r w:rsidR="007A4017" w:rsidRPr="006720E7">
        <w:rPr>
          <w:sz w:val="24"/>
          <w:szCs w:val="24"/>
          <w:lang w:val="en-US"/>
        </w:rPr>
        <w:t>convinced</w:t>
      </w:r>
      <w:r w:rsidRPr="006720E7">
        <w:rPr>
          <w:sz w:val="24"/>
          <w:szCs w:val="24"/>
          <w:lang w:val="en-US"/>
        </w:rPr>
        <w:t xml:space="preserve"> that </w:t>
      </w:r>
      <w:r w:rsidR="00BB3639" w:rsidRPr="006720E7">
        <w:rPr>
          <w:sz w:val="24"/>
          <w:szCs w:val="24"/>
          <w:lang w:val="en-US"/>
        </w:rPr>
        <w:t xml:space="preserve">such is the case herein.  I accordingly dismiss the point </w:t>
      </w:r>
      <w:r w:rsidR="00BB3639" w:rsidRPr="006720E7">
        <w:rPr>
          <w:i/>
          <w:sz w:val="24"/>
          <w:szCs w:val="24"/>
          <w:lang w:val="en-US"/>
        </w:rPr>
        <w:t>in limine</w:t>
      </w:r>
      <w:r w:rsidR="00BB3639" w:rsidRPr="006720E7">
        <w:rPr>
          <w:sz w:val="24"/>
          <w:szCs w:val="24"/>
          <w:lang w:val="en-US"/>
        </w:rPr>
        <w:t>.  I then proceed to deal with the merits of this case.</w:t>
      </w:r>
    </w:p>
    <w:p w:rsidR="00BB3639" w:rsidRPr="006720E7" w:rsidRDefault="00BB3639" w:rsidP="008313F2">
      <w:pPr>
        <w:ind w:firstLine="720"/>
        <w:jc w:val="both"/>
        <w:rPr>
          <w:sz w:val="24"/>
          <w:szCs w:val="24"/>
          <w:lang w:val="en-US"/>
        </w:rPr>
      </w:pPr>
      <w:r w:rsidRPr="006720E7">
        <w:rPr>
          <w:sz w:val="24"/>
          <w:szCs w:val="24"/>
          <w:lang w:val="en-US"/>
        </w:rPr>
        <w:t xml:space="preserve">This dispute </w:t>
      </w:r>
      <w:r w:rsidR="007A4017" w:rsidRPr="006720E7">
        <w:rPr>
          <w:sz w:val="24"/>
          <w:szCs w:val="24"/>
          <w:lang w:val="en-US"/>
        </w:rPr>
        <w:t>centers</w:t>
      </w:r>
      <w:r w:rsidRPr="006720E7">
        <w:rPr>
          <w:sz w:val="24"/>
          <w:szCs w:val="24"/>
          <w:lang w:val="en-US"/>
        </w:rPr>
        <w:t xml:space="preserve"> on the Master’s power </w:t>
      </w:r>
      <w:r w:rsidRPr="006720E7">
        <w:rPr>
          <w:i/>
          <w:sz w:val="24"/>
          <w:szCs w:val="24"/>
          <w:lang w:val="en-US"/>
        </w:rPr>
        <w:t>vis-à-vis</w:t>
      </w:r>
      <w:r w:rsidRPr="006720E7">
        <w:rPr>
          <w:sz w:val="24"/>
          <w:szCs w:val="24"/>
          <w:lang w:val="en-US"/>
        </w:rPr>
        <w:t xml:space="preserve"> declaring a Will null and void.  In terms of the proviso (1) in section 11 of the Administration of Estates Act Chapter 6:01, all questions relating to the validity of and the legal effect of every such</w:t>
      </w:r>
      <w:r w:rsidR="005800B2" w:rsidRPr="006720E7">
        <w:rPr>
          <w:sz w:val="24"/>
          <w:szCs w:val="24"/>
          <w:lang w:val="en-US"/>
        </w:rPr>
        <w:t xml:space="preserve"> deed (will) shall be reserved for the decision of the High Court.</w:t>
      </w:r>
    </w:p>
    <w:p w:rsidR="00784BE1" w:rsidRPr="00784BE1" w:rsidRDefault="005800B2" w:rsidP="00784BE1">
      <w:pPr>
        <w:ind w:firstLine="720"/>
        <w:jc w:val="both"/>
        <w:rPr>
          <w:sz w:val="24"/>
          <w:szCs w:val="24"/>
          <w:lang w:val="en-US"/>
        </w:rPr>
      </w:pPr>
      <w:r w:rsidRPr="006720E7">
        <w:rPr>
          <w:sz w:val="24"/>
          <w:szCs w:val="24"/>
          <w:lang w:val="en-US"/>
        </w:rPr>
        <w:t>Clearly, the Master does not have the power to declare a Will valid or otherwise.  The Master can simply accept and register a Will, but cannot delve into the validity or otherwise of s</w:t>
      </w:r>
      <w:r w:rsidR="005A37F9" w:rsidRPr="006720E7">
        <w:rPr>
          <w:sz w:val="24"/>
          <w:szCs w:val="24"/>
          <w:lang w:val="en-US"/>
        </w:rPr>
        <w:t>a</w:t>
      </w:r>
      <w:r w:rsidRPr="006720E7">
        <w:rPr>
          <w:sz w:val="24"/>
          <w:szCs w:val="24"/>
          <w:lang w:val="en-US"/>
        </w:rPr>
        <w:t>me.  Whilst the Wills Act does not specifically prohibit the Master from declarin</w:t>
      </w:r>
      <w:r w:rsidR="005A37F9" w:rsidRPr="006720E7">
        <w:rPr>
          <w:sz w:val="24"/>
          <w:szCs w:val="24"/>
          <w:lang w:val="en-US"/>
        </w:rPr>
        <w:t>g a Will valid or otherwise, it is</w:t>
      </w:r>
      <w:r w:rsidRPr="006720E7">
        <w:rPr>
          <w:sz w:val="24"/>
          <w:szCs w:val="24"/>
          <w:lang w:val="en-US"/>
        </w:rPr>
        <w:t xml:space="preserve"> important to note that it refers to an appropriate</w:t>
      </w:r>
      <w:r w:rsidR="00F8643A" w:rsidRPr="006720E7">
        <w:rPr>
          <w:sz w:val="24"/>
          <w:szCs w:val="24"/>
          <w:lang w:val="en-US"/>
        </w:rPr>
        <w:t xml:space="preserve"> court as the High Court or a Magistrates’ Court, where such court has jurisdiction to determine any question relating to the validity, interpretation or effect of the Will concerned.  Section 2 (a – b).  Clearly, any question relating to the validity, interpretation or effect of a Will is not within the Master’s powers as the Master is not defined as an appropriate court.  It therefore follows that the Master cannot exercise powers that the Wills Act clearly give to </w:t>
      </w:r>
      <w:r w:rsidR="005A37F9" w:rsidRPr="006720E7">
        <w:rPr>
          <w:sz w:val="24"/>
          <w:szCs w:val="24"/>
          <w:lang w:val="en-US"/>
        </w:rPr>
        <w:t>an</w:t>
      </w:r>
      <w:r w:rsidR="00F8643A" w:rsidRPr="006720E7">
        <w:rPr>
          <w:sz w:val="24"/>
          <w:szCs w:val="24"/>
          <w:lang w:val="en-US"/>
        </w:rPr>
        <w:t xml:space="preserve"> appropriate court especially </w:t>
      </w:r>
      <w:r w:rsidR="00F8643A" w:rsidRPr="006720E7">
        <w:rPr>
          <w:sz w:val="24"/>
          <w:szCs w:val="24"/>
          <w:lang w:val="en-US"/>
        </w:rPr>
        <w:lastRenderedPageBreak/>
        <w:t>considering that section (5) of the Administration of Estates Act specifically takes away such power from the Master.  I accordingly hold the view that the Master’s actions in declaring the Will invalid are ultra vires the Master’s powers and cannot be allowed to stand.</w:t>
      </w:r>
      <w:r w:rsidR="006720E7" w:rsidRPr="006720E7">
        <w:rPr>
          <w:sz w:val="24"/>
          <w:szCs w:val="24"/>
          <w:lang w:val="en-US"/>
        </w:rPr>
        <w:t xml:space="preserve">  The Master cannot exercise powers that she does not have.</w:t>
      </w:r>
      <w:r w:rsidR="00784BE1">
        <w:rPr>
          <w:sz w:val="24"/>
          <w:szCs w:val="24"/>
          <w:lang w:val="en-US"/>
        </w:rPr>
        <w:t xml:space="preserve"> </w:t>
      </w:r>
      <w:r w:rsidR="00784BE1" w:rsidRPr="00784BE1">
        <w:rPr>
          <w:sz w:val="24"/>
          <w:szCs w:val="24"/>
          <w:lang w:val="en-US"/>
        </w:rPr>
        <w:t xml:space="preserve"> </w:t>
      </w:r>
      <w:r w:rsidR="00784BE1" w:rsidRPr="00784BE1">
        <w:rPr>
          <w:sz w:val="24"/>
          <w:szCs w:val="24"/>
          <w:lang w:val="en-US"/>
        </w:rPr>
        <w:t>Paragraph (b) of the draft order however needs to be amended as I cannot order that the Master winds up the estate in accordance with the Will whose validity and effect can only be determined by a competent court on approach by either party.  I have accordingly amended the order sought in clause (b) of the draft order.</w:t>
      </w:r>
    </w:p>
    <w:p w:rsidR="00F8643A" w:rsidRPr="00784BE1" w:rsidRDefault="00F8643A" w:rsidP="008313F2">
      <w:pPr>
        <w:ind w:firstLine="720"/>
        <w:jc w:val="both"/>
        <w:rPr>
          <w:sz w:val="24"/>
          <w:szCs w:val="24"/>
          <w:lang w:val="en-US"/>
        </w:rPr>
      </w:pPr>
      <w:r w:rsidRPr="00784BE1">
        <w:rPr>
          <w:sz w:val="24"/>
          <w:szCs w:val="24"/>
          <w:lang w:val="en-US"/>
        </w:rPr>
        <w:t>It is for these reason</w:t>
      </w:r>
      <w:r w:rsidR="00784BE1" w:rsidRPr="00784BE1">
        <w:rPr>
          <w:sz w:val="24"/>
          <w:szCs w:val="24"/>
          <w:lang w:val="en-US"/>
        </w:rPr>
        <w:t>s</w:t>
      </w:r>
      <w:r w:rsidRPr="00784BE1">
        <w:rPr>
          <w:sz w:val="24"/>
          <w:szCs w:val="24"/>
          <w:lang w:val="en-US"/>
        </w:rPr>
        <w:t xml:space="preserve"> that I will grant the order sought in terms of the draft</w:t>
      </w:r>
      <w:r w:rsidR="00784BE1" w:rsidRPr="00784BE1">
        <w:rPr>
          <w:sz w:val="24"/>
          <w:szCs w:val="24"/>
          <w:lang w:val="en-US"/>
        </w:rPr>
        <w:t xml:space="preserve"> as amended</w:t>
      </w:r>
      <w:r w:rsidRPr="00784BE1">
        <w:rPr>
          <w:sz w:val="24"/>
          <w:szCs w:val="24"/>
          <w:lang w:val="en-US"/>
        </w:rPr>
        <w:t>.</w:t>
      </w:r>
      <w:r w:rsidR="00784BE1" w:rsidRPr="00784BE1">
        <w:rPr>
          <w:sz w:val="24"/>
          <w:szCs w:val="24"/>
          <w:lang w:val="en-US"/>
        </w:rPr>
        <w:t xml:space="preserve">  </w:t>
      </w:r>
    </w:p>
    <w:p w:rsidR="00F8643A" w:rsidRPr="006720E7" w:rsidRDefault="00F8643A" w:rsidP="008313F2">
      <w:pPr>
        <w:jc w:val="both"/>
        <w:rPr>
          <w:sz w:val="24"/>
          <w:szCs w:val="24"/>
          <w:lang w:val="en-US"/>
        </w:rPr>
      </w:pPr>
    </w:p>
    <w:p w:rsidR="007A4017" w:rsidRPr="006720E7" w:rsidRDefault="007A4017" w:rsidP="008313F2">
      <w:pPr>
        <w:jc w:val="both"/>
        <w:rPr>
          <w:sz w:val="24"/>
          <w:szCs w:val="24"/>
          <w:lang w:val="en-US"/>
        </w:rPr>
      </w:pPr>
    </w:p>
    <w:p w:rsidR="007A4017" w:rsidRPr="006720E7" w:rsidRDefault="007A4017" w:rsidP="008313F2">
      <w:pPr>
        <w:jc w:val="both"/>
        <w:rPr>
          <w:sz w:val="24"/>
          <w:szCs w:val="24"/>
          <w:lang w:val="en-US"/>
        </w:rPr>
      </w:pPr>
    </w:p>
    <w:p w:rsidR="00F8643A" w:rsidRPr="006720E7" w:rsidRDefault="00F8643A" w:rsidP="008313F2">
      <w:pPr>
        <w:pStyle w:val="NoSpacing"/>
        <w:jc w:val="both"/>
        <w:rPr>
          <w:sz w:val="24"/>
          <w:szCs w:val="24"/>
          <w:lang w:val="en-US"/>
        </w:rPr>
      </w:pPr>
      <w:r w:rsidRPr="006720E7">
        <w:rPr>
          <w:i/>
          <w:sz w:val="24"/>
          <w:szCs w:val="24"/>
          <w:lang w:val="en-US"/>
        </w:rPr>
        <w:t>Messrs Webb, Low &amp; Barry</w:t>
      </w:r>
      <w:r w:rsidRPr="006720E7">
        <w:rPr>
          <w:sz w:val="24"/>
          <w:szCs w:val="24"/>
          <w:lang w:val="en-US"/>
        </w:rPr>
        <w:t>, applicant’s legal practitioners</w:t>
      </w:r>
    </w:p>
    <w:p w:rsidR="00F8643A" w:rsidRPr="006720E7" w:rsidRDefault="00F8643A" w:rsidP="008313F2">
      <w:pPr>
        <w:pStyle w:val="NoSpacing"/>
        <w:jc w:val="both"/>
        <w:rPr>
          <w:sz w:val="24"/>
          <w:szCs w:val="24"/>
          <w:lang w:val="en-US"/>
        </w:rPr>
      </w:pPr>
      <w:r w:rsidRPr="006720E7">
        <w:rPr>
          <w:i/>
          <w:sz w:val="24"/>
          <w:szCs w:val="24"/>
          <w:lang w:val="en-US"/>
        </w:rPr>
        <w:t>Lazarus &amp; Sarif</w:t>
      </w:r>
      <w:r w:rsidRPr="006720E7">
        <w:rPr>
          <w:sz w:val="24"/>
          <w:szCs w:val="24"/>
          <w:lang w:val="en-US"/>
        </w:rPr>
        <w:t>, 2</w:t>
      </w:r>
      <w:r w:rsidRPr="006720E7">
        <w:rPr>
          <w:sz w:val="24"/>
          <w:szCs w:val="24"/>
          <w:vertAlign w:val="superscript"/>
          <w:lang w:val="en-US"/>
        </w:rPr>
        <w:t>nd</w:t>
      </w:r>
      <w:r w:rsidRPr="006720E7">
        <w:rPr>
          <w:sz w:val="24"/>
          <w:szCs w:val="24"/>
          <w:lang w:val="en-US"/>
        </w:rPr>
        <w:t xml:space="preserve"> respondent’s legal practiti</w:t>
      </w:r>
      <w:bookmarkStart w:id="0" w:name="_GoBack"/>
      <w:bookmarkEnd w:id="0"/>
      <w:r w:rsidRPr="006720E7">
        <w:rPr>
          <w:sz w:val="24"/>
          <w:szCs w:val="24"/>
          <w:lang w:val="en-US"/>
        </w:rPr>
        <w:t>oners</w:t>
      </w:r>
    </w:p>
    <w:sectPr w:rsidR="00F8643A" w:rsidRPr="006720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678" w:rsidRDefault="00AA7678" w:rsidP="008313F2">
      <w:pPr>
        <w:spacing w:after="0" w:line="240" w:lineRule="auto"/>
      </w:pPr>
      <w:r>
        <w:separator/>
      </w:r>
    </w:p>
  </w:endnote>
  <w:endnote w:type="continuationSeparator" w:id="0">
    <w:p w:rsidR="00AA7678" w:rsidRDefault="00AA7678" w:rsidP="0083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678" w:rsidRDefault="00AA7678" w:rsidP="008313F2">
      <w:pPr>
        <w:spacing w:after="0" w:line="240" w:lineRule="auto"/>
      </w:pPr>
      <w:r>
        <w:separator/>
      </w:r>
    </w:p>
  </w:footnote>
  <w:footnote w:type="continuationSeparator" w:id="0">
    <w:p w:rsidR="00AA7678" w:rsidRDefault="00AA7678" w:rsidP="00831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473322"/>
      <w:docPartObj>
        <w:docPartGallery w:val="Page Numbers (Top of Page)"/>
        <w:docPartUnique/>
      </w:docPartObj>
    </w:sdtPr>
    <w:sdtEndPr>
      <w:rPr>
        <w:noProof/>
      </w:rPr>
    </w:sdtEndPr>
    <w:sdtContent>
      <w:p w:rsidR="008313F2" w:rsidRDefault="008313F2">
        <w:pPr>
          <w:pStyle w:val="Header"/>
          <w:jc w:val="right"/>
          <w:rPr>
            <w:noProof/>
          </w:rPr>
        </w:pPr>
        <w:r>
          <w:fldChar w:fldCharType="begin"/>
        </w:r>
        <w:r>
          <w:instrText xml:space="preserve"> PAGE   \* MERGEFORMAT </w:instrText>
        </w:r>
        <w:r>
          <w:fldChar w:fldCharType="separate"/>
        </w:r>
        <w:r w:rsidR="00784BE1">
          <w:rPr>
            <w:noProof/>
          </w:rPr>
          <w:t>4</w:t>
        </w:r>
        <w:r>
          <w:rPr>
            <w:noProof/>
          </w:rPr>
          <w:fldChar w:fldCharType="end"/>
        </w:r>
      </w:p>
      <w:p w:rsidR="008313F2" w:rsidRDefault="008313F2">
        <w:pPr>
          <w:pStyle w:val="Header"/>
          <w:jc w:val="right"/>
          <w:rPr>
            <w:noProof/>
          </w:rPr>
        </w:pPr>
        <w:r>
          <w:rPr>
            <w:noProof/>
          </w:rPr>
          <w:t xml:space="preserve">HB </w:t>
        </w:r>
        <w:r w:rsidR="006720E7">
          <w:rPr>
            <w:noProof/>
          </w:rPr>
          <w:t>248</w:t>
        </w:r>
        <w:r>
          <w:rPr>
            <w:noProof/>
          </w:rPr>
          <w:t>/22</w:t>
        </w:r>
      </w:p>
      <w:p w:rsidR="008313F2" w:rsidRDefault="008313F2">
        <w:pPr>
          <w:pStyle w:val="Header"/>
          <w:jc w:val="right"/>
          <w:rPr>
            <w:noProof/>
          </w:rPr>
        </w:pPr>
        <w:r>
          <w:rPr>
            <w:noProof/>
          </w:rPr>
          <w:t>HC 27/21</w:t>
        </w:r>
      </w:p>
      <w:p w:rsidR="008313F2" w:rsidRDefault="008313F2">
        <w:pPr>
          <w:pStyle w:val="Header"/>
          <w:jc w:val="right"/>
        </w:pPr>
        <w:r>
          <w:rPr>
            <w:noProof/>
          </w:rPr>
          <w:t>X REF HC 973/20</w:t>
        </w:r>
      </w:p>
    </w:sdtContent>
  </w:sdt>
  <w:p w:rsidR="008313F2" w:rsidRDefault="00831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4252A"/>
    <w:multiLevelType w:val="hybridMultilevel"/>
    <w:tmpl w:val="4BD49A0C"/>
    <w:lvl w:ilvl="0" w:tplc="121E7B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2B"/>
    <w:rsid w:val="0002271B"/>
    <w:rsid w:val="001830F0"/>
    <w:rsid w:val="001F3241"/>
    <w:rsid w:val="00234BA0"/>
    <w:rsid w:val="002364EF"/>
    <w:rsid w:val="00277B0B"/>
    <w:rsid w:val="004447AA"/>
    <w:rsid w:val="005800B2"/>
    <w:rsid w:val="005A37F9"/>
    <w:rsid w:val="006720E7"/>
    <w:rsid w:val="00681D0D"/>
    <w:rsid w:val="00784BE1"/>
    <w:rsid w:val="007A4017"/>
    <w:rsid w:val="007E0E2B"/>
    <w:rsid w:val="008313F2"/>
    <w:rsid w:val="00A253A8"/>
    <w:rsid w:val="00AA7678"/>
    <w:rsid w:val="00BB3639"/>
    <w:rsid w:val="00D20384"/>
    <w:rsid w:val="00D43953"/>
    <w:rsid w:val="00E672BA"/>
    <w:rsid w:val="00F864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1424B-DE9A-46B9-8922-E3C51E16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E2B"/>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E2B"/>
    <w:pPr>
      <w:spacing w:after="0" w:line="240" w:lineRule="auto"/>
    </w:pPr>
    <w:rPr>
      <w:rFonts w:ascii="Times New Roman" w:hAnsi="Times New Roman"/>
      <w:sz w:val="28"/>
    </w:rPr>
  </w:style>
  <w:style w:type="paragraph" w:styleId="ListParagraph">
    <w:name w:val="List Paragraph"/>
    <w:basedOn w:val="Normal"/>
    <w:uiPriority w:val="34"/>
    <w:qFormat/>
    <w:rsid w:val="00D43953"/>
    <w:pPr>
      <w:ind w:left="720"/>
      <w:contextualSpacing/>
    </w:pPr>
  </w:style>
  <w:style w:type="paragraph" w:styleId="Header">
    <w:name w:val="header"/>
    <w:basedOn w:val="Normal"/>
    <w:link w:val="HeaderChar"/>
    <w:uiPriority w:val="99"/>
    <w:unhideWhenUsed/>
    <w:rsid w:val="00831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3F2"/>
    <w:rPr>
      <w:rFonts w:ascii="Times New Roman" w:hAnsi="Times New Roman"/>
      <w:sz w:val="28"/>
    </w:rPr>
  </w:style>
  <w:style w:type="paragraph" w:styleId="Footer">
    <w:name w:val="footer"/>
    <w:basedOn w:val="Normal"/>
    <w:link w:val="FooterChar"/>
    <w:uiPriority w:val="99"/>
    <w:unhideWhenUsed/>
    <w:rsid w:val="00831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3F2"/>
    <w:rPr>
      <w:rFonts w:ascii="Times New Roman" w:hAnsi="Times New Roman"/>
      <w:sz w:val="28"/>
    </w:rPr>
  </w:style>
  <w:style w:type="paragraph" w:styleId="BalloonText">
    <w:name w:val="Balloon Text"/>
    <w:basedOn w:val="Normal"/>
    <w:link w:val="BalloonTextChar"/>
    <w:uiPriority w:val="99"/>
    <w:semiHidden/>
    <w:unhideWhenUsed/>
    <w:rsid w:val="007A4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2022-09-29T10:21:00Z</cp:lastPrinted>
  <dcterms:created xsi:type="dcterms:W3CDTF">2022-09-26T13:20:00Z</dcterms:created>
  <dcterms:modified xsi:type="dcterms:W3CDTF">2022-09-29T10:22:00Z</dcterms:modified>
</cp:coreProperties>
</file>