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988" w:rsidRPr="002A2689" w:rsidRDefault="00DE6988" w:rsidP="00DE6988">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INSAAF INVESTMENTS (PVT) LTD</w:t>
      </w:r>
    </w:p>
    <w:p w:rsidR="00DE6988" w:rsidRPr="002A2689" w:rsidRDefault="00DE6988" w:rsidP="00DE6988">
      <w:pPr>
        <w:pStyle w:val="NoSpacing"/>
        <w:jc w:val="both"/>
        <w:rPr>
          <w:rFonts w:ascii="Times New Roman" w:hAnsi="Times New Roman" w:cs="Times New Roman"/>
          <w:sz w:val="24"/>
          <w:szCs w:val="24"/>
        </w:rPr>
      </w:pPr>
      <w:r>
        <w:rPr>
          <w:rFonts w:ascii="Times New Roman" w:hAnsi="Times New Roman" w:cs="Times New Roman"/>
          <w:sz w:val="24"/>
          <w:szCs w:val="24"/>
        </w:rPr>
        <w:t>v</w:t>
      </w:r>
      <w:r w:rsidRPr="002A2689">
        <w:rPr>
          <w:rFonts w:ascii="Times New Roman" w:hAnsi="Times New Roman" w:cs="Times New Roman"/>
          <w:sz w:val="24"/>
          <w:szCs w:val="24"/>
        </w:rPr>
        <w:t>ersus</w:t>
      </w:r>
    </w:p>
    <w:p w:rsidR="00DE6988" w:rsidRPr="002A2689" w:rsidRDefault="00DE6988" w:rsidP="00DE6988">
      <w:pPr>
        <w:pStyle w:val="NoSpacing"/>
        <w:jc w:val="both"/>
        <w:rPr>
          <w:rFonts w:ascii="Times New Roman" w:hAnsi="Times New Roman" w:cs="Times New Roman"/>
          <w:sz w:val="24"/>
          <w:szCs w:val="24"/>
        </w:rPr>
      </w:pPr>
      <w:r>
        <w:rPr>
          <w:rFonts w:ascii="Times New Roman" w:hAnsi="Times New Roman" w:cs="Times New Roman"/>
          <w:sz w:val="24"/>
          <w:szCs w:val="24"/>
        </w:rPr>
        <w:t>CHATPRIL ENTERPRISES (PVT) LTD</w:t>
      </w:r>
    </w:p>
    <w:p w:rsidR="00DE6988" w:rsidRDefault="00DE6988" w:rsidP="00DE6988">
      <w:pPr>
        <w:pStyle w:val="NoSpacing"/>
        <w:jc w:val="both"/>
        <w:rPr>
          <w:rFonts w:ascii="Times New Roman" w:hAnsi="Times New Roman" w:cs="Times New Roman"/>
          <w:sz w:val="24"/>
          <w:szCs w:val="24"/>
        </w:rPr>
      </w:pPr>
    </w:p>
    <w:p w:rsidR="00DE6988" w:rsidRDefault="00DE6988" w:rsidP="00DE6988">
      <w:pPr>
        <w:pStyle w:val="NoSpacing"/>
        <w:jc w:val="both"/>
        <w:rPr>
          <w:rFonts w:ascii="Times New Roman" w:hAnsi="Times New Roman" w:cs="Times New Roman"/>
          <w:sz w:val="24"/>
          <w:szCs w:val="24"/>
        </w:rPr>
      </w:pPr>
    </w:p>
    <w:p w:rsidR="00DE6988" w:rsidRPr="002A2689" w:rsidRDefault="00DE6988" w:rsidP="00DE6988">
      <w:pPr>
        <w:pStyle w:val="NoSpacing"/>
        <w:jc w:val="both"/>
        <w:rPr>
          <w:rFonts w:ascii="Times New Roman" w:hAnsi="Times New Roman" w:cs="Times New Roman"/>
          <w:sz w:val="24"/>
          <w:szCs w:val="24"/>
        </w:rPr>
      </w:pPr>
      <w:r w:rsidRPr="002A2689">
        <w:rPr>
          <w:rFonts w:ascii="Times New Roman" w:hAnsi="Times New Roman" w:cs="Times New Roman"/>
          <w:sz w:val="24"/>
          <w:szCs w:val="24"/>
        </w:rPr>
        <w:t xml:space="preserve">HIGH COURT OF ZIMBABWE </w:t>
      </w:r>
    </w:p>
    <w:p w:rsidR="00DE6988" w:rsidRPr="002A2689" w:rsidRDefault="00DE6988" w:rsidP="00DE6988">
      <w:pPr>
        <w:pStyle w:val="NoSpacing"/>
        <w:tabs>
          <w:tab w:val="left" w:pos="6600"/>
        </w:tabs>
        <w:jc w:val="both"/>
        <w:rPr>
          <w:rFonts w:ascii="Times New Roman" w:hAnsi="Times New Roman" w:cs="Times New Roman"/>
          <w:sz w:val="24"/>
          <w:szCs w:val="24"/>
        </w:rPr>
      </w:pPr>
      <w:r>
        <w:rPr>
          <w:rFonts w:ascii="Times New Roman" w:hAnsi="Times New Roman" w:cs="Times New Roman"/>
          <w:sz w:val="24"/>
          <w:szCs w:val="24"/>
        </w:rPr>
        <w:t>CHITAPI</w:t>
      </w:r>
      <w:r w:rsidRPr="002A2689">
        <w:rPr>
          <w:rFonts w:ascii="Times New Roman" w:hAnsi="Times New Roman" w:cs="Times New Roman"/>
          <w:sz w:val="24"/>
          <w:szCs w:val="24"/>
        </w:rPr>
        <w:t xml:space="preserve"> J</w:t>
      </w:r>
      <w:r>
        <w:rPr>
          <w:rFonts w:ascii="Times New Roman" w:hAnsi="Times New Roman" w:cs="Times New Roman"/>
          <w:sz w:val="24"/>
          <w:szCs w:val="24"/>
        </w:rPr>
        <w:tab/>
      </w:r>
    </w:p>
    <w:p w:rsidR="00DE6988" w:rsidRDefault="008A025E" w:rsidP="00DE6988">
      <w:pPr>
        <w:pStyle w:val="NoSpacing"/>
        <w:jc w:val="both"/>
        <w:rPr>
          <w:rFonts w:ascii="Times New Roman" w:hAnsi="Times New Roman" w:cs="Times New Roman"/>
          <w:sz w:val="24"/>
          <w:szCs w:val="24"/>
        </w:rPr>
      </w:pPr>
      <w:r>
        <w:rPr>
          <w:rFonts w:ascii="Times New Roman" w:hAnsi="Times New Roman" w:cs="Times New Roman"/>
          <w:sz w:val="24"/>
          <w:szCs w:val="24"/>
        </w:rPr>
        <w:t>HARARE,  15 May 2023</w:t>
      </w:r>
    </w:p>
    <w:p w:rsidR="00DE6988" w:rsidRDefault="00DE6988" w:rsidP="00DE6988">
      <w:pPr>
        <w:pStyle w:val="NoSpacing"/>
        <w:jc w:val="both"/>
        <w:rPr>
          <w:rFonts w:ascii="Times New Roman" w:hAnsi="Times New Roman" w:cs="Times New Roman"/>
          <w:sz w:val="24"/>
          <w:szCs w:val="24"/>
        </w:rPr>
      </w:pPr>
    </w:p>
    <w:p w:rsidR="00DE6988" w:rsidRPr="002A2689" w:rsidRDefault="00DE6988" w:rsidP="00DE6988">
      <w:pPr>
        <w:pStyle w:val="NoSpacing"/>
        <w:jc w:val="both"/>
        <w:rPr>
          <w:rFonts w:ascii="Times New Roman" w:hAnsi="Times New Roman" w:cs="Times New Roman"/>
          <w:sz w:val="24"/>
          <w:szCs w:val="24"/>
        </w:rPr>
      </w:pPr>
    </w:p>
    <w:p w:rsidR="00DE6988" w:rsidRDefault="00DE6988" w:rsidP="00DE6988">
      <w:pPr>
        <w:jc w:val="both"/>
        <w:rPr>
          <w:rFonts w:ascii="Times New Roman" w:hAnsi="Times New Roman" w:cs="Times New Roman"/>
          <w:b/>
          <w:sz w:val="24"/>
          <w:szCs w:val="24"/>
        </w:rPr>
      </w:pPr>
      <w:r>
        <w:rPr>
          <w:rFonts w:ascii="Times New Roman" w:hAnsi="Times New Roman" w:cs="Times New Roman"/>
          <w:b/>
          <w:sz w:val="24"/>
          <w:szCs w:val="24"/>
        </w:rPr>
        <w:t xml:space="preserve">Court Application – Leave </w:t>
      </w:r>
      <w:r w:rsidR="00A00905">
        <w:rPr>
          <w:rFonts w:ascii="Times New Roman" w:hAnsi="Times New Roman" w:cs="Times New Roman"/>
          <w:b/>
          <w:sz w:val="24"/>
          <w:szCs w:val="24"/>
        </w:rPr>
        <w:t>to</w:t>
      </w:r>
      <w:r>
        <w:rPr>
          <w:rFonts w:ascii="Times New Roman" w:hAnsi="Times New Roman" w:cs="Times New Roman"/>
          <w:b/>
          <w:sz w:val="24"/>
          <w:szCs w:val="24"/>
        </w:rPr>
        <w:t xml:space="preserve"> Execute Pending Appeal</w:t>
      </w:r>
    </w:p>
    <w:p w:rsidR="00DE6988" w:rsidRDefault="00DE6988" w:rsidP="00DE6988">
      <w:pPr>
        <w:jc w:val="both"/>
        <w:rPr>
          <w:rFonts w:ascii="Times New Roman" w:hAnsi="Times New Roman" w:cs="Times New Roman"/>
          <w:b/>
          <w:sz w:val="24"/>
          <w:szCs w:val="24"/>
        </w:rPr>
      </w:pPr>
    </w:p>
    <w:p w:rsidR="00DE6988" w:rsidRDefault="00DE6988" w:rsidP="00DE6988">
      <w:pPr>
        <w:spacing w:after="0" w:line="240" w:lineRule="auto"/>
        <w:jc w:val="both"/>
        <w:rPr>
          <w:rFonts w:ascii="Times New Roman" w:hAnsi="Times New Roman" w:cs="Times New Roman"/>
          <w:sz w:val="24"/>
          <w:szCs w:val="24"/>
        </w:rPr>
      </w:pPr>
      <w:r w:rsidRPr="00DE6988">
        <w:rPr>
          <w:rFonts w:ascii="Times New Roman" w:hAnsi="Times New Roman" w:cs="Times New Roman"/>
          <w:i/>
          <w:sz w:val="24"/>
          <w:szCs w:val="24"/>
        </w:rPr>
        <w:t>J Mapuranga with M D Hungwe</w:t>
      </w:r>
      <w:r>
        <w:rPr>
          <w:rFonts w:ascii="Times New Roman" w:hAnsi="Times New Roman" w:cs="Times New Roman"/>
          <w:sz w:val="24"/>
          <w:szCs w:val="24"/>
        </w:rPr>
        <w:t>, for the applicant</w:t>
      </w:r>
    </w:p>
    <w:p w:rsidR="00DE6988" w:rsidRPr="00D865FB" w:rsidRDefault="00DE6988" w:rsidP="00DE6988">
      <w:pPr>
        <w:spacing w:after="0" w:line="240" w:lineRule="auto"/>
        <w:jc w:val="both"/>
        <w:rPr>
          <w:rFonts w:ascii="Times New Roman" w:hAnsi="Times New Roman" w:cs="Times New Roman"/>
          <w:sz w:val="24"/>
          <w:szCs w:val="24"/>
        </w:rPr>
      </w:pPr>
      <w:r w:rsidRPr="00DE6988">
        <w:rPr>
          <w:rFonts w:ascii="Times New Roman" w:hAnsi="Times New Roman" w:cs="Times New Roman"/>
          <w:i/>
          <w:sz w:val="24"/>
          <w:szCs w:val="24"/>
        </w:rPr>
        <w:t>F Nyamanyaro</w:t>
      </w:r>
      <w:r>
        <w:rPr>
          <w:rFonts w:ascii="Times New Roman" w:hAnsi="Times New Roman" w:cs="Times New Roman"/>
          <w:sz w:val="24"/>
          <w:szCs w:val="24"/>
        </w:rPr>
        <w:t>, for the respondent</w:t>
      </w:r>
    </w:p>
    <w:p w:rsidR="00DE6988" w:rsidRDefault="00DE6988" w:rsidP="00DE6988">
      <w:pPr>
        <w:jc w:val="both"/>
        <w:rPr>
          <w:rFonts w:ascii="Times New Roman" w:hAnsi="Times New Roman" w:cs="Times New Roman"/>
          <w:b/>
          <w:sz w:val="24"/>
          <w:szCs w:val="24"/>
        </w:rPr>
      </w:pPr>
    </w:p>
    <w:p w:rsidR="00DE6988" w:rsidRDefault="00DE6988" w:rsidP="00DE6988">
      <w:pPr>
        <w:jc w:val="both"/>
        <w:rPr>
          <w:rFonts w:ascii="Times New Roman" w:hAnsi="Times New Roman" w:cs="Times New Roman"/>
          <w:b/>
          <w:sz w:val="24"/>
          <w:szCs w:val="24"/>
        </w:rPr>
      </w:pPr>
    </w:p>
    <w:p w:rsidR="00C4798B" w:rsidRDefault="00DE6988" w:rsidP="00D8692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t>CHITAPI J:</w:t>
      </w:r>
      <w:r w:rsidR="000520C2">
        <w:rPr>
          <w:rFonts w:ascii="Times New Roman" w:hAnsi="Times New Roman" w:cs="Times New Roman"/>
          <w:b/>
          <w:sz w:val="24"/>
          <w:szCs w:val="24"/>
        </w:rPr>
        <w:t xml:space="preserve">     </w:t>
      </w:r>
      <w:r w:rsidR="000520C2" w:rsidRPr="000520C2">
        <w:rPr>
          <w:rFonts w:ascii="Times New Roman" w:hAnsi="Times New Roman" w:cs="Times New Roman"/>
          <w:sz w:val="24"/>
          <w:szCs w:val="24"/>
        </w:rPr>
        <w:t>In case No. HC 6193/20 I re</w:t>
      </w:r>
      <w:r w:rsidR="000520C2">
        <w:rPr>
          <w:rFonts w:ascii="Times New Roman" w:hAnsi="Times New Roman" w:cs="Times New Roman"/>
          <w:sz w:val="24"/>
          <w:szCs w:val="24"/>
        </w:rPr>
        <w:t xml:space="preserve">ndered a judgment ref HH 898/22 on 29 December 2022.  The parties herein were applicant and respondent.  In the said case the applicant as owner of a property occupied on lease by the respondent claimed for an order with costs for </w:t>
      </w:r>
      <w:r w:rsidR="000520C2" w:rsidRPr="00DE2FCA">
        <w:rPr>
          <w:rFonts w:ascii="Times New Roman" w:hAnsi="Times New Roman" w:cs="Times New Roman"/>
          <w:i/>
          <w:sz w:val="24"/>
          <w:szCs w:val="24"/>
        </w:rPr>
        <w:t>vindication</w:t>
      </w:r>
      <w:r w:rsidR="000520C2">
        <w:rPr>
          <w:rFonts w:ascii="Times New Roman" w:hAnsi="Times New Roman" w:cs="Times New Roman"/>
          <w:sz w:val="24"/>
          <w:szCs w:val="24"/>
        </w:rPr>
        <w:t xml:space="preserve"> of its property from the respondent and for the respondents’ ejection or eviction from the property.  The property in issue is described as stand 22 Julius Nyerere way Harare.  In my judgment aforesaid, I found for the applicant and granted its prayer.  The respondent not being satisfied with my judgment noted to the Supreme Court, an appeal against the whole of my judgment.  The appeal notice was accepted and is </w:t>
      </w:r>
      <w:r w:rsidR="00A00905">
        <w:rPr>
          <w:rFonts w:ascii="Times New Roman" w:hAnsi="Times New Roman" w:cs="Times New Roman"/>
          <w:sz w:val="24"/>
          <w:szCs w:val="24"/>
        </w:rPr>
        <w:t>pending in</w:t>
      </w:r>
      <w:r w:rsidR="00C4110F">
        <w:rPr>
          <w:rFonts w:ascii="Times New Roman" w:hAnsi="Times New Roman" w:cs="Times New Roman"/>
          <w:sz w:val="24"/>
          <w:szCs w:val="24"/>
        </w:rPr>
        <w:t xml:space="preserve"> that court under reference SC 2/23.</w:t>
      </w:r>
    </w:p>
    <w:p w:rsidR="00C4110F" w:rsidRDefault="00C4110F" w:rsidP="00D869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date of filing the appeal is not legible on the copy attached by the applicant to its application.  The notice of appeal is however dated 30 December 2022.  Neither the applicant nor the respondent in their affidavits alluded to the actual date on which the appeal was noted.  It is self-defeating for a litigant or counsel to settle papers intended to be used in advancing or defending a claim by including ineligible documents.  Rule 58 of the High Court Rules, 2021 requires </w:t>
      </w:r>
      <w:r w:rsidR="00A00905">
        <w:rPr>
          <w:rFonts w:ascii="Times New Roman" w:hAnsi="Times New Roman" w:cs="Times New Roman"/>
          <w:sz w:val="24"/>
          <w:szCs w:val="24"/>
        </w:rPr>
        <w:t>that an</w:t>
      </w:r>
      <w:r w:rsidR="001023D6">
        <w:rPr>
          <w:rFonts w:ascii="Times New Roman" w:hAnsi="Times New Roman" w:cs="Times New Roman"/>
          <w:sz w:val="24"/>
          <w:szCs w:val="24"/>
        </w:rPr>
        <w:t xml:space="preserve"> </w:t>
      </w:r>
      <w:r>
        <w:rPr>
          <w:rFonts w:ascii="Times New Roman" w:hAnsi="Times New Roman" w:cs="Times New Roman"/>
          <w:sz w:val="24"/>
          <w:szCs w:val="24"/>
        </w:rPr>
        <w:t xml:space="preserve">affidavit filed with every written application should be legible.  The same must obtain in relation to annexures accompanying those affidavits because they form part and parcel of the affidavits.  In this case had argument been raised upon the issue of whether an appeal had in fact been filed, it would present problems for the court to ascertain that fact.  Parties and counsel should always ensure that every pleading filed of record is legible.  It is after all a matter of </w:t>
      </w:r>
      <w:r w:rsidR="00455081">
        <w:rPr>
          <w:rFonts w:ascii="Times New Roman" w:hAnsi="Times New Roman" w:cs="Times New Roman"/>
          <w:sz w:val="24"/>
          <w:szCs w:val="24"/>
        </w:rPr>
        <w:lastRenderedPageBreak/>
        <w:t>common sense and logic that a party that files affidavits pleadings and annexures intends that the court must have regard to them.  If therefore one files an ineligible document then that document is useless as evidence and the party who has</w:t>
      </w:r>
      <w:r w:rsidR="00ED277C">
        <w:rPr>
          <w:rFonts w:ascii="Times New Roman" w:hAnsi="Times New Roman" w:cs="Times New Roman"/>
          <w:sz w:val="24"/>
          <w:szCs w:val="24"/>
        </w:rPr>
        <w:t xml:space="preserve"> done so will only have him/her</w:t>
      </w:r>
      <w:r w:rsidR="00360BC9">
        <w:rPr>
          <w:rFonts w:ascii="Times New Roman" w:hAnsi="Times New Roman" w:cs="Times New Roman"/>
          <w:sz w:val="24"/>
          <w:szCs w:val="24"/>
        </w:rPr>
        <w:t xml:space="preserve">self </w:t>
      </w:r>
      <w:r w:rsidR="00455081">
        <w:rPr>
          <w:rFonts w:ascii="Times New Roman" w:hAnsi="Times New Roman" w:cs="Times New Roman"/>
          <w:sz w:val="24"/>
          <w:szCs w:val="24"/>
        </w:rPr>
        <w:t>to blame if it fails to make a successful claim or defence as the case maybe because the court has disregarded the ineligible document.</w:t>
      </w:r>
    </w:p>
    <w:p w:rsidR="00455081" w:rsidRDefault="00455081" w:rsidP="00D869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not proper for counsel to then seek to avail a “clearer copy” or produce the original during the hearing.  After all the application is determined on the bound</w:t>
      </w:r>
      <w:r w:rsidR="00915E16">
        <w:rPr>
          <w:rFonts w:ascii="Times New Roman" w:hAnsi="Times New Roman" w:cs="Times New Roman"/>
          <w:sz w:val="24"/>
          <w:szCs w:val="24"/>
        </w:rPr>
        <w:t>,</w:t>
      </w:r>
      <w:r>
        <w:rPr>
          <w:rFonts w:ascii="Times New Roman" w:hAnsi="Times New Roman" w:cs="Times New Roman"/>
          <w:sz w:val="24"/>
          <w:szCs w:val="24"/>
        </w:rPr>
        <w:t xml:space="preserve"> referenced and </w:t>
      </w:r>
      <w:r w:rsidR="001C56FD">
        <w:rPr>
          <w:rFonts w:ascii="Times New Roman" w:hAnsi="Times New Roman" w:cs="Times New Roman"/>
          <w:sz w:val="24"/>
          <w:szCs w:val="24"/>
        </w:rPr>
        <w:t>paginated papers</w:t>
      </w:r>
      <w:r>
        <w:rPr>
          <w:rFonts w:ascii="Times New Roman" w:hAnsi="Times New Roman" w:cs="Times New Roman"/>
          <w:sz w:val="24"/>
          <w:szCs w:val="24"/>
        </w:rPr>
        <w:t xml:space="preserve">.  Allowing the production over the bar necessarily entails that the papers are </w:t>
      </w:r>
      <w:r w:rsidR="001C56FD">
        <w:rPr>
          <w:rFonts w:ascii="Times New Roman" w:hAnsi="Times New Roman" w:cs="Times New Roman"/>
          <w:sz w:val="24"/>
          <w:szCs w:val="24"/>
        </w:rPr>
        <w:t>repaginated because</w:t>
      </w:r>
      <w:r>
        <w:rPr>
          <w:rFonts w:ascii="Times New Roman" w:hAnsi="Times New Roman" w:cs="Times New Roman"/>
          <w:sz w:val="24"/>
          <w:szCs w:val="24"/>
        </w:rPr>
        <w:t xml:space="preserve"> the one produced over the bar cannot be allowed to float outside.  The other </w:t>
      </w:r>
      <w:r w:rsidR="001C56FD">
        <w:rPr>
          <w:rFonts w:ascii="Times New Roman" w:hAnsi="Times New Roman" w:cs="Times New Roman"/>
          <w:sz w:val="24"/>
          <w:szCs w:val="24"/>
        </w:rPr>
        <w:t>paginated papers</w:t>
      </w:r>
      <w:r>
        <w:rPr>
          <w:rFonts w:ascii="Times New Roman" w:hAnsi="Times New Roman" w:cs="Times New Roman"/>
          <w:sz w:val="24"/>
          <w:szCs w:val="24"/>
        </w:rPr>
        <w:t>.  The hearing would have to be postponed or held over so that the pag</w:t>
      </w:r>
      <w:r w:rsidR="00A30B36">
        <w:rPr>
          <w:rFonts w:ascii="Times New Roman" w:hAnsi="Times New Roman" w:cs="Times New Roman"/>
          <w:sz w:val="24"/>
          <w:szCs w:val="24"/>
        </w:rPr>
        <w:t>ination</w:t>
      </w:r>
      <w:r w:rsidR="001C56FD">
        <w:rPr>
          <w:rFonts w:ascii="Times New Roman" w:hAnsi="Times New Roman" w:cs="Times New Roman"/>
          <w:sz w:val="24"/>
          <w:szCs w:val="24"/>
        </w:rPr>
        <w:t xml:space="preserve"> </w:t>
      </w:r>
      <w:r w:rsidR="00915E16">
        <w:rPr>
          <w:rFonts w:ascii="Times New Roman" w:hAnsi="Times New Roman" w:cs="Times New Roman"/>
          <w:sz w:val="24"/>
          <w:szCs w:val="24"/>
        </w:rPr>
        <w:t>is corrected i</w:t>
      </w:r>
      <w:r>
        <w:rPr>
          <w:rFonts w:ascii="Times New Roman" w:hAnsi="Times New Roman" w:cs="Times New Roman"/>
          <w:sz w:val="24"/>
          <w:szCs w:val="24"/>
        </w:rPr>
        <w:t>f the other party has no objection.  The party at fault should depending on the circumstances of each case and the discretion of the court shoulder wasted costs.  In the case of a represented litigant consideration may be given to ordering counsel who filed ineligible documents to personally pay the wasted costs.</w:t>
      </w:r>
    </w:p>
    <w:p w:rsidR="00912DB4" w:rsidRDefault="00D86923" w:rsidP="00D869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12DB4">
        <w:rPr>
          <w:rFonts w:ascii="Times New Roman" w:hAnsi="Times New Roman" w:cs="Times New Roman"/>
          <w:sz w:val="24"/>
          <w:szCs w:val="24"/>
        </w:rPr>
        <w:t>The digression on ineligible documents filed in court aside, in this application, it was common cause that the notice of appeal was timeously filed.  No issues arose therefrom.  The grounds of appeal are four in number and are listed in the notice of appeal as:</w:t>
      </w:r>
    </w:p>
    <w:p w:rsidR="00912DB4" w:rsidRPr="00BF6EFE" w:rsidRDefault="00BF6EFE" w:rsidP="00BF6EFE">
      <w:pPr>
        <w:spacing w:line="240" w:lineRule="auto"/>
        <w:jc w:val="both"/>
        <w:rPr>
          <w:rFonts w:ascii="Times New Roman" w:hAnsi="Times New Roman" w:cs="Times New Roman"/>
        </w:rPr>
      </w:pPr>
      <w:r>
        <w:rPr>
          <w:rFonts w:ascii="Times New Roman" w:hAnsi="Times New Roman" w:cs="Times New Roman"/>
          <w:sz w:val="24"/>
          <w:szCs w:val="24"/>
        </w:rPr>
        <w:tab/>
      </w:r>
      <w:r w:rsidR="00912DB4" w:rsidRPr="00BF6EFE">
        <w:rPr>
          <w:rFonts w:ascii="Times New Roman" w:hAnsi="Times New Roman" w:cs="Times New Roman"/>
        </w:rPr>
        <w:t>“</w:t>
      </w:r>
      <w:r w:rsidR="00912DB4" w:rsidRPr="00BF6EFE">
        <w:rPr>
          <w:rFonts w:ascii="Times New Roman" w:hAnsi="Times New Roman" w:cs="Times New Roman"/>
          <w:b/>
          <w:u w:val="single"/>
        </w:rPr>
        <w:t>GROUND OF APPEAL</w:t>
      </w:r>
    </w:p>
    <w:p w:rsidR="00B0438E" w:rsidRPr="00BF6EFE" w:rsidRDefault="00BF6EFE" w:rsidP="00BF6EFE">
      <w:pPr>
        <w:spacing w:line="240" w:lineRule="auto"/>
        <w:jc w:val="both"/>
        <w:rPr>
          <w:rFonts w:ascii="Times New Roman" w:hAnsi="Times New Roman" w:cs="Times New Roman"/>
        </w:rPr>
      </w:pPr>
      <w:r w:rsidRPr="00BF6EFE">
        <w:rPr>
          <w:rFonts w:ascii="Times New Roman" w:hAnsi="Times New Roman" w:cs="Times New Roman"/>
        </w:rPr>
        <w:tab/>
      </w:r>
      <w:r w:rsidR="00B0438E" w:rsidRPr="00BF6EFE">
        <w:rPr>
          <w:rFonts w:ascii="Times New Roman" w:hAnsi="Times New Roman" w:cs="Times New Roman"/>
        </w:rPr>
        <w:t>The appeal is founded on the following grounds</w:t>
      </w:r>
      <w:r w:rsidRPr="00BF6EFE">
        <w:rPr>
          <w:rFonts w:ascii="Times New Roman" w:hAnsi="Times New Roman" w:cs="Times New Roman"/>
        </w:rPr>
        <w:t>:-</w:t>
      </w:r>
    </w:p>
    <w:p w:rsidR="00BF6EFE" w:rsidRPr="00BF6EFE" w:rsidRDefault="00BF6EFE" w:rsidP="00BF6EFE">
      <w:pPr>
        <w:pStyle w:val="ListParagraph"/>
        <w:numPr>
          <w:ilvl w:val="0"/>
          <w:numId w:val="2"/>
        </w:numPr>
        <w:spacing w:line="240" w:lineRule="auto"/>
        <w:jc w:val="both"/>
        <w:rPr>
          <w:rFonts w:ascii="Times New Roman" w:hAnsi="Times New Roman" w:cs="Times New Roman"/>
        </w:rPr>
      </w:pPr>
      <w:r w:rsidRPr="00BF6EFE">
        <w:rPr>
          <w:rFonts w:ascii="Times New Roman" w:hAnsi="Times New Roman" w:cs="Times New Roman"/>
        </w:rPr>
        <w:t xml:space="preserve">The court </w:t>
      </w:r>
      <w:r w:rsidRPr="00BF6EFE">
        <w:rPr>
          <w:rFonts w:ascii="Times New Roman" w:hAnsi="Times New Roman" w:cs="Times New Roman"/>
          <w:i/>
        </w:rPr>
        <w:t>a quo</w:t>
      </w:r>
      <w:r w:rsidRPr="00BF6EFE">
        <w:rPr>
          <w:rFonts w:ascii="Times New Roman" w:hAnsi="Times New Roman" w:cs="Times New Roman"/>
        </w:rPr>
        <w:t xml:space="preserve"> erred and misdirected itself in granting a claim for </w:t>
      </w:r>
      <w:r w:rsidRPr="00BF6EFE">
        <w:rPr>
          <w:rFonts w:ascii="Times New Roman" w:hAnsi="Times New Roman" w:cs="Times New Roman"/>
          <w:i/>
        </w:rPr>
        <w:t>actio rei</w:t>
      </w:r>
      <w:r w:rsidRPr="00BF6EFE">
        <w:rPr>
          <w:rFonts w:ascii="Times New Roman" w:hAnsi="Times New Roman" w:cs="Times New Roman"/>
        </w:rPr>
        <w:t xml:space="preserve"> </w:t>
      </w:r>
      <w:r w:rsidRPr="00BF6EFE">
        <w:rPr>
          <w:rFonts w:ascii="Times New Roman" w:hAnsi="Times New Roman" w:cs="Times New Roman"/>
          <w:i/>
        </w:rPr>
        <w:t xml:space="preserve">vindicatio </w:t>
      </w:r>
      <w:r w:rsidRPr="00BF6EFE">
        <w:rPr>
          <w:rFonts w:ascii="Times New Roman" w:hAnsi="Times New Roman" w:cs="Times New Roman"/>
        </w:rPr>
        <w:t>in a matter where a valid lease existed between the parties.</w:t>
      </w:r>
    </w:p>
    <w:p w:rsidR="00BF6EFE" w:rsidRPr="00BF6EFE" w:rsidRDefault="00BF6EFE" w:rsidP="00BF6EFE">
      <w:pPr>
        <w:pStyle w:val="ListParagraph"/>
        <w:numPr>
          <w:ilvl w:val="0"/>
          <w:numId w:val="2"/>
        </w:numPr>
        <w:spacing w:line="240" w:lineRule="auto"/>
        <w:jc w:val="both"/>
        <w:rPr>
          <w:rFonts w:ascii="Times New Roman" w:hAnsi="Times New Roman" w:cs="Times New Roman"/>
        </w:rPr>
      </w:pPr>
      <w:r w:rsidRPr="00BF6EFE">
        <w:rPr>
          <w:rFonts w:ascii="Times New Roman" w:hAnsi="Times New Roman" w:cs="Times New Roman"/>
        </w:rPr>
        <w:t xml:space="preserve">The court </w:t>
      </w:r>
      <w:r w:rsidRPr="00BF6EFE">
        <w:rPr>
          <w:rFonts w:ascii="Times New Roman" w:hAnsi="Times New Roman" w:cs="Times New Roman"/>
          <w:i/>
        </w:rPr>
        <w:t>a quo</w:t>
      </w:r>
      <w:r w:rsidRPr="00BF6EFE">
        <w:rPr>
          <w:rFonts w:ascii="Times New Roman" w:hAnsi="Times New Roman" w:cs="Times New Roman"/>
        </w:rPr>
        <w:t xml:space="preserve"> erred and misdirected itself in granting the Respondent’s claim without addressing the aspect of letters from the City of Harare that contradicted as to the status of the building</w:t>
      </w:r>
    </w:p>
    <w:p w:rsidR="00BF6EFE" w:rsidRPr="00BF6EFE" w:rsidRDefault="00BF6EFE" w:rsidP="00BF6EFE">
      <w:pPr>
        <w:pStyle w:val="ListParagraph"/>
        <w:numPr>
          <w:ilvl w:val="0"/>
          <w:numId w:val="2"/>
        </w:numPr>
        <w:spacing w:line="240" w:lineRule="auto"/>
        <w:jc w:val="both"/>
        <w:rPr>
          <w:rFonts w:ascii="Times New Roman" w:hAnsi="Times New Roman" w:cs="Times New Roman"/>
        </w:rPr>
      </w:pPr>
      <w:r w:rsidRPr="00BF6EFE">
        <w:rPr>
          <w:rFonts w:ascii="Times New Roman" w:hAnsi="Times New Roman" w:cs="Times New Roman"/>
        </w:rPr>
        <w:t xml:space="preserve">The court </w:t>
      </w:r>
      <w:r w:rsidRPr="00BF6EFE">
        <w:rPr>
          <w:rFonts w:ascii="Times New Roman" w:hAnsi="Times New Roman" w:cs="Times New Roman"/>
          <w:i/>
        </w:rPr>
        <w:t>a quo</w:t>
      </w:r>
      <w:r w:rsidRPr="00BF6EFE">
        <w:rPr>
          <w:rFonts w:ascii="Times New Roman" w:hAnsi="Times New Roman" w:cs="Times New Roman"/>
        </w:rPr>
        <w:t xml:space="preserve"> erred and misdirected itself in disregarding that Appellant’s evidence to the effect that new tenants had actually been offered leases well after the Appellant had been a notice thereby contradicting the Respondent’s position that, it required the building to carry out renovations</w:t>
      </w:r>
    </w:p>
    <w:p w:rsidR="00BF6EFE" w:rsidRPr="00BF6EFE" w:rsidRDefault="00BF6EFE" w:rsidP="00BF6EFE">
      <w:pPr>
        <w:pStyle w:val="ListParagraph"/>
        <w:numPr>
          <w:ilvl w:val="0"/>
          <w:numId w:val="2"/>
        </w:numPr>
        <w:spacing w:line="240" w:lineRule="auto"/>
        <w:jc w:val="both"/>
        <w:rPr>
          <w:rFonts w:ascii="Times New Roman" w:hAnsi="Times New Roman" w:cs="Times New Roman"/>
        </w:rPr>
      </w:pPr>
      <w:r w:rsidRPr="00BF6EFE">
        <w:rPr>
          <w:rFonts w:ascii="Times New Roman" w:hAnsi="Times New Roman" w:cs="Times New Roman"/>
        </w:rPr>
        <w:t xml:space="preserve">The court </w:t>
      </w:r>
      <w:r w:rsidRPr="00BF6EFE">
        <w:rPr>
          <w:rFonts w:ascii="Times New Roman" w:hAnsi="Times New Roman" w:cs="Times New Roman"/>
          <w:i/>
        </w:rPr>
        <w:t>a quo</w:t>
      </w:r>
      <w:r w:rsidRPr="00BF6EFE">
        <w:rPr>
          <w:rFonts w:ascii="Times New Roman" w:hAnsi="Times New Roman" w:cs="Times New Roman"/>
        </w:rPr>
        <w:t xml:space="preserve"> erred and misdirected itself in placing the ……..on the Defendant to prove that other tenants occupying other parts of the same premises were not given notices to vacate the premises when it was the Respondent’s obligation to prove that it had not selectively issued notices as the whole building was due for renovations as per its notice to the Appellant.”</w:t>
      </w:r>
    </w:p>
    <w:p w:rsidR="00BF6EFE" w:rsidRDefault="00BD3835" w:rsidP="00D869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F6EFE">
        <w:rPr>
          <w:rFonts w:ascii="Times New Roman" w:hAnsi="Times New Roman" w:cs="Times New Roman"/>
          <w:sz w:val="24"/>
          <w:szCs w:val="24"/>
        </w:rPr>
        <w:t xml:space="preserve">The </w:t>
      </w:r>
      <w:r w:rsidR="003052C9">
        <w:rPr>
          <w:rFonts w:ascii="Times New Roman" w:hAnsi="Times New Roman" w:cs="Times New Roman"/>
          <w:sz w:val="24"/>
          <w:szCs w:val="24"/>
        </w:rPr>
        <w:t xml:space="preserve">applicant upon being served </w:t>
      </w:r>
      <w:r>
        <w:rPr>
          <w:rFonts w:ascii="Times New Roman" w:hAnsi="Times New Roman" w:cs="Times New Roman"/>
          <w:sz w:val="24"/>
          <w:szCs w:val="24"/>
        </w:rPr>
        <w:t xml:space="preserve">with the </w:t>
      </w:r>
      <w:r w:rsidR="00915E16">
        <w:rPr>
          <w:rFonts w:ascii="Times New Roman" w:hAnsi="Times New Roman" w:cs="Times New Roman"/>
          <w:sz w:val="24"/>
          <w:szCs w:val="24"/>
        </w:rPr>
        <w:t>notice of appeal considered the grounds of appeal</w:t>
      </w:r>
      <w:r>
        <w:rPr>
          <w:rFonts w:ascii="Times New Roman" w:hAnsi="Times New Roman" w:cs="Times New Roman"/>
          <w:sz w:val="24"/>
          <w:szCs w:val="24"/>
        </w:rPr>
        <w:t xml:space="preserve"> to be without merit and that there were no</w:t>
      </w:r>
      <w:r w:rsidR="00915E16">
        <w:rPr>
          <w:rFonts w:ascii="Times New Roman" w:hAnsi="Times New Roman" w:cs="Times New Roman"/>
          <w:sz w:val="24"/>
          <w:szCs w:val="24"/>
        </w:rPr>
        <w:t xml:space="preserve"> reasonable</w:t>
      </w:r>
      <w:r>
        <w:rPr>
          <w:rFonts w:ascii="Times New Roman" w:hAnsi="Times New Roman" w:cs="Times New Roman"/>
          <w:sz w:val="24"/>
          <w:szCs w:val="24"/>
        </w:rPr>
        <w:t xml:space="preserve"> prospects that the Supreme Court would set </w:t>
      </w:r>
      <w:r>
        <w:rPr>
          <w:rFonts w:ascii="Times New Roman" w:hAnsi="Times New Roman" w:cs="Times New Roman"/>
          <w:sz w:val="24"/>
          <w:szCs w:val="24"/>
        </w:rPr>
        <w:lastRenderedPageBreak/>
        <w:t>aside judgment HH 898/22.  The applicant was consequently advised to file this application for an order to execute judgment HH 898/22 pending the determination of the pending a</w:t>
      </w:r>
      <w:r w:rsidR="00D806C5">
        <w:rPr>
          <w:rFonts w:ascii="Times New Roman" w:hAnsi="Times New Roman" w:cs="Times New Roman"/>
          <w:sz w:val="24"/>
          <w:szCs w:val="24"/>
        </w:rPr>
        <w:t>ppeal No. SC 2/2003.  That sums</w:t>
      </w:r>
      <w:r>
        <w:rPr>
          <w:rFonts w:ascii="Times New Roman" w:hAnsi="Times New Roman" w:cs="Times New Roman"/>
          <w:sz w:val="24"/>
          <w:szCs w:val="24"/>
        </w:rPr>
        <w:t xml:space="preserve"> up the background to this application.</w:t>
      </w:r>
    </w:p>
    <w:p w:rsidR="00BD3835" w:rsidRDefault="00BD3835" w:rsidP="00D869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law that governs an application for leave to execute pending appeal is settled.  In the case of </w:t>
      </w:r>
      <w:r w:rsidRPr="0027042D">
        <w:rPr>
          <w:rFonts w:ascii="Times New Roman" w:hAnsi="Times New Roman" w:cs="Times New Roman"/>
          <w:i/>
          <w:sz w:val="24"/>
          <w:szCs w:val="24"/>
        </w:rPr>
        <w:t>Netone Cellular (Pvt) Ltd</w:t>
      </w:r>
      <w:r>
        <w:rPr>
          <w:rFonts w:ascii="Times New Roman" w:hAnsi="Times New Roman" w:cs="Times New Roman"/>
          <w:sz w:val="24"/>
          <w:szCs w:val="24"/>
        </w:rPr>
        <w:t xml:space="preserve"> </w:t>
      </w:r>
      <w:r w:rsidR="0027042D">
        <w:rPr>
          <w:rFonts w:ascii="Times New Roman" w:hAnsi="Times New Roman" w:cs="Times New Roman"/>
          <w:sz w:val="24"/>
          <w:szCs w:val="24"/>
        </w:rPr>
        <w:t>v</w:t>
      </w:r>
      <w:r>
        <w:rPr>
          <w:rFonts w:ascii="Times New Roman" w:hAnsi="Times New Roman" w:cs="Times New Roman"/>
          <w:sz w:val="24"/>
          <w:szCs w:val="24"/>
        </w:rPr>
        <w:t xml:space="preserve"> </w:t>
      </w:r>
      <w:r w:rsidRPr="0027042D">
        <w:rPr>
          <w:rFonts w:ascii="Times New Roman" w:hAnsi="Times New Roman" w:cs="Times New Roman"/>
          <w:i/>
          <w:sz w:val="24"/>
          <w:szCs w:val="24"/>
        </w:rPr>
        <w:t>56</w:t>
      </w:r>
      <w:r w:rsidR="0027042D" w:rsidRPr="0027042D">
        <w:rPr>
          <w:rFonts w:ascii="Times New Roman" w:hAnsi="Times New Roman" w:cs="Times New Roman"/>
          <w:i/>
          <w:sz w:val="24"/>
          <w:szCs w:val="24"/>
        </w:rPr>
        <w:t xml:space="preserve"> </w:t>
      </w:r>
      <w:r w:rsidRPr="0027042D">
        <w:rPr>
          <w:rFonts w:ascii="Times New Roman" w:hAnsi="Times New Roman" w:cs="Times New Roman"/>
          <w:i/>
          <w:sz w:val="24"/>
          <w:szCs w:val="24"/>
        </w:rPr>
        <w:t>Netone Employees 2</w:t>
      </w:r>
      <w:r>
        <w:rPr>
          <w:rFonts w:ascii="Times New Roman" w:hAnsi="Times New Roman" w:cs="Times New Roman"/>
          <w:sz w:val="24"/>
          <w:szCs w:val="24"/>
        </w:rPr>
        <w:t xml:space="preserve">005(1) </w:t>
      </w:r>
      <w:r w:rsidR="0027042D">
        <w:rPr>
          <w:rFonts w:ascii="Times New Roman" w:hAnsi="Times New Roman" w:cs="Times New Roman"/>
          <w:sz w:val="24"/>
          <w:szCs w:val="24"/>
        </w:rPr>
        <w:t xml:space="preserve">ZLR 275(5) </w:t>
      </w:r>
      <w:r w:rsidR="0027042D" w:rsidRPr="0027042D">
        <w:rPr>
          <w:rFonts w:ascii="Times New Roman" w:hAnsi="Times New Roman" w:cs="Times New Roman"/>
          <w:smallCaps/>
          <w:sz w:val="24"/>
          <w:szCs w:val="24"/>
        </w:rPr>
        <w:t>Chidyausiku</w:t>
      </w:r>
      <w:r w:rsidR="0027042D">
        <w:rPr>
          <w:rFonts w:ascii="Times New Roman" w:hAnsi="Times New Roman" w:cs="Times New Roman"/>
          <w:sz w:val="24"/>
          <w:szCs w:val="24"/>
        </w:rPr>
        <w:t xml:space="preserve"> CJ interrogated </w:t>
      </w:r>
      <w:r w:rsidR="00D86923">
        <w:rPr>
          <w:rFonts w:ascii="Times New Roman" w:hAnsi="Times New Roman" w:cs="Times New Roman"/>
          <w:sz w:val="24"/>
          <w:szCs w:val="24"/>
        </w:rPr>
        <w:t>the principles which govern the determination of an application for leave to execute a judgment pending appeal.  The learned Chief Justice stated at p 280 H-281 D.</w:t>
      </w:r>
    </w:p>
    <w:p w:rsidR="00FE4D67" w:rsidRDefault="000B7978" w:rsidP="000B7978">
      <w:pPr>
        <w:spacing w:after="0" w:line="240" w:lineRule="auto"/>
        <w:jc w:val="both"/>
        <w:rPr>
          <w:rFonts w:ascii="Times New Roman" w:hAnsi="Times New Roman" w:cs="Times New Roman"/>
        </w:rPr>
      </w:pPr>
      <w:r>
        <w:rPr>
          <w:rFonts w:ascii="Times New Roman" w:hAnsi="Times New Roman" w:cs="Times New Roman"/>
        </w:rPr>
        <w:tab/>
      </w:r>
      <w:r w:rsidR="00D86923" w:rsidRPr="000B7978">
        <w:rPr>
          <w:rFonts w:ascii="Times New Roman" w:hAnsi="Times New Roman" w:cs="Times New Roman"/>
        </w:rPr>
        <w:t xml:space="preserve">“……The court to which application for leave to execute </w:t>
      </w:r>
      <w:r w:rsidR="00CE3917" w:rsidRPr="000B7978">
        <w:rPr>
          <w:rFonts w:ascii="Times New Roman" w:hAnsi="Times New Roman" w:cs="Times New Roman"/>
        </w:rPr>
        <w:t>is made has a wide</w:t>
      </w:r>
      <w:r w:rsidR="00234E87">
        <w:rPr>
          <w:rFonts w:ascii="Times New Roman" w:hAnsi="Times New Roman" w:cs="Times New Roman"/>
        </w:rPr>
        <w:t xml:space="preserve"> general</w:t>
      </w:r>
      <w:r w:rsidR="00CE3917" w:rsidRPr="000B7978">
        <w:rPr>
          <w:rFonts w:ascii="Times New Roman" w:hAnsi="Times New Roman" w:cs="Times New Roman"/>
        </w:rPr>
        <w:t xml:space="preserve"> discretion to </w:t>
      </w:r>
    </w:p>
    <w:p w:rsidR="00D86923" w:rsidRPr="000B7978" w:rsidRDefault="00D806C5" w:rsidP="00FE4D67">
      <w:pPr>
        <w:spacing w:after="0" w:line="240" w:lineRule="auto"/>
        <w:ind w:firstLine="720"/>
        <w:jc w:val="both"/>
        <w:rPr>
          <w:rFonts w:ascii="Times New Roman" w:hAnsi="Times New Roman" w:cs="Times New Roman"/>
        </w:rPr>
      </w:pPr>
      <w:r>
        <w:rPr>
          <w:rFonts w:ascii="Times New Roman" w:hAnsi="Times New Roman" w:cs="Times New Roman"/>
        </w:rPr>
        <w:t xml:space="preserve">grant </w:t>
      </w:r>
      <w:r w:rsidR="00CE3917" w:rsidRPr="000B7978">
        <w:rPr>
          <w:rFonts w:ascii="Times New Roman" w:hAnsi="Times New Roman" w:cs="Times New Roman"/>
        </w:rPr>
        <w:t>o</w:t>
      </w:r>
      <w:r>
        <w:rPr>
          <w:rFonts w:ascii="Times New Roman" w:hAnsi="Times New Roman" w:cs="Times New Roman"/>
        </w:rPr>
        <w:t>r</w:t>
      </w:r>
      <w:r w:rsidR="00CE3917" w:rsidRPr="000B7978">
        <w:rPr>
          <w:rFonts w:ascii="Times New Roman" w:hAnsi="Times New Roman" w:cs="Times New Roman"/>
        </w:rPr>
        <w:t xml:space="preserve"> refuse leave and, if leave be granted, to determine conditions upon which the right shall be </w:t>
      </w:r>
      <w:r w:rsidR="000B7978">
        <w:rPr>
          <w:rFonts w:ascii="Times New Roman" w:hAnsi="Times New Roman" w:cs="Times New Roman"/>
        </w:rPr>
        <w:tab/>
      </w:r>
      <w:r w:rsidR="00CE3917" w:rsidRPr="000B7978">
        <w:rPr>
          <w:rFonts w:ascii="Times New Roman" w:hAnsi="Times New Roman" w:cs="Times New Roman"/>
        </w:rPr>
        <w:t xml:space="preserve">exercised.  See Voet 49-7.3; </w:t>
      </w:r>
      <w:r w:rsidR="00CE3917" w:rsidRPr="001460D4">
        <w:rPr>
          <w:rFonts w:ascii="Times New Roman" w:hAnsi="Times New Roman" w:cs="Times New Roman"/>
          <w:i/>
        </w:rPr>
        <w:t>Ruby’s Cash Store (Pvt) Ltd</w:t>
      </w:r>
      <w:r w:rsidR="00CE3917" w:rsidRPr="000B7978">
        <w:rPr>
          <w:rFonts w:ascii="Times New Roman" w:hAnsi="Times New Roman" w:cs="Times New Roman"/>
        </w:rPr>
        <w:t xml:space="preserve"> v </w:t>
      </w:r>
      <w:r w:rsidR="00CE3917" w:rsidRPr="001460D4">
        <w:rPr>
          <w:rFonts w:ascii="Times New Roman" w:hAnsi="Times New Roman" w:cs="Times New Roman"/>
          <w:i/>
        </w:rPr>
        <w:t>Estate Marks and</w:t>
      </w:r>
      <w:r w:rsidR="00CE3917" w:rsidRPr="000B7978">
        <w:rPr>
          <w:rFonts w:ascii="Times New Roman" w:hAnsi="Times New Roman" w:cs="Times New Roman"/>
        </w:rPr>
        <w:t xml:space="preserve"> Anor supa at 127.  </w:t>
      </w:r>
      <w:r w:rsidR="000B7978">
        <w:rPr>
          <w:rFonts w:ascii="Times New Roman" w:hAnsi="Times New Roman" w:cs="Times New Roman"/>
        </w:rPr>
        <w:tab/>
      </w:r>
      <w:r w:rsidR="00CE3917" w:rsidRPr="000B7978">
        <w:rPr>
          <w:rFonts w:ascii="Times New Roman" w:hAnsi="Times New Roman" w:cs="Times New Roman"/>
        </w:rPr>
        <w:t xml:space="preserve">This discretion is part and parcel of the inherent jurisdiction which the court has to control its </w:t>
      </w:r>
      <w:r w:rsidR="000B7978">
        <w:rPr>
          <w:rFonts w:ascii="Times New Roman" w:hAnsi="Times New Roman" w:cs="Times New Roman"/>
        </w:rPr>
        <w:tab/>
      </w:r>
      <w:r w:rsidR="00CE3917" w:rsidRPr="000B7978">
        <w:rPr>
          <w:rFonts w:ascii="Times New Roman" w:hAnsi="Times New Roman" w:cs="Times New Roman"/>
        </w:rPr>
        <w:t xml:space="preserve">judgments </w:t>
      </w:r>
      <w:r w:rsidR="00CE3917" w:rsidRPr="000B7978">
        <w:rPr>
          <w:rFonts w:ascii="Times New Roman" w:hAnsi="Times New Roman" w:cs="Times New Roman"/>
          <w:i/>
        </w:rPr>
        <w:t>CF Fismer</w:t>
      </w:r>
      <w:r w:rsidR="00CE3917" w:rsidRPr="000B7978">
        <w:rPr>
          <w:rFonts w:ascii="Times New Roman" w:hAnsi="Times New Roman" w:cs="Times New Roman"/>
        </w:rPr>
        <w:t xml:space="preserve"> v </w:t>
      </w:r>
      <w:r w:rsidR="00CE3917" w:rsidRPr="000B7978">
        <w:rPr>
          <w:rFonts w:ascii="Times New Roman" w:hAnsi="Times New Roman" w:cs="Times New Roman"/>
          <w:i/>
        </w:rPr>
        <w:t>Thorntoa</w:t>
      </w:r>
      <w:r w:rsidR="00CE3917" w:rsidRPr="000B7978">
        <w:rPr>
          <w:rFonts w:ascii="Times New Roman" w:hAnsi="Times New Roman" w:cs="Times New Roman"/>
        </w:rPr>
        <w:t xml:space="preserve">.  In exercising this discretion, the court should, in my view, </w:t>
      </w:r>
      <w:r w:rsidR="000B7978">
        <w:rPr>
          <w:rFonts w:ascii="Times New Roman" w:hAnsi="Times New Roman" w:cs="Times New Roman"/>
        </w:rPr>
        <w:tab/>
      </w:r>
      <w:r w:rsidR="00CE3917" w:rsidRPr="000B7978">
        <w:rPr>
          <w:rFonts w:ascii="Times New Roman" w:hAnsi="Times New Roman" w:cs="Times New Roman"/>
        </w:rPr>
        <w:t xml:space="preserve">determine what is just and equitable in all the circumstances and, in doing so would normally have </w:t>
      </w:r>
      <w:r w:rsidR="000B7978">
        <w:rPr>
          <w:rFonts w:ascii="Times New Roman" w:hAnsi="Times New Roman" w:cs="Times New Roman"/>
        </w:rPr>
        <w:tab/>
      </w:r>
      <w:r w:rsidR="00CE3917" w:rsidRPr="000B7978">
        <w:rPr>
          <w:rFonts w:ascii="Times New Roman" w:hAnsi="Times New Roman" w:cs="Times New Roman"/>
        </w:rPr>
        <w:t xml:space="preserve">regard, </w:t>
      </w:r>
      <w:r w:rsidR="00CE3917" w:rsidRPr="000B7978">
        <w:rPr>
          <w:rFonts w:ascii="Times New Roman" w:hAnsi="Times New Roman" w:cs="Times New Roman"/>
          <w:i/>
        </w:rPr>
        <w:t>inter alia</w:t>
      </w:r>
      <w:r w:rsidR="00CE3917" w:rsidRPr="000B7978">
        <w:rPr>
          <w:rFonts w:ascii="Times New Roman" w:hAnsi="Times New Roman" w:cs="Times New Roman"/>
        </w:rPr>
        <w:t xml:space="preserve"> to the following factors:</w:t>
      </w:r>
    </w:p>
    <w:p w:rsidR="00CE3917" w:rsidRPr="000B7978" w:rsidRDefault="000B7978" w:rsidP="000B7978">
      <w:pPr>
        <w:spacing w:after="0" w:line="240" w:lineRule="auto"/>
        <w:jc w:val="both"/>
        <w:rPr>
          <w:rFonts w:ascii="Times New Roman" w:hAnsi="Times New Roman" w:cs="Times New Roman"/>
        </w:rPr>
      </w:pPr>
      <w:r>
        <w:rPr>
          <w:rFonts w:ascii="Times New Roman" w:hAnsi="Times New Roman" w:cs="Times New Roman"/>
        </w:rPr>
        <w:tab/>
      </w:r>
      <w:r w:rsidR="00CE3917" w:rsidRPr="000B7978">
        <w:rPr>
          <w:rFonts w:ascii="Times New Roman" w:hAnsi="Times New Roman" w:cs="Times New Roman"/>
        </w:rPr>
        <w:t>(</w:t>
      </w:r>
      <w:r w:rsidR="00E82D8C" w:rsidRPr="000B7978">
        <w:rPr>
          <w:rFonts w:ascii="Times New Roman" w:hAnsi="Times New Roman" w:cs="Times New Roman"/>
        </w:rPr>
        <w:t>1</w:t>
      </w:r>
      <w:r w:rsidR="00CE3917" w:rsidRPr="000B7978">
        <w:rPr>
          <w:rFonts w:ascii="Times New Roman" w:hAnsi="Times New Roman" w:cs="Times New Roman"/>
        </w:rPr>
        <w:t xml:space="preserve">) the potentiality of irreparable harm or prejudice being sustained by the appellant an appeal </w:t>
      </w:r>
      <w:r>
        <w:rPr>
          <w:rFonts w:ascii="Times New Roman" w:hAnsi="Times New Roman" w:cs="Times New Roman"/>
        </w:rPr>
        <w:tab/>
      </w:r>
      <w:r w:rsidR="00CE3917" w:rsidRPr="000B7978">
        <w:rPr>
          <w:rFonts w:ascii="Times New Roman" w:hAnsi="Times New Roman" w:cs="Times New Roman"/>
        </w:rPr>
        <w:t>(respondent in the application) if leave to execute were to be granted</w:t>
      </w:r>
      <w:r w:rsidR="00891B77" w:rsidRPr="000B7978">
        <w:rPr>
          <w:rFonts w:ascii="Times New Roman" w:hAnsi="Times New Roman" w:cs="Times New Roman"/>
        </w:rPr>
        <w:t>.</w:t>
      </w:r>
    </w:p>
    <w:p w:rsidR="00E82D8C" w:rsidRPr="000B7978" w:rsidRDefault="000B7978" w:rsidP="000B7978">
      <w:pPr>
        <w:spacing w:after="0" w:line="240" w:lineRule="auto"/>
        <w:jc w:val="both"/>
        <w:rPr>
          <w:rFonts w:ascii="Times New Roman" w:hAnsi="Times New Roman" w:cs="Times New Roman"/>
        </w:rPr>
      </w:pPr>
      <w:r>
        <w:rPr>
          <w:rFonts w:ascii="Times New Roman" w:hAnsi="Times New Roman" w:cs="Times New Roman"/>
        </w:rPr>
        <w:tab/>
      </w:r>
      <w:r w:rsidR="00E82D8C" w:rsidRPr="000B7978">
        <w:rPr>
          <w:rFonts w:ascii="Times New Roman" w:hAnsi="Times New Roman" w:cs="Times New Roman"/>
        </w:rPr>
        <w:t xml:space="preserve">(2) the potentiality of irreparable harm or prejudice being sustained by the respondent an appeal </w:t>
      </w:r>
      <w:r>
        <w:rPr>
          <w:rFonts w:ascii="Times New Roman" w:hAnsi="Times New Roman" w:cs="Times New Roman"/>
        </w:rPr>
        <w:tab/>
      </w:r>
      <w:r w:rsidR="00E82D8C" w:rsidRPr="000B7978">
        <w:rPr>
          <w:rFonts w:ascii="Times New Roman" w:hAnsi="Times New Roman" w:cs="Times New Roman"/>
        </w:rPr>
        <w:t xml:space="preserve">(applicant in the application) if leave were to be refused </w:t>
      </w:r>
    </w:p>
    <w:p w:rsidR="00E82D8C" w:rsidRPr="000B7978" w:rsidRDefault="000B7978" w:rsidP="000B7978">
      <w:pPr>
        <w:spacing w:after="0" w:line="240" w:lineRule="auto"/>
        <w:jc w:val="both"/>
        <w:rPr>
          <w:rFonts w:ascii="Times New Roman" w:hAnsi="Times New Roman" w:cs="Times New Roman"/>
        </w:rPr>
      </w:pPr>
      <w:r>
        <w:rPr>
          <w:rFonts w:ascii="Times New Roman" w:hAnsi="Times New Roman" w:cs="Times New Roman"/>
        </w:rPr>
        <w:tab/>
      </w:r>
      <w:r w:rsidR="00E82D8C" w:rsidRPr="000B7978">
        <w:rPr>
          <w:rFonts w:ascii="Times New Roman" w:hAnsi="Times New Roman" w:cs="Times New Roman"/>
        </w:rPr>
        <w:t xml:space="preserve">(3) the prospects of success on appeal including more particularly the question as to whether the </w:t>
      </w:r>
      <w:r>
        <w:rPr>
          <w:rFonts w:ascii="Times New Roman" w:hAnsi="Times New Roman" w:cs="Times New Roman"/>
        </w:rPr>
        <w:tab/>
      </w:r>
      <w:r w:rsidR="00FE4D67">
        <w:rPr>
          <w:rFonts w:ascii="Times New Roman" w:hAnsi="Times New Roman" w:cs="Times New Roman"/>
        </w:rPr>
        <w:t xml:space="preserve">appeal is ………..vexatious </w:t>
      </w:r>
      <w:r w:rsidR="00E82D8C" w:rsidRPr="000B7978">
        <w:rPr>
          <w:rFonts w:ascii="Times New Roman" w:hAnsi="Times New Roman" w:cs="Times New Roman"/>
        </w:rPr>
        <w:t xml:space="preserve">or has been noted not with the </w:t>
      </w:r>
      <w:r w:rsidR="00E82D8C" w:rsidRPr="000B7978">
        <w:rPr>
          <w:rFonts w:ascii="Times New Roman" w:hAnsi="Times New Roman" w:cs="Times New Roman"/>
          <w:i/>
        </w:rPr>
        <w:t>bona fide</w:t>
      </w:r>
      <w:r w:rsidR="00E82D8C" w:rsidRPr="000B7978">
        <w:rPr>
          <w:rFonts w:ascii="Times New Roman" w:hAnsi="Times New Roman" w:cs="Times New Roman"/>
        </w:rPr>
        <w:t xml:space="preserve"> intention of seeking to reverse </w:t>
      </w:r>
      <w:r>
        <w:rPr>
          <w:rFonts w:ascii="Times New Roman" w:hAnsi="Times New Roman" w:cs="Times New Roman"/>
        </w:rPr>
        <w:tab/>
      </w:r>
      <w:r w:rsidR="00E82D8C" w:rsidRPr="000B7978">
        <w:rPr>
          <w:rFonts w:ascii="Times New Roman" w:hAnsi="Times New Roman" w:cs="Times New Roman"/>
        </w:rPr>
        <w:t>the judgment but for some indirect purpose for example to gain time to harass the other party; and</w:t>
      </w:r>
    </w:p>
    <w:p w:rsidR="000B7978" w:rsidRPr="000B7978" w:rsidRDefault="000B7978" w:rsidP="000B7978">
      <w:pPr>
        <w:spacing w:after="0" w:line="240" w:lineRule="auto"/>
        <w:jc w:val="both"/>
        <w:rPr>
          <w:rFonts w:ascii="Times New Roman" w:hAnsi="Times New Roman" w:cs="Times New Roman"/>
        </w:rPr>
      </w:pPr>
      <w:r>
        <w:rPr>
          <w:rFonts w:ascii="Times New Roman" w:hAnsi="Times New Roman" w:cs="Times New Roman"/>
        </w:rPr>
        <w:tab/>
      </w:r>
      <w:r w:rsidR="00E82D8C" w:rsidRPr="000B7978">
        <w:rPr>
          <w:rFonts w:ascii="Times New Roman" w:hAnsi="Times New Roman" w:cs="Times New Roman"/>
        </w:rPr>
        <w:t xml:space="preserve">(4) where there is potentiality of irreparable harm or prejudice to both the appellant and respondent </w:t>
      </w:r>
      <w:r>
        <w:rPr>
          <w:rFonts w:ascii="Times New Roman" w:hAnsi="Times New Roman" w:cs="Times New Roman"/>
        </w:rPr>
        <w:tab/>
      </w:r>
      <w:r w:rsidR="00E82D8C" w:rsidRPr="000B7978">
        <w:rPr>
          <w:rFonts w:ascii="Times New Roman" w:hAnsi="Times New Roman" w:cs="Times New Roman"/>
        </w:rPr>
        <w:t>the balance of hardship or convenience, as the case may be”</w:t>
      </w:r>
    </w:p>
    <w:p w:rsidR="000B7978" w:rsidRDefault="000B7978" w:rsidP="00D86923">
      <w:pPr>
        <w:spacing w:after="0" w:line="360" w:lineRule="auto"/>
        <w:jc w:val="both"/>
        <w:rPr>
          <w:rFonts w:ascii="Times New Roman" w:hAnsi="Times New Roman" w:cs="Times New Roman"/>
          <w:sz w:val="24"/>
          <w:szCs w:val="24"/>
        </w:rPr>
      </w:pPr>
    </w:p>
    <w:p w:rsidR="00E82D8C" w:rsidRDefault="000B7978" w:rsidP="00D869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Various judgments of this court have taken the quoted guide.  </w:t>
      </w:r>
      <w:r w:rsidR="00C42095">
        <w:rPr>
          <w:rFonts w:ascii="Times New Roman" w:hAnsi="Times New Roman" w:cs="Times New Roman"/>
          <w:sz w:val="24"/>
          <w:szCs w:val="24"/>
        </w:rPr>
        <w:t>For example</w:t>
      </w:r>
      <w:r w:rsidR="008C0485">
        <w:rPr>
          <w:rFonts w:ascii="Times New Roman" w:hAnsi="Times New Roman" w:cs="Times New Roman"/>
          <w:sz w:val="24"/>
          <w:szCs w:val="24"/>
        </w:rPr>
        <w:t xml:space="preserve">: </w:t>
      </w:r>
      <w:r w:rsidR="008C0485" w:rsidRPr="008C0485">
        <w:rPr>
          <w:rFonts w:ascii="Times New Roman" w:hAnsi="Times New Roman" w:cs="Times New Roman"/>
          <w:i/>
          <w:sz w:val="24"/>
          <w:szCs w:val="24"/>
        </w:rPr>
        <w:t>Rensberg</w:t>
      </w:r>
      <w:r w:rsidR="008C0485">
        <w:rPr>
          <w:rFonts w:ascii="Times New Roman" w:hAnsi="Times New Roman" w:cs="Times New Roman"/>
          <w:sz w:val="24"/>
          <w:szCs w:val="24"/>
        </w:rPr>
        <w:t xml:space="preserve"> v </w:t>
      </w:r>
      <w:r w:rsidR="008C0485" w:rsidRPr="008C0485">
        <w:rPr>
          <w:rFonts w:ascii="Times New Roman" w:hAnsi="Times New Roman" w:cs="Times New Roman"/>
          <w:i/>
          <w:sz w:val="24"/>
          <w:szCs w:val="24"/>
        </w:rPr>
        <w:t xml:space="preserve">Ngirandu </w:t>
      </w:r>
      <w:r w:rsidR="008C0485">
        <w:rPr>
          <w:rFonts w:ascii="Times New Roman" w:hAnsi="Times New Roman" w:cs="Times New Roman"/>
          <w:sz w:val="24"/>
          <w:szCs w:val="24"/>
        </w:rPr>
        <w:t xml:space="preserve">and 3 Ors MTHC 12/21 </w:t>
      </w:r>
      <w:r w:rsidR="008C0485" w:rsidRPr="008C0485">
        <w:rPr>
          <w:rFonts w:ascii="Times New Roman" w:hAnsi="Times New Roman" w:cs="Times New Roman"/>
          <w:i/>
          <w:sz w:val="24"/>
          <w:szCs w:val="24"/>
        </w:rPr>
        <w:t>Nzara</w:t>
      </w:r>
      <w:r w:rsidR="008C0485">
        <w:rPr>
          <w:rFonts w:ascii="Times New Roman" w:hAnsi="Times New Roman" w:cs="Times New Roman"/>
          <w:sz w:val="24"/>
          <w:szCs w:val="24"/>
        </w:rPr>
        <w:t xml:space="preserve"> v </w:t>
      </w:r>
      <w:r w:rsidR="008C0485" w:rsidRPr="008C0485">
        <w:rPr>
          <w:rFonts w:ascii="Times New Roman" w:hAnsi="Times New Roman" w:cs="Times New Roman"/>
          <w:i/>
          <w:sz w:val="24"/>
          <w:szCs w:val="24"/>
        </w:rPr>
        <w:t>Tsanyare</w:t>
      </w:r>
      <w:r w:rsidR="008C0485">
        <w:rPr>
          <w:rFonts w:ascii="Times New Roman" w:hAnsi="Times New Roman" w:cs="Times New Roman"/>
          <w:sz w:val="24"/>
          <w:szCs w:val="24"/>
        </w:rPr>
        <w:t xml:space="preserve"> HH 303/14; </w:t>
      </w:r>
      <w:r w:rsidR="008C0485" w:rsidRPr="008C0485">
        <w:rPr>
          <w:rFonts w:ascii="Times New Roman" w:hAnsi="Times New Roman" w:cs="Times New Roman"/>
          <w:i/>
          <w:sz w:val="24"/>
          <w:szCs w:val="24"/>
        </w:rPr>
        <w:t>AFM</w:t>
      </w:r>
      <w:r w:rsidR="008C0485">
        <w:rPr>
          <w:rFonts w:ascii="Times New Roman" w:hAnsi="Times New Roman" w:cs="Times New Roman"/>
          <w:sz w:val="24"/>
          <w:szCs w:val="24"/>
        </w:rPr>
        <w:t xml:space="preserve"> v Chiangwa HH 626/21 </w:t>
      </w:r>
      <w:r w:rsidR="008C0485" w:rsidRPr="008C0485">
        <w:rPr>
          <w:rFonts w:ascii="Times New Roman" w:hAnsi="Times New Roman" w:cs="Times New Roman"/>
          <w:i/>
          <w:sz w:val="24"/>
          <w:szCs w:val="24"/>
        </w:rPr>
        <w:t>ZCFU</w:t>
      </w:r>
      <w:r w:rsidR="008C0485">
        <w:rPr>
          <w:rFonts w:ascii="Times New Roman" w:hAnsi="Times New Roman" w:cs="Times New Roman"/>
          <w:sz w:val="24"/>
          <w:szCs w:val="24"/>
        </w:rPr>
        <w:t xml:space="preserve"> v </w:t>
      </w:r>
      <w:r w:rsidR="008C0485" w:rsidRPr="008C0485">
        <w:rPr>
          <w:rFonts w:ascii="Times New Roman" w:hAnsi="Times New Roman" w:cs="Times New Roman"/>
          <w:i/>
          <w:sz w:val="24"/>
          <w:szCs w:val="24"/>
        </w:rPr>
        <w:t>Gambara</w:t>
      </w:r>
      <w:r w:rsidR="008C0485">
        <w:rPr>
          <w:rFonts w:ascii="Times New Roman" w:hAnsi="Times New Roman" w:cs="Times New Roman"/>
          <w:sz w:val="24"/>
          <w:szCs w:val="24"/>
        </w:rPr>
        <w:t xml:space="preserve"> HH 375/15.</w:t>
      </w:r>
    </w:p>
    <w:p w:rsidR="00C42095" w:rsidRDefault="005F0BBB" w:rsidP="00D869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42095">
        <w:rPr>
          <w:rFonts w:ascii="Times New Roman" w:hAnsi="Times New Roman" w:cs="Times New Roman"/>
          <w:sz w:val="24"/>
          <w:szCs w:val="24"/>
        </w:rPr>
        <w:t xml:space="preserve">From the listed factors which must be considered cumulatively (see </w:t>
      </w:r>
      <w:r w:rsidR="00C42095" w:rsidRPr="005F0BBB">
        <w:rPr>
          <w:rFonts w:ascii="Times New Roman" w:hAnsi="Times New Roman" w:cs="Times New Roman"/>
          <w:i/>
          <w:sz w:val="24"/>
          <w:szCs w:val="24"/>
        </w:rPr>
        <w:t>Amalgamated Rural Teachers</w:t>
      </w:r>
      <w:r w:rsidR="00C42095">
        <w:rPr>
          <w:rFonts w:ascii="Times New Roman" w:hAnsi="Times New Roman" w:cs="Times New Roman"/>
          <w:sz w:val="24"/>
          <w:szCs w:val="24"/>
        </w:rPr>
        <w:t xml:space="preserve"> </w:t>
      </w:r>
      <w:r w:rsidR="00C42095" w:rsidRPr="000F0470">
        <w:rPr>
          <w:rFonts w:ascii="Times New Roman" w:hAnsi="Times New Roman" w:cs="Times New Roman"/>
          <w:i/>
          <w:sz w:val="24"/>
          <w:szCs w:val="24"/>
        </w:rPr>
        <w:t>Union of Zimbabwe and Anor</w:t>
      </w:r>
      <w:r w:rsidR="00C42095">
        <w:rPr>
          <w:rFonts w:ascii="Times New Roman" w:hAnsi="Times New Roman" w:cs="Times New Roman"/>
          <w:sz w:val="24"/>
          <w:szCs w:val="24"/>
        </w:rPr>
        <w:t xml:space="preserve"> v </w:t>
      </w:r>
      <w:r w:rsidR="00C42095" w:rsidRPr="005F0BBB">
        <w:rPr>
          <w:rFonts w:ascii="Times New Roman" w:hAnsi="Times New Roman" w:cs="Times New Roman"/>
          <w:i/>
          <w:sz w:val="24"/>
          <w:szCs w:val="24"/>
        </w:rPr>
        <w:t xml:space="preserve">Zimbabwe </w:t>
      </w:r>
      <w:r w:rsidRPr="005F0BBB">
        <w:rPr>
          <w:rFonts w:ascii="Times New Roman" w:hAnsi="Times New Roman" w:cs="Times New Roman"/>
          <w:i/>
          <w:sz w:val="24"/>
          <w:szCs w:val="24"/>
        </w:rPr>
        <w:t>African National Union</w:t>
      </w:r>
      <w:r>
        <w:rPr>
          <w:rFonts w:ascii="Times New Roman" w:hAnsi="Times New Roman" w:cs="Times New Roman"/>
          <w:sz w:val="24"/>
          <w:szCs w:val="24"/>
        </w:rPr>
        <w:t xml:space="preserve"> HMA 37/18) the onus to establish on a balance of probabilities that it is fair and just for the court to grant an order of execution pending appeal lies on the applicant.  In respect of what constitutes irreparable harm, the circumstances and facts</w:t>
      </w:r>
      <w:r w:rsidR="00EB5849">
        <w:rPr>
          <w:rFonts w:ascii="Times New Roman" w:hAnsi="Times New Roman" w:cs="Times New Roman"/>
          <w:sz w:val="24"/>
          <w:szCs w:val="24"/>
        </w:rPr>
        <w:t xml:space="preserve"> of each case under consideration define the irreparable harm which the applicant or respondent as the case may be may potentia</w:t>
      </w:r>
      <w:r w:rsidR="00D806C5">
        <w:rPr>
          <w:rFonts w:ascii="Times New Roman" w:hAnsi="Times New Roman" w:cs="Times New Roman"/>
          <w:sz w:val="24"/>
          <w:szCs w:val="24"/>
        </w:rPr>
        <w:t>lly suffer.  By definition however</w:t>
      </w:r>
      <w:r w:rsidR="00EB5849">
        <w:rPr>
          <w:rFonts w:ascii="Times New Roman" w:hAnsi="Times New Roman" w:cs="Times New Roman"/>
          <w:sz w:val="24"/>
          <w:szCs w:val="24"/>
        </w:rPr>
        <w:t xml:space="preserve">, in the case of </w:t>
      </w:r>
      <w:r w:rsidR="00EB5849" w:rsidRPr="00A56D09">
        <w:rPr>
          <w:rFonts w:ascii="Times New Roman" w:hAnsi="Times New Roman" w:cs="Times New Roman"/>
          <w:i/>
          <w:sz w:val="24"/>
          <w:szCs w:val="24"/>
        </w:rPr>
        <w:t xml:space="preserve">Moller N.O and </w:t>
      </w:r>
      <w:r w:rsidR="00A56D09" w:rsidRPr="00A56D09">
        <w:rPr>
          <w:rFonts w:ascii="Times New Roman" w:hAnsi="Times New Roman" w:cs="Times New Roman"/>
          <w:i/>
          <w:sz w:val="24"/>
          <w:szCs w:val="24"/>
        </w:rPr>
        <w:t>Anor</w:t>
      </w:r>
      <w:r w:rsidR="00A56D09">
        <w:rPr>
          <w:rFonts w:ascii="Times New Roman" w:hAnsi="Times New Roman" w:cs="Times New Roman"/>
          <w:sz w:val="24"/>
          <w:szCs w:val="24"/>
        </w:rPr>
        <w:t xml:space="preserve"> v </w:t>
      </w:r>
      <w:r w:rsidR="00A56D09" w:rsidRPr="00A56D09">
        <w:rPr>
          <w:rFonts w:ascii="Times New Roman" w:hAnsi="Times New Roman" w:cs="Times New Roman"/>
          <w:i/>
          <w:sz w:val="24"/>
          <w:szCs w:val="24"/>
        </w:rPr>
        <w:t>Murray N O and Ors</w:t>
      </w:r>
      <w:r w:rsidR="00D806C5">
        <w:rPr>
          <w:rFonts w:ascii="Times New Roman" w:hAnsi="Times New Roman" w:cs="Times New Roman"/>
          <w:sz w:val="24"/>
          <w:szCs w:val="24"/>
        </w:rPr>
        <w:t xml:space="preserve"> Case No 2308/2021</w:t>
      </w:r>
      <w:r w:rsidR="00A00905">
        <w:rPr>
          <w:rFonts w:ascii="Times New Roman" w:hAnsi="Times New Roman" w:cs="Times New Roman"/>
          <w:sz w:val="24"/>
          <w:szCs w:val="24"/>
        </w:rPr>
        <w:t>, MASHILE</w:t>
      </w:r>
      <w:r w:rsidR="007F3E44">
        <w:rPr>
          <w:rFonts w:ascii="Times New Roman" w:hAnsi="Times New Roman" w:cs="Times New Roman"/>
          <w:sz w:val="24"/>
          <w:szCs w:val="24"/>
        </w:rPr>
        <w:t xml:space="preserve"> J sitting in the High Court at Mpumalanga, Mbombela, South Africa stated in para 16 p 7 of his cyclostyled judgment as follows in reference to defining “apprehension of irreparable harm” in the context of </w:t>
      </w:r>
      <w:r w:rsidR="007F3E44">
        <w:rPr>
          <w:rFonts w:ascii="Times New Roman" w:hAnsi="Times New Roman" w:cs="Times New Roman"/>
          <w:sz w:val="24"/>
          <w:szCs w:val="24"/>
        </w:rPr>
        <w:lastRenderedPageBreak/>
        <w:t xml:space="preserve">an application for an </w:t>
      </w:r>
      <w:r w:rsidR="00EC714D">
        <w:rPr>
          <w:rFonts w:ascii="Times New Roman" w:hAnsi="Times New Roman" w:cs="Times New Roman"/>
          <w:sz w:val="24"/>
          <w:szCs w:val="24"/>
        </w:rPr>
        <w:t>interim</w:t>
      </w:r>
      <w:r w:rsidR="007F3E44">
        <w:rPr>
          <w:rFonts w:ascii="Times New Roman" w:hAnsi="Times New Roman" w:cs="Times New Roman"/>
          <w:sz w:val="24"/>
          <w:szCs w:val="24"/>
        </w:rPr>
        <w:t xml:space="preserve"> interdict and I would say the definition aptly applies in this application:</w:t>
      </w:r>
    </w:p>
    <w:p w:rsidR="007F3E44" w:rsidRPr="00F95C24" w:rsidRDefault="00F95C24" w:rsidP="00F95C24">
      <w:pPr>
        <w:spacing w:after="0" w:line="240" w:lineRule="auto"/>
        <w:jc w:val="both"/>
        <w:rPr>
          <w:rFonts w:ascii="Times New Roman" w:hAnsi="Times New Roman" w:cs="Times New Roman"/>
        </w:rPr>
      </w:pPr>
      <w:r>
        <w:rPr>
          <w:rFonts w:ascii="Times New Roman" w:hAnsi="Times New Roman" w:cs="Times New Roman"/>
        </w:rPr>
        <w:tab/>
      </w:r>
      <w:r w:rsidR="007F3E44" w:rsidRPr="00F95C24">
        <w:rPr>
          <w:rFonts w:ascii="Times New Roman" w:hAnsi="Times New Roman" w:cs="Times New Roman"/>
        </w:rPr>
        <w:t>“</w:t>
      </w:r>
      <w:r w:rsidR="007F3E44" w:rsidRPr="00D1645A">
        <w:rPr>
          <w:rFonts w:ascii="Times New Roman" w:hAnsi="Times New Roman" w:cs="Times New Roman"/>
          <w:b/>
        </w:rPr>
        <w:t>APPREHENSION OF IRREPARABLE HARM</w:t>
      </w:r>
    </w:p>
    <w:p w:rsidR="00B8207C" w:rsidRPr="00F95C24" w:rsidRDefault="00F95C24" w:rsidP="00F95C24">
      <w:pPr>
        <w:spacing w:after="0" w:line="240" w:lineRule="auto"/>
        <w:jc w:val="both"/>
        <w:rPr>
          <w:rFonts w:ascii="Times New Roman" w:hAnsi="Times New Roman" w:cs="Times New Roman"/>
        </w:rPr>
      </w:pPr>
      <w:r>
        <w:rPr>
          <w:rFonts w:ascii="Times New Roman" w:hAnsi="Times New Roman" w:cs="Times New Roman"/>
        </w:rPr>
        <w:tab/>
      </w:r>
      <w:r w:rsidR="00B8207C" w:rsidRPr="00F95C24">
        <w:rPr>
          <w:rFonts w:ascii="Times New Roman" w:hAnsi="Times New Roman" w:cs="Times New Roman"/>
        </w:rPr>
        <w:t xml:space="preserve">(16) ………Irreparable harm or loss is the loss of property (including incorporeal property and </w:t>
      </w:r>
      <w:r>
        <w:rPr>
          <w:rFonts w:ascii="Times New Roman" w:hAnsi="Times New Roman" w:cs="Times New Roman"/>
        </w:rPr>
        <w:tab/>
      </w:r>
      <w:r w:rsidR="00B8207C" w:rsidRPr="00F95C24">
        <w:rPr>
          <w:rFonts w:ascii="Times New Roman" w:hAnsi="Times New Roman" w:cs="Times New Roman"/>
        </w:rPr>
        <w:t xml:space="preserve">money) in circumstances where its recovery </w:t>
      </w:r>
      <w:r w:rsidRPr="00F95C24">
        <w:rPr>
          <w:rFonts w:ascii="Times New Roman" w:hAnsi="Times New Roman" w:cs="Times New Roman"/>
        </w:rPr>
        <w:t xml:space="preserve">is impossible or improbable.  The loss need not </w:t>
      </w:r>
      <w:r>
        <w:rPr>
          <w:rFonts w:ascii="Times New Roman" w:hAnsi="Times New Roman" w:cs="Times New Roman"/>
        </w:rPr>
        <w:tab/>
      </w:r>
      <w:r w:rsidRPr="00F95C24">
        <w:rPr>
          <w:rFonts w:ascii="Times New Roman" w:hAnsi="Times New Roman" w:cs="Times New Roman"/>
        </w:rPr>
        <w:t xml:space="preserve">necessarily be any financial loss, it may consist of an irremediable breach of the applicants rights </w:t>
      </w:r>
      <w:r>
        <w:rPr>
          <w:rFonts w:ascii="Times New Roman" w:hAnsi="Times New Roman" w:cs="Times New Roman"/>
        </w:rPr>
        <w:tab/>
      </w:r>
      <w:r w:rsidRPr="00D1645A">
        <w:rPr>
          <w:rFonts w:ascii="Times New Roman" w:hAnsi="Times New Roman" w:cs="Times New Roman"/>
          <w:i/>
        </w:rPr>
        <w:t xml:space="preserve">Braham </w:t>
      </w:r>
      <w:r w:rsidRPr="00F95C24">
        <w:rPr>
          <w:rFonts w:ascii="Times New Roman" w:hAnsi="Times New Roman" w:cs="Times New Roman"/>
        </w:rPr>
        <w:t xml:space="preserve">v </w:t>
      </w:r>
      <w:r w:rsidRPr="00D1645A">
        <w:rPr>
          <w:rFonts w:ascii="Times New Roman" w:hAnsi="Times New Roman" w:cs="Times New Roman"/>
          <w:i/>
        </w:rPr>
        <w:t>Hood</w:t>
      </w:r>
      <w:r w:rsidRPr="00F95C24">
        <w:rPr>
          <w:rFonts w:ascii="Times New Roman" w:hAnsi="Times New Roman" w:cs="Times New Roman"/>
        </w:rPr>
        <w:t xml:space="preserve"> 1956(1) SA 65 D at 655 B and </w:t>
      </w:r>
      <w:r w:rsidRPr="00D1645A">
        <w:rPr>
          <w:rFonts w:ascii="Times New Roman" w:hAnsi="Times New Roman" w:cs="Times New Roman"/>
          <w:i/>
        </w:rPr>
        <w:t>Cliff</w:t>
      </w:r>
      <w:r w:rsidRPr="00F95C24">
        <w:rPr>
          <w:rFonts w:ascii="Times New Roman" w:hAnsi="Times New Roman" w:cs="Times New Roman"/>
        </w:rPr>
        <w:t xml:space="preserve"> v </w:t>
      </w:r>
      <w:r w:rsidRPr="00D1645A">
        <w:rPr>
          <w:rFonts w:ascii="Times New Roman" w:hAnsi="Times New Roman" w:cs="Times New Roman"/>
          <w:i/>
        </w:rPr>
        <w:t>Electronic Media Network (Pvt) Ltd Anor</w:t>
      </w:r>
      <w:r w:rsidRPr="00F95C24">
        <w:rPr>
          <w:rFonts w:ascii="Times New Roman" w:hAnsi="Times New Roman" w:cs="Times New Roman"/>
        </w:rPr>
        <w:t xml:space="preserve"> </w:t>
      </w:r>
      <w:r>
        <w:rPr>
          <w:rFonts w:ascii="Times New Roman" w:hAnsi="Times New Roman" w:cs="Times New Roman"/>
        </w:rPr>
        <w:tab/>
      </w:r>
      <w:r w:rsidRPr="00F95C24">
        <w:rPr>
          <w:rFonts w:ascii="Times New Roman" w:hAnsi="Times New Roman" w:cs="Times New Roman"/>
        </w:rPr>
        <w:t>2016(2).  All SA 102 (GJ).”</w:t>
      </w:r>
    </w:p>
    <w:p w:rsidR="007F3E44" w:rsidRDefault="007F3E44" w:rsidP="00D86923">
      <w:pPr>
        <w:spacing w:after="0" w:line="360" w:lineRule="auto"/>
        <w:jc w:val="both"/>
        <w:rPr>
          <w:rFonts w:ascii="Times New Roman" w:hAnsi="Times New Roman" w:cs="Times New Roman"/>
          <w:sz w:val="24"/>
          <w:szCs w:val="24"/>
        </w:rPr>
      </w:pPr>
    </w:p>
    <w:p w:rsidR="00E82D8C" w:rsidRDefault="00E82D8C" w:rsidP="00E82D8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w:t>
      </w:r>
      <w:r w:rsidR="00D806C5">
        <w:rPr>
          <w:rFonts w:ascii="Times New Roman" w:hAnsi="Times New Roman" w:cs="Times New Roman"/>
          <w:sz w:val="24"/>
          <w:szCs w:val="24"/>
          <w:lang w:val="en-US"/>
        </w:rPr>
        <w:t xml:space="preserve"> Ontario superior court in the</w:t>
      </w:r>
      <w:r>
        <w:rPr>
          <w:rFonts w:ascii="Times New Roman" w:hAnsi="Times New Roman" w:cs="Times New Roman"/>
          <w:sz w:val="24"/>
          <w:szCs w:val="24"/>
          <w:lang w:val="en-US"/>
        </w:rPr>
        <w:t xml:space="preserve"> case of </w:t>
      </w:r>
      <w:r w:rsidRPr="00A73BC9">
        <w:rPr>
          <w:rFonts w:ascii="Times New Roman" w:hAnsi="Times New Roman" w:cs="Times New Roman"/>
          <w:i/>
          <w:sz w:val="24"/>
          <w:szCs w:val="24"/>
          <w:lang w:val="en-US"/>
        </w:rPr>
        <w:t>Jeasundaram</w:t>
      </w:r>
      <w:r>
        <w:rPr>
          <w:rFonts w:ascii="Times New Roman" w:hAnsi="Times New Roman" w:cs="Times New Roman"/>
          <w:sz w:val="24"/>
          <w:szCs w:val="24"/>
          <w:lang w:val="en-US"/>
        </w:rPr>
        <w:t xml:space="preserve"> v </w:t>
      </w:r>
      <w:r w:rsidRPr="00A73BC9">
        <w:rPr>
          <w:rFonts w:ascii="Times New Roman" w:hAnsi="Times New Roman" w:cs="Times New Roman"/>
          <w:i/>
          <w:sz w:val="24"/>
          <w:szCs w:val="24"/>
          <w:lang w:val="en-US"/>
        </w:rPr>
        <w:t xml:space="preserve">Vadivale </w:t>
      </w:r>
      <w:r>
        <w:rPr>
          <w:rFonts w:ascii="Times New Roman" w:hAnsi="Times New Roman" w:cs="Times New Roman"/>
          <w:sz w:val="24"/>
          <w:szCs w:val="24"/>
          <w:lang w:val="en-US"/>
        </w:rPr>
        <w:t>2021 ONSC 4505 (CANL II), 3 RJR Macdonald stated at para 68 of his judgment:</w:t>
      </w:r>
    </w:p>
    <w:p w:rsidR="00E82D8C" w:rsidRPr="00EB3791" w:rsidRDefault="00E82D8C" w:rsidP="00E82D8C">
      <w:pPr>
        <w:spacing w:line="240" w:lineRule="auto"/>
        <w:ind w:left="720"/>
        <w:jc w:val="both"/>
        <w:rPr>
          <w:rFonts w:ascii="Times New Roman" w:hAnsi="Times New Roman" w:cs="Times New Roman"/>
          <w:lang w:val="en-US"/>
        </w:rPr>
      </w:pPr>
      <w:r w:rsidRPr="00EB3791">
        <w:rPr>
          <w:rFonts w:ascii="Times New Roman" w:hAnsi="Times New Roman" w:cs="Times New Roman"/>
          <w:lang w:val="en-US"/>
        </w:rPr>
        <w:t>“[68]   Irreparable harm refers to the nature of the harm suffered rather than its magnitude.  It is harm which either cannot be quantified in monetary terms, or which cannot be cured; usually because one party cannot collect damages from the other.”</w:t>
      </w:r>
    </w:p>
    <w:p w:rsidR="00E82D8C" w:rsidRDefault="00E82D8C" w:rsidP="00E82D8C">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In the same case at para 69, the learned stated:</w:t>
      </w:r>
    </w:p>
    <w:p w:rsidR="00E82D8C" w:rsidRPr="00EB3791" w:rsidRDefault="00E82D8C" w:rsidP="00E82D8C">
      <w:pPr>
        <w:spacing w:line="240" w:lineRule="auto"/>
        <w:ind w:left="720"/>
        <w:jc w:val="both"/>
        <w:rPr>
          <w:rFonts w:ascii="Times New Roman" w:hAnsi="Times New Roman" w:cs="Times New Roman"/>
          <w:lang w:val="en-US"/>
        </w:rPr>
      </w:pPr>
      <w:r w:rsidRPr="00EB3791">
        <w:rPr>
          <w:rFonts w:ascii="Times New Roman" w:hAnsi="Times New Roman" w:cs="Times New Roman"/>
          <w:lang w:val="en-US"/>
        </w:rPr>
        <w:t>“[69]</w:t>
      </w:r>
      <w:r w:rsidRPr="00EB3791">
        <w:rPr>
          <w:rFonts w:ascii="Times New Roman" w:hAnsi="Times New Roman" w:cs="Times New Roman"/>
          <w:lang w:val="en-US"/>
        </w:rPr>
        <w:tab/>
        <w:t>Irreparable harm may arise from eviction but there must be some evidence aside from a bold assertion…”</w:t>
      </w:r>
    </w:p>
    <w:p w:rsidR="00E82D8C" w:rsidRDefault="00D806C5" w:rsidP="00E82D8C">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therefore </w:t>
      </w:r>
      <w:r w:rsidR="00E82D8C">
        <w:rPr>
          <w:rFonts w:ascii="Times New Roman" w:hAnsi="Times New Roman" w:cs="Times New Roman"/>
          <w:sz w:val="24"/>
          <w:szCs w:val="24"/>
          <w:lang w:val="en-US"/>
        </w:rPr>
        <w:t>seem</w:t>
      </w:r>
      <w:r>
        <w:rPr>
          <w:rFonts w:ascii="Times New Roman" w:hAnsi="Times New Roman" w:cs="Times New Roman"/>
          <w:sz w:val="24"/>
          <w:szCs w:val="24"/>
          <w:lang w:val="en-US"/>
        </w:rPr>
        <w:t>s</w:t>
      </w:r>
      <w:r w:rsidR="00E82D8C">
        <w:rPr>
          <w:rFonts w:ascii="Times New Roman" w:hAnsi="Times New Roman" w:cs="Times New Roman"/>
          <w:sz w:val="24"/>
          <w:szCs w:val="24"/>
          <w:lang w:val="en-US"/>
        </w:rPr>
        <w:t xml:space="preserve"> to me that irreparable harm should not be assumed.  It should be established or demonstrated by some acceptable evidential material.  Irreparable harm will be that nature of harm not capable of recompense or remediable by any monetary award of damages.  This is </w:t>
      </w:r>
      <w:r w:rsidR="0095429B">
        <w:rPr>
          <w:rFonts w:ascii="Times New Roman" w:hAnsi="Times New Roman" w:cs="Times New Roman"/>
          <w:sz w:val="24"/>
          <w:szCs w:val="24"/>
          <w:lang w:val="en-US"/>
        </w:rPr>
        <w:t>unlikely to</w:t>
      </w:r>
      <w:r w:rsidR="00F04FF4">
        <w:rPr>
          <w:rFonts w:ascii="Times New Roman" w:hAnsi="Times New Roman" w:cs="Times New Roman"/>
          <w:sz w:val="24"/>
          <w:szCs w:val="24"/>
          <w:lang w:val="en-US"/>
        </w:rPr>
        <w:t xml:space="preserve"> be </w:t>
      </w:r>
      <w:r w:rsidR="00E82D8C">
        <w:rPr>
          <w:rFonts w:ascii="Times New Roman" w:hAnsi="Times New Roman" w:cs="Times New Roman"/>
          <w:sz w:val="24"/>
          <w:szCs w:val="24"/>
          <w:lang w:val="en-US"/>
        </w:rPr>
        <w:t xml:space="preserve">so in cases of eviction in a terminated landlord (tenancy relationship as </w:t>
      </w:r>
      <w:r w:rsidR="00E82D8C" w:rsidRPr="00FA1F30">
        <w:rPr>
          <w:rFonts w:ascii="Times New Roman" w:hAnsi="Times New Roman" w:cs="Times New Roman"/>
          <w:i/>
          <w:sz w:val="24"/>
          <w:szCs w:val="24"/>
          <w:lang w:val="en-US"/>
        </w:rPr>
        <w:t>in casu</w:t>
      </w:r>
      <w:r w:rsidR="00E82D8C">
        <w:rPr>
          <w:rFonts w:ascii="Times New Roman" w:hAnsi="Times New Roman" w:cs="Times New Roman"/>
          <w:sz w:val="24"/>
          <w:szCs w:val="24"/>
          <w:lang w:val="en-US"/>
        </w:rPr>
        <w:t xml:space="preserve"> because the relationship between the parties is defined by the fact of the landlord letting out a property to the tenant who pays rental.  Applying the principle that it is the nature of the harm and not its magnitude that defines irreparable harm, then the issue becomes one where the nature of the harm to the respondent is the cost of</w:t>
      </w:r>
      <w:r w:rsidR="00F04FF4">
        <w:rPr>
          <w:rFonts w:ascii="Times New Roman" w:hAnsi="Times New Roman" w:cs="Times New Roman"/>
          <w:sz w:val="24"/>
          <w:szCs w:val="24"/>
          <w:lang w:val="en-US"/>
        </w:rPr>
        <w:t xml:space="preserve"> obtaining alternative premises.  F</w:t>
      </w:r>
      <w:r w:rsidR="00E82D8C">
        <w:rPr>
          <w:rFonts w:ascii="Times New Roman" w:hAnsi="Times New Roman" w:cs="Times New Roman"/>
          <w:sz w:val="24"/>
          <w:szCs w:val="24"/>
          <w:lang w:val="en-US"/>
        </w:rPr>
        <w:t>or the applicant</w:t>
      </w:r>
      <w:r w:rsidR="00F04FF4">
        <w:rPr>
          <w:rFonts w:ascii="Times New Roman" w:hAnsi="Times New Roman" w:cs="Times New Roman"/>
          <w:sz w:val="24"/>
          <w:szCs w:val="24"/>
          <w:lang w:val="en-US"/>
        </w:rPr>
        <w:t xml:space="preserve"> it is the</w:t>
      </w:r>
      <w:r w:rsidR="00E82D8C">
        <w:rPr>
          <w:rFonts w:ascii="Times New Roman" w:hAnsi="Times New Roman" w:cs="Times New Roman"/>
          <w:sz w:val="24"/>
          <w:szCs w:val="24"/>
          <w:lang w:val="en-US"/>
        </w:rPr>
        <w:t xml:space="preserve"> failure to renovate and upgrade its premises to modern standards as per approved plans which the respondent did not dispute.</w:t>
      </w:r>
    </w:p>
    <w:p w:rsidR="00E82D8C" w:rsidRDefault="00E82D8C" w:rsidP="00E82D8C">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the case whose judgmen</w:t>
      </w:r>
      <w:r w:rsidR="00C47A57">
        <w:rPr>
          <w:rFonts w:ascii="Times New Roman" w:hAnsi="Times New Roman" w:cs="Times New Roman"/>
          <w:sz w:val="24"/>
          <w:szCs w:val="24"/>
          <w:lang w:val="en-US"/>
        </w:rPr>
        <w:t>t was appeal against, the issues</w:t>
      </w:r>
      <w:r>
        <w:rPr>
          <w:rFonts w:ascii="Times New Roman" w:hAnsi="Times New Roman" w:cs="Times New Roman"/>
          <w:sz w:val="24"/>
          <w:szCs w:val="24"/>
          <w:lang w:val="en-US"/>
        </w:rPr>
        <w:t xml:space="preserve"> for trial wee two in number stated as follows:</w:t>
      </w:r>
    </w:p>
    <w:p w:rsidR="00E82D8C" w:rsidRPr="00E47D8A" w:rsidRDefault="00E82D8C" w:rsidP="00E82D8C">
      <w:pPr>
        <w:spacing w:line="240" w:lineRule="auto"/>
        <w:ind w:left="1440" w:hanging="720"/>
        <w:jc w:val="both"/>
        <w:rPr>
          <w:rFonts w:ascii="Times New Roman" w:hAnsi="Times New Roman" w:cs="Times New Roman"/>
          <w:lang w:val="en-US"/>
        </w:rPr>
      </w:pPr>
      <w:r>
        <w:rPr>
          <w:rFonts w:ascii="Times New Roman" w:hAnsi="Times New Roman" w:cs="Times New Roman"/>
          <w:sz w:val="24"/>
          <w:szCs w:val="24"/>
          <w:lang w:val="en-US"/>
        </w:rPr>
        <w:t>“</w:t>
      </w:r>
      <w:r w:rsidRPr="00E47D8A">
        <w:rPr>
          <w:rFonts w:ascii="Times New Roman" w:hAnsi="Times New Roman" w:cs="Times New Roman"/>
          <w:lang w:val="en-US"/>
        </w:rPr>
        <w:t>1.</w:t>
      </w:r>
      <w:r w:rsidRPr="00E47D8A">
        <w:rPr>
          <w:rFonts w:ascii="Times New Roman" w:hAnsi="Times New Roman" w:cs="Times New Roman"/>
          <w:lang w:val="en-US"/>
        </w:rPr>
        <w:tab/>
        <w:t>Whether or not a valid notice of appeal to vacate the premises was issued by plaintiff (applicant herein) to the defendant (respondent herein).</w:t>
      </w:r>
    </w:p>
    <w:p w:rsidR="00E82D8C" w:rsidRPr="00E47D8A" w:rsidRDefault="00E82D8C" w:rsidP="00E82D8C">
      <w:pPr>
        <w:spacing w:line="240" w:lineRule="auto"/>
        <w:ind w:left="1440" w:hanging="720"/>
        <w:jc w:val="both"/>
        <w:rPr>
          <w:rFonts w:ascii="Times New Roman" w:hAnsi="Times New Roman" w:cs="Times New Roman"/>
          <w:lang w:val="en-US"/>
        </w:rPr>
      </w:pPr>
      <w:r w:rsidRPr="00E47D8A">
        <w:rPr>
          <w:rFonts w:ascii="Times New Roman" w:hAnsi="Times New Roman" w:cs="Times New Roman"/>
          <w:lang w:val="en-US"/>
        </w:rPr>
        <w:t xml:space="preserve"> 2.</w:t>
      </w:r>
      <w:r w:rsidRPr="00E47D8A">
        <w:rPr>
          <w:rFonts w:ascii="Times New Roman" w:hAnsi="Times New Roman" w:cs="Times New Roman"/>
          <w:lang w:val="en-US"/>
        </w:rPr>
        <w:tab/>
        <w:t>Whether or not plaintiff is entitled to vindicate its property from the defendant.:</w:t>
      </w:r>
    </w:p>
    <w:p w:rsidR="00E82D8C" w:rsidRDefault="00E82D8C" w:rsidP="00E82D8C">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In the judgment the court determined t</w:t>
      </w:r>
      <w:r w:rsidR="00C47A57">
        <w:rPr>
          <w:rFonts w:ascii="Times New Roman" w:hAnsi="Times New Roman" w:cs="Times New Roman"/>
          <w:sz w:val="24"/>
          <w:szCs w:val="24"/>
          <w:lang w:val="en-US"/>
        </w:rPr>
        <w:t>hat the respondent had pleaded i</w:t>
      </w:r>
      <w:r>
        <w:rPr>
          <w:rFonts w:ascii="Times New Roman" w:hAnsi="Times New Roman" w:cs="Times New Roman"/>
          <w:sz w:val="24"/>
          <w:szCs w:val="24"/>
          <w:lang w:val="en-US"/>
        </w:rPr>
        <w:t>n the plea that it was a statutory tenant but had shifted position</w:t>
      </w:r>
      <w:r w:rsidR="00C47A57">
        <w:rPr>
          <w:rFonts w:ascii="Times New Roman" w:hAnsi="Times New Roman" w:cs="Times New Roman"/>
          <w:sz w:val="24"/>
          <w:szCs w:val="24"/>
          <w:lang w:val="en-US"/>
        </w:rPr>
        <w:t>s</w:t>
      </w:r>
      <w:r>
        <w:rPr>
          <w:rFonts w:ascii="Times New Roman" w:hAnsi="Times New Roman" w:cs="Times New Roman"/>
          <w:sz w:val="24"/>
          <w:szCs w:val="24"/>
          <w:lang w:val="en-US"/>
        </w:rPr>
        <w:t xml:space="preserve"> in evidence and sought to argue that it was a tenant in terms </w:t>
      </w:r>
      <w:r w:rsidR="00A00905">
        <w:rPr>
          <w:rFonts w:ascii="Times New Roman" w:hAnsi="Times New Roman" w:cs="Times New Roman"/>
          <w:sz w:val="24"/>
          <w:szCs w:val="24"/>
          <w:lang w:val="en-US"/>
        </w:rPr>
        <w:t>of a</w:t>
      </w:r>
      <w:r w:rsidR="00C47A57">
        <w:rPr>
          <w:rFonts w:ascii="Times New Roman" w:hAnsi="Times New Roman" w:cs="Times New Roman"/>
          <w:sz w:val="24"/>
          <w:szCs w:val="24"/>
          <w:lang w:val="en-US"/>
        </w:rPr>
        <w:t xml:space="preserve"> </w:t>
      </w:r>
      <w:r>
        <w:rPr>
          <w:rFonts w:ascii="Times New Roman" w:hAnsi="Times New Roman" w:cs="Times New Roman"/>
          <w:sz w:val="24"/>
          <w:szCs w:val="24"/>
          <w:lang w:val="en-US"/>
        </w:rPr>
        <w:t>lease agreement which was still current.  The court noted that a party is bound by its pleadings and may not depart from them without amending or withdrawing them.  Consequently, the finding was made that the respondent was a statutory tenant as pleaded in the declaration and admitted in the plea.  The respondent had pleaded that the notice to vacate was invalid.  The respondent did not deny in its plea that the renovations were justified but pleaded that they related to stand 57 Julius Nyerere Way yet the respondent occupied stand 22 Julius Nyerere Way.</w:t>
      </w:r>
    </w:p>
    <w:p w:rsidR="00E82D8C" w:rsidRDefault="00E82D8C" w:rsidP="00E82D8C">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court determined that the notice to vacate was validly given in a letter dated 8 July 2020.  The court noted that the respondent’s legal practitioners responded to the notice letter on 10 July 2020</w:t>
      </w:r>
      <w:r w:rsidR="00C47A57">
        <w:rPr>
          <w:rFonts w:ascii="Times New Roman" w:hAnsi="Times New Roman" w:cs="Times New Roman"/>
          <w:sz w:val="24"/>
          <w:szCs w:val="24"/>
          <w:lang w:val="en-US"/>
        </w:rPr>
        <w:t>.  They did not raise the issue</w:t>
      </w:r>
      <w:r>
        <w:rPr>
          <w:rFonts w:ascii="Times New Roman" w:hAnsi="Times New Roman" w:cs="Times New Roman"/>
          <w:sz w:val="24"/>
          <w:szCs w:val="24"/>
          <w:lang w:val="en-US"/>
        </w:rPr>
        <w:t xml:space="preserve"> of the alleged invalidity of the notice nor question the alleged need for the applicant to effect renovations.  In the replying letter aforesaid, the respondent averred that the intended renovations and inspections made by City Council related to stand 57 which differed from stand 22.  The court agreed with the evidence of the applicant</w:t>
      </w:r>
      <w:r w:rsidR="00C47A57">
        <w:rPr>
          <w:rFonts w:ascii="Times New Roman" w:hAnsi="Times New Roman" w:cs="Times New Roman"/>
          <w:sz w:val="24"/>
          <w:szCs w:val="24"/>
          <w:lang w:val="en-US"/>
        </w:rPr>
        <w:t xml:space="preserve"> that the property referred to </w:t>
      </w:r>
      <w:r>
        <w:rPr>
          <w:rFonts w:ascii="Times New Roman" w:hAnsi="Times New Roman" w:cs="Times New Roman"/>
          <w:sz w:val="24"/>
          <w:szCs w:val="24"/>
          <w:lang w:val="en-US"/>
        </w:rPr>
        <w:t>as stand 22 and stand 57 was the same and adjourned Julius Nyerere Way where there was an access entrance with the other entrance access being located in Rezende Street.  Therefore the property when accessing it from Rezende Street would be described as 22 Rezende Street and 57 Julius Nyerere Way if accessed from that street.</w:t>
      </w:r>
    </w:p>
    <w:p w:rsidR="00E82D8C" w:rsidRDefault="00E82D8C" w:rsidP="00E82D8C">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accepted the genuineness of the applicant to renovate and modernize the property.  The approved renovations plans whose authenticity was not disputed by the respondent would alter the outlook of the property and increase the number of shops hence creating added value for the owner.  The onus to cast doubt on the genuineness of lessor’s claim that it needs the recovery of the property was reposed in the respondent on the strength of the authority of </w:t>
      </w:r>
      <w:r w:rsidRPr="00CA6266">
        <w:rPr>
          <w:rFonts w:ascii="Times New Roman" w:hAnsi="Times New Roman" w:cs="Times New Roman"/>
          <w:i/>
          <w:sz w:val="24"/>
          <w:szCs w:val="24"/>
          <w:lang w:val="en-US"/>
        </w:rPr>
        <w:t>Kingstons Ltd</w:t>
      </w:r>
      <w:r>
        <w:rPr>
          <w:rFonts w:ascii="Times New Roman" w:hAnsi="Times New Roman" w:cs="Times New Roman"/>
          <w:sz w:val="24"/>
          <w:szCs w:val="24"/>
          <w:lang w:val="en-US"/>
        </w:rPr>
        <w:t xml:space="preserve"> v </w:t>
      </w:r>
      <w:r w:rsidRPr="00CA6266">
        <w:rPr>
          <w:rFonts w:ascii="Times New Roman" w:hAnsi="Times New Roman" w:cs="Times New Roman"/>
          <w:i/>
          <w:sz w:val="24"/>
          <w:szCs w:val="24"/>
          <w:lang w:val="en-US"/>
        </w:rPr>
        <w:t>Ineson (Pvt) Ltd</w:t>
      </w:r>
      <w:r>
        <w:rPr>
          <w:rFonts w:ascii="Times New Roman" w:hAnsi="Times New Roman" w:cs="Times New Roman"/>
          <w:sz w:val="24"/>
          <w:szCs w:val="24"/>
          <w:lang w:val="en-US"/>
        </w:rPr>
        <w:t xml:space="preserve"> 2006 (1) ZLR 451.  It was common cause that the local authority had by letter addressed to the owner described the property known as Stans 75 Rezende Street as dilapidated and unsightly.  The respondent argued that it occupied stand 22 Julius Nyerere and that the letter did not relate to its occupied space.  It also argued that other tenants were not being sued.  However, the undisputed facts were that the applicant as owner had decided to completely revamp the premises per approved plan.  It would not be sufficient to resist eviction for the respondent to argue that “why me being sued first.  Sue all of us at once” or to argue that the respondent as tenant </w:t>
      </w:r>
      <w:r>
        <w:rPr>
          <w:rFonts w:ascii="Times New Roman" w:hAnsi="Times New Roman" w:cs="Times New Roman"/>
          <w:sz w:val="24"/>
          <w:szCs w:val="24"/>
          <w:lang w:val="en-US"/>
        </w:rPr>
        <w:lastRenderedPageBreak/>
        <w:t>attended on making the bui</w:t>
      </w:r>
      <w:r w:rsidR="009471B6">
        <w:rPr>
          <w:rFonts w:ascii="Times New Roman" w:hAnsi="Times New Roman" w:cs="Times New Roman"/>
          <w:sz w:val="24"/>
          <w:szCs w:val="24"/>
          <w:lang w:val="en-US"/>
        </w:rPr>
        <w:t>lding or occupied space sightly</w:t>
      </w:r>
      <w:r>
        <w:rPr>
          <w:rFonts w:ascii="Times New Roman" w:hAnsi="Times New Roman" w:cs="Times New Roman"/>
          <w:sz w:val="24"/>
          <w:szCs w:val="24"/>
          <w:lang w:val="en-US"/>
        </w:rPr>
        <w:t xml:space="preserve"> and even then without the authority or knowledge of the applicant as owner and lessor. </w:t>
      </w:r>
    </w:p>
    <w:p w:rsidR="00E82D8C" w:rsidRDefault="00E82D8C" w:rsidP="00E82D8C">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respondent had also sought to resist eviction on the grounds of the invalidity of the notice to vacate.  Its argument was that the notice to rectify the building related to a different property from the one it occupied.  It averred that the property it occupied was stand 57 Rezende Street and sought to differentiate it from stand 22 Julius Nyerere Way.  The argument did not see light of day in view of the court’s acceptance of the evidence given on behalf of the applicant and not seriously disputed by the respondent that the property was the same.   The difference in address depended on whether one entered the property from Julius Nyerere Way or from Rezende Street.  It was not argued that the notice given was inadequate.  The respondent must have been aware that if its argument on identity of the property as a ground for challenging the validity of notice failed, then the notice would stand valid in terms of the regulations at play.</w:t>
      </w:r>
    </w:p>
    <w:p w:rsidR="00E82D8C" w:rsidRDefault="00E82D8C" w:rsidP="00E82D8C">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have carefully considered the grounds of appeal on which the respondent relied to seek the setting aside of this court’s judgment.  It is of course the function of the Supreme Court to g</w:t>
      </w:r>
      <w:r w:rsidR="007865CC">
        <w:rPr>
          <w:rFonts w:ascii="Times New Roman" w:hAnsi="Times New Roman" w:cs="Times New Roman"/>
          <w:sz w:val="24"/>
          <w:szCs w:val="24"/>
          <w:lang w:val="en-US"/>
        </w:rPr>
        <w:t>ive an authoritative, definitive</w:t>
      </w:r>
      <w:r>
        <w:rPr>
          <w:rFonts w:ascii="Times New Roman" w:hAnsi="Times New Roman" w:cs="Times New Roman"/>
          <w:sz w:val="24"/>
          <w:szCs w:val="24"/>
          <w:lang w:val="en-US"/>
        </w:rPr>
        <w:t xml:space="preserve"> and final judgment on the grounds of appeal and to set aside or uphold the judgment.  This court considers the proposed grounds of appeal from a guarded and guided position.  It considers the prospects of success of those grounds and expresses its opinion thereon.</w:t>
      </w:r>
    </w:p>
    <w:p w:rsidR="00E82D8C" w:rsidRDefault="00E82D8C" w:rsidP="00E82D8C">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relation to the first ground of appeal, the criticism that the court erred and was misdirected </w:t>
      </w:r>
      <w:r w:rsidR="007865CC">
        <w:rPr>
          <w:rFonts w:ascii="Times New Roman" w:hAnsi="Times New Roman" w:cs="Times New Roman"/>
          <w:sz w:val="24"/>
          <w:szCs w:val="24"/>
          <w:lang w:val="en-US"/>
        </w:rPr>
        <w:t xml:space="preserve">to grant an order of </w:t>
      </w:r>
      <w:r w:rsidR="007865CC" w:rsidRPr="007865CC">
        <w:rPr>
          <w:rFonts w:ascii="Times New Roman" w:hAnsi="Times New Roman" w:cs="Times New Roman"/>
          <w:i/>
          <w:sz w:val="24"/>
          <w:szCs w:val="24"/>
          <w:lang w:val="en-US"/>
        </w:rPr>
        <w:t>rei vindication</w:t>
      </w:r>
      <w:r w:rsidR="007865CC">
        <w:rPr>
          <w:rFonts w:ascii="Times New Roman" w:hAnsi="Times New Roman" w:cs="Times New Roman"/>
          <w:sz w:val="24"/>
          <w:szCs w:val="24"/>
          <w:lang w:val="en-US"/>
        </w:rPr>
        <w:t xml:space="preserve"> when</w:t>
      </w:r>
      <w:r>
        <w:rPr>
          <w:rFonts w:ascii="Times New Roman" w:hAnsi="Times New Roman" w:cs="Times New Roman"/>
          <w:sz w:val="24"/>
          <w:szCs w:val="24"/>
          <w:lang w:val="en-US"/>
        </w:rPr>
        <w:t xml:space="preserve"> there was an existing lease agreement amounts to a defence in </w:t>
      </w:r>
      <w:r w:rsidRPr="007865CC">
        <w:rPr>
          <w:rFonts w:ascii="Times New Roman" w:hAnsi="Times New Roman" w:cs="Times New Roman"/>
          <w:i/>
          <w:sz w:val="24"/>
          <w:szCs w:val="24"/>
          <w:lang w:val="en-US"/>
        </w:rPr>
        <w:t>terrorum</w:t>
      </w:r>
      <w:r>
        <w:rPr>
          <w:rFonts w:ascii="Times New Roman" w:hAnsi="Times New Roman" w:cs="Times New Roman"/>
          <w:sz w:val="24"/>
          <w:szCs w:val="24"/>
          <w:lang w:val="en-US"/>
        </w:rPr>
        <w:t xml:space="preserve"> because the plea of the defendant was that it was a statutory tenant.  Tenancy under a statutory tenant does not depend upon an existing lease agreement.  It arises following the expiry of a lease agreement which has not been renewed.  There was clearly</w:t>
      </w:r>
      <w:r w:rsidR="007865CC">
        <w:rPr>
          <w:rFonts w:ascii="Times New Roman" w:hAnsi="Times New Roman" w:cs="Times New Roman"/>
          <w:sz w:val="24"/>
          <w:szCs w:val="24"/>
          <w:lang w:val="en-US"/>
        </w:rPr>
        <w:t xml:space="preserve"> no existing lease agreement: None </w:t>
      </w:r>
      <w:r w:rsidR="002F5474">
        <w:rPr>
          <w:rFonts w:ascii="Times New Roman" w:hAnsi="Times New Roman" w:cs="Times New Roman"/>
          <w:sz w:val="24"/>
          <w:szCs w:val="24"/>
          <w:lang w:val="en-US"/>
        </w:rPr>
        <w:t>was produced</w:t>
      </w:r>
      <w:r>
        <w:rPr>
          <w:rFonts w:ascii="Times New Roman" w:hAnsi="Times New Roman" w:cs="Times New Roman"/>
          <w:sz w:val="24"/>
          <w:szCs w:val="24"/>
          <w:lang w:val="en-US"/>
        </w:rPr>
        <w:t xml:space="preserve"> and the court</w:t>
      </w:r>
      <w:r w:rsidR="007865CC">
        <w:rPr>
          <w:rFonts w:ascii="Times New Roman" w:hAnsi="Times New Roman" w:cs="Times New Roman"/>
          <w:sz w:val="24"/>
          <w:szCs w:val="24"/>
          <w:lang w:val="en-US"/>
        </w:rPr>
        <w:t xml:space="preserve"> dealt with the issue when it pointed </w:t>
      </w:r>
      <w:r>
        <w:rPr>
          <w:rFonts w:ascii="Times New Roman" w:hAnsi="Times New Roman" w:cs="Times New Roman"/>
          <w:sz w:val="24"/>
          <w:szCs w:val="24"/>
          <w:lang w:val="en-US"/>
        </w:rPr>
        <w:t>out in the judgment that the main issue was whether or not the applicant had proved a case for the repossession of its property.  This ground is devoid of merit and has not prospects of succeeding.</w:t>
      </w:r>
    </w:p>
    <w:p w:rsidR="00F256ED" w:rsidRPr="00F256ED" w:rsidRDefault="00E82D8C" w:rsidP="00F256E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second ground of appeal is that the court erred in addressing the letters from City of Harare which contradicted the status of the building in question.   The issue was dealt with </w:t>
      </w:r>
      <w:r w:rsidR="00082D91">
        <w:rPr>
          <w:rFonts w:ascii="Times New Roman" w:hAnsi="Times New Roman" w:cs="Times New Roman"/>
          <w:sz w:val="24"/>
          <w:szCs w:val="24"/>
          <w:lang w:val="en-US"/>
        </w:rPr>
        <w:t xml:space="preserve">comprehensively on pp 10 to 11 of the cyclostyled </w:t>
      </w:r>
      <w:r w:rsidR="00806ACA">
        <w:rPr>
          <w:rFonts w:ascii="Times New Roman" w:hAnsi="Times New Roman" w:cs="Times New Roman"/>
          <w:sz w:val="24"/>
          <w:szCs w:val="24"/>
          <w:lang w:val="en-US"/>
        </w:rPr>
        <w:t xml:space="preserve">judgement. </w:t>
      </w:r>
      <w:r>
        <w:rPr>
          <w:rFonts w:ascii="Times New Roman" w:hAnsi="Times New Roman" w:cs="Times New Roman"/>
          <w:sz w:val="24"/>
          <w:szCs w:val="24"/>
          <w:lang w:val="en-US"/>
        </w:rPr>
        <w:t xml:space="preserve">Significantly at p 11 the court dealt with the evidence of alleged rectifications to the property made by the respondent.  The court was </w:t>
      </w:r>
      <w:r>
        <w:rPr>
          <w:rFonts w:ascii="Times New Roman" w:hAnsi="Times New Roman" w:cs="Times New Roman"/>
          <w:sz w:val="24"/>
          <w:szCs w:val="24"/>
          <w:lang w:val="en-US"/>
        </w:rPr>
        <w:lastRenderedPageBreak/>
        <w:t xml:space="preserve">alive to the evidence of the respondent to the effect that it effected rectifications to the building which resulted in City of Harare writing a letter to state that the premises occupied by the respondent had been inspected and found to be by-law compliant.  However, this was not the issue.  The issue was not about the renovations done by the respondent which in any event were </w:t>
      </w:r>
      <w:r w:rsidR="00861237">
        <w:rPr>
          <w:rFonts w:ascii="Times New Roman" w:hAnsi="Times New Roman" w:cs="Times New Roman"/>
          <w:sz w:val="24"/>
          <w:szCs w:val="24"/>
          <w:lang w:val="en-US"/>
        </w:rPr>
        <w:t>neither outlined nor</w:t>
      </w:r>
      <w:r>
        <w:rPr>
          <w:rFonts w:ascii="Times New Roman" w:hAnsi="Times New Roman" w:cs="Times New Roman"/>
          <w:sz w:val="24"/>
          <w:szCs w:val="24"/>
          <w:lang w:val="en-US"/>
        </w:rPr>
        <w:t xml:space="preserve"> pleaded by the respondent other than </w:t>
      </w:r>
      <w:r w:rsidR="00082D91">
        <w:rPr>
          <w:rFonts w:ascii="Times New Roman" w:hAnsi="Times New Roman" w:cs="Times New Roman"/>
          <w:sz w:val="24"/>
          <w:szCs w:val="24"/>
          <w:lang w:val="en-US"/>
        </w:rPr>
        <w:t xml:space="preserve">by </w:t>
      </w:r>
      <w:r>
        <w:rPr>
          <w:rFonts w:ascii="Times New Roman" w:hAnsi="Times New Roman" w:cs="Times New Roman"/>
          <w:sz w:val="24"/>
          <w:szCs w:val="24"/>
          <w:lang w:val="en-US"/>
        </w:rPr>
        <w:t xml:space="preserve">word of mouth.  The issue was whether the applicant had established a case for the relief that it repossesses its property from the respondent for purposes of effecting the structural changes per the approved undisputed plan.  This ground of appeal has no merit or prospects of success.  </w:t>
      </w:r>
      <w:r w:rsidR="00082D91">
        <w:rPr>
          <w:rFonts w:ascii="Times New Roman" w:hAnsi="Times New Roman" w:cs="Times New Roman"/>
          <w:sz w:val="24"/>
          <w:szCs w:val="24"/>
          <w:lang w:val="en-US"/>
        </w:rPr>
        <w:t>It is based upon a false premise</w:t>
      </w:r>
      <w:r>
        <w:rPr>
          <w:rFonts w:ascii="Times New Roman" w:hAnsi="Times New Roman" w:cs="Times New Roman"/>
          <w:sz w:val="24"/>
          <w:szCs w:val="24"/>
          <w:lang w:val="en-US"/>
        </w:rPr>
        <w:t xml:space="preserve"> that the court did not deal with the evidence concerned and to that extent there could n</w:t>
      </w:r>
      <w:r w:rsidR="00F256ED">
        <w:rPr>
          <w:rFonts w:ascii="Times New Roman" w:hAnsi="Times New Roman" w:cs="Times New Roman"/>
          <w:sz w:val="24"/>
          <w:szCs w:val="24"/>
          <w:lang w:val="en-US"/>
        </w:rPr>
        <w:t>ot have been a misdirection o</w:t>
      </w:r>
      <w:r w:rsidR="00F256ED" w:rsidRPr="001F2144">
        <w:rPr>
          <w:rFonts w:ascii="Times New Roman" w:hAnsi="Times New Roman" w:cs="Times New Roman"/>
          <w:sz w:val="24"/>
          <w:szCs w:val="24"/>
        </w:rPr>
        <w:t>f the nature pleaded in the second ground of appeal</w:t>
      </w:r>
      <w:r w:rsidR="00F256ED">
        <w:t>.</w:t>
      </w:r>
    </w:p>
    <w:p w:rsidR="00F256ED" w:rsidRDefault="00F256ED" w:rsidP="00F256ED">
      <w:pPr>
        <w:spacing w:after="0" w:line="360" w:lineRule="auto"/>
        <w:jc w:val="both"/>
        <w:rPr>
          <w:rFonts w:ascii="Times New Roman" w:hAnsi="Times New Roman" w:cs="Times New Roman"/>
          <w:sz w:val="24"/>
          <w:szCs w:val="24"/>
        </w:rPr>
      </w:pPr>
      <w:r>
        <w:tab/>
        <w:t xml:space="preserve"> </w:t>
      </w:r>
      <w:r w:rsidRPr="00F7040B">
        <w:rPr>
          <w:rFonts w:ascii="Times New Roman" w:hAnsi="Times New Roman" w:cs="Times New Roman"/>
          <w:sz w:val="24"/>
          <w:szCs w:val="24"/>
        </w:rPr>
        <w:t>The third ground of appeal was that the</w:t>
      </w:r>
      <w:r w:rsidR="00C81577">
        <w:rPr>
          <w:rFonts w:ascii="Times New Roman" w:hAnsi="Times New Roman" w:cs="Times New Roman"/>
          <w:sz w:val="24"/>
          <w:szCs w:val="24"/>
        </w:rPr>
        <w:t xml:space="preserve"> court</w:t>
      </w:r>
      <w:r w:rsidRPr="00F7040B">
        <w:rPr>
          <w:rFonts w:ascii="Times New Roman" w:hAnsi="Times New Roman" w:cs="Times New Roman"/>
          <w:sz w:val="24"/>
          <w:szCs w:val="24"/>
        </w:rPr>
        <w:t xml:space="preserve"> disregarded</w:t>
      </w:r>
      <w:r>
        <w:rPr>
          <w:rFonts w:ascii="Times New Roman" w:hAnsi="Times New Roman" w:cs="Times New Roman"/>
          <w:sz w:val="24"/>
          <w:szCs w:val="24"/>
        </w:rPr>
        <w:t xml:space="preserve"> the respondent’s evidence that other </w:t>
      </w:r>
      <w:r w:rsidR="00861237">
        <w:rPr>
          <w:rFonts w:ascii="Times New Roman" w:hAnsi="Times New Roman" w:cs="Times New Roman"/>
          <w:sz w:val="24"/>
          <w:szCs w:val="24"/>
        </w:rPr>
        <w:t>tenants had</w:t>
      </w:r>
      <w:r w:rsidR="00C81577">
        <w:rPr>
          <w:rFonts w:ascii="Times New Roman" w:hAnsi="Times New Roman" w:cs="Times New Roman"/>
          <w:sz w:val="24"/>
          <w:szCs w:val="24"/>
        </w:rPr>
        <w:t xml:space="preserve"> </w:t>
      </w:r>
      <w:r w:rsidR="00861237">
        <w:rPr>
          <w:rFonts w:ascii="Times New Roman" w:hAnsi="Times New Roman" w:cs="Times New Roman"/>
          <w:sz w:val="24"/>
          <w:szCs w:val="24"/>
        </w:rPr>
        <w:t>been granted</w:t>
      </w:r>
      <w:r w:rsidR="00C81577">
        <w:rPr>
          <w:rFonts w:ascii="Times New Roman" w:hAnsi="Times New Roman" w:cs="Times New Roman"/>
          <w:sz w:val="24"/>
          <w:szCs w:val="24"/>
        </w:rPr>
        <w:t xml:space="preserve"> or offered new</w:t>
      </w:r>
      <w:r>
        <w:rPr>
          <w:rFonts w:ascii="Times New Roman" w:hAnsi="Times New Roman" w:cs="Times New Roman"/>
          <w:sz w:val="24"/>
          <w:szCs w:val="24"/>
        </w:rPr>
        <w:t xml:space="preserve"> leases after the respondent had been </w:t>
      </w:r>
      <w:r w:rsidR="00861237">
        <w:rPr>
          <w:rFonts w:ascii="Times New Roman" w:hAnsi="Times New Roman" w:cs="Times New Roman"/>
          <w:sz w:val="24"/>
          <w:szCs w:val="24"/>
        </w:rPr>
        <w:t>given notice and</w:t>
      </w:r>
      <w:r>
        <w:rPr>
          <w:rFonts w:ascii="Times New Roman" w:hAnsi="Times New Roman" w:cs="Times New Roman"/>
          <w:sz w:val="24"/>
          <w:szCs w:val="24"/>
        </w:rPr>
        <w:t xml:space="preserve"> that this </w:t>
      </w:r>
      <w:r w:rsidR="00861237">
        <w:rPr>
          <w:rFonts w:ascii="Times New Roman" w:hAnsi="Times New Roman" w:cs="Times New Roman"/>
          <w:sz w:val="24"/>
          <w:szCs w:val="24"/>
        </w:rPr>
        <w:t>fact contradicted</w:t>
      </w:r>
      <w:r>
        <w:rPr>
          <w:rFonts w:ascii="Times New Roman" w:hAnsi="Times New Roman" w:cs="Times New Roman"/>
          <w:sz w:val="24"/>
          <w:szCs w:val="24"/>
        </w:rPr>
        <w:t xml:space="preserve"> the </w:t>
      </w:r>
      <w:r w:rsidR="00861237">
        <w:rPr>
          <w:rFonts w:ascii="Times New Roman" w:hAnsi="Times New Roman" w:cs="Times New Roman"/>
          <w:sz w:val="24"/>
          <w:szCs w:val="24"/>
        </w:rPr>
        <w:t>applicants assession that</w:t>
      </w:r>
      <w:r>
        <w:rPr>
          <w:rFonts w:ascii="Times New Roman" w:hAnsi="Times New Roman" w:cs="Times New Roman"/>
          <w:sz w:val="24"/>
          <w:szCs w:val="24"/>
        </w:rPr>
        <w:t xml:space="preserve">   it needed premises for its own use. Again the allegation is not correct because the court </w:t>
      </w:r>
      <w:r w:rsidR="00353F3B">
        <w:rPr>
          <w:rFonts w:ascii="Times New Roman" w:hAnsi="Times New Roman" w:cs="Times New Roman"/>
          <w:sz w:val="24"/>
          <w:szCs w:val="24"/>
        </w:rPr>
        <w:t>dealt with that</w:t>
      </w:r>
      <w:r w:rsidR="00861237">
        <w:rPr>
          <w:rFonts w:ascii="Times New Roman" w:hAnsi="Times New Roman" w:cs="Times New Roman"/>
          <w:sz w:val="24"/>
          <w:szCs w:val="24"/>
        </w:rPr>
        <w:t xml:space="preserve"> evidence on p</w:t>
      </w:r>
      <w:r>
        <w:rPr>
          <w:rFonts w:ascii="Times New Roman" w:hAnsi="Times New Roman" w:cs="Times New Roman"/>
          <w:sz w:val="24"/>
          <w:szCs w:val="24"/>
        </w:rPr>
        <w:t xml:space="preserve"> 13 of its judgements. The court reasoned that the allegation of new leases having</w:t>
      </w:r>
      <w:r w:rsidR="00861237">
        <w:rPr>
          <w:rFonts w:ascii="Times New Roman" w:hAnsi="Times New Roman" w:cs="Times New Roman"/>
          <w:sz w:val="24"/>
          <w:szCs w:val="24"/>
        </w:rPr>
        <w:t xml:space="preserve"> been offered to other tenants which the</w:t>
      </w:r>
      <w:r>
        <w:rPr>
          <w:rFonts w:ascii="Times New Roman" w:hAnsi="Times New Roman" w:cs="Times New Roman"/>
          <w:sz w:val="24"/>
          <w:szCs w:val="24"/>
        </w:rPr>
        <w:t xml:space="preserve"> applicants witn</w:t>
      </w:r>
      <w:r w:rsidR="00861237">
        <w:rPr>
          <w:rFonts w:ascii="Times New Roman" w:hAnsi="Times New Roman" w:cs="Times New Roman"/>
          <w:sz w:val="24"/>
          <w:szCs w:val="24"/>
        </w:rPr>
        <w:t>ess denied</w:t>
      </w:r>
      <w:r>
        <w:rPr>
          <w:rFonts w:ascii="Times New Roman" w:hAnsi="Times New Roman" w:cs="Times New Roman"/>
          <w:sz w:val="24"/>
          <w:szCs w:val="24"/>
        </w:rPr>
        <w:t xml:space="preserve"> was a base</w:t>
      </w:r>
      <w:r w:rsidR="00353F3B">
        <w:rPr>
          <w:rFonts w:ascii="Times New Roman" w:hAnsi="Times New Roman" w:cs="Times New Roman"/>
          <w:sz w:val="24"/>
          <w:szCs w:val="24"/>
        </w:rPr>
        <w:t>less</w:t>
      </w:r>
      <w:r>
        <w:rPr>
          <w:rFonts w:ascii="Times New Roman" w:hAnsi="Times New Roman" w:cs="Times New Roman"/>
          <w:sz w:val="24"/>
          <w:szCs w:val="24"/>
        </w:rPr>
        <w:t xml:space="preserve"> assertion.  The court also noted that there was no evidence placed before it to indicate that the o</w:t>
      </w:r>
      <w:r w:rsidR="00353F3B">
        <w:rPr>
          <w:rFonts w:ascii="Times New Roman" w:hAnsi="Times New Roman" w:cs="Times New Roman"/>
          <w:sz w:val="24"/>
          <w:szCs w:val="24"/>
        </w:rPr>
        <w:t xml:space="preserve">ther tenants were resisting giving up possession of the property to allow for renovations. </w:t>
      </w:r>
      <w:r>
        <w:rPr>
          <w:rFonts w:ascii="Times New Roman" w:hAnsi="Times New Roman" w:cs="Times New Roman"/>
          <w:sz w:val="24"/>
          <w:szCs w:val="24"/>
        </w:rPr>
        <w:t>Once a ground of appeal lies about the misdirection allegedly made by the court, the prospects of such erroneously</w:t>
      </w:r>
      <w:r w:rsidR="00353F3B">
        <w:rPr>
          <w:rFonts w:ascii="Times New Roman" w:hAnsi="Times New Roman" w:cs="Times New Roman"/>
          <w:sz w:val="24"/>
          <w:szCs w:val="24"/>
        </w:rPr>
        <w:t xml:space="preserve"> grounded ground of appeal, wanes</w:t>
      </w:r>
      <w:r w:rsidR="00524A0D">
        <w:rPr>
          <w:rFonts w:ascii="Times New Roman" w:hAnsi="Times New Roman" w:cs="Times New Roman"/>
          <w:sz w:val="24"/>
          <w:szCs w:val="24"/>
        </w:rPr>
        <w:t xml:space="preserve"> into insignificance </w:t>
      </w:r>
      <w:r w:rsidR="00353F3B">
        <w:rPr>
          <w:rFonts w:ascii="Times New Roman" w:hAnsi="Times New Roman" w:cs="Times New Roman"/>
          <w:sz w:val="24"/>
          <w:szCs w:val="24"/>
        </w:rPr>
        <w:t>or oblivion</w:t>
      </w:r>
      <w:r w:rsidR="00524A0D">
        <w:rPr>
          <w:rFonts w:ascii="Times New Roman" w:hAnsi="Times New Roman" w:cs="Times New Roman"/>
          <w:sz w:val="24"/>
          <w:szCs w:val="24"/>
        </w:rPr>
        <w:t xml:space="preserve">. </w:t>
      </w:r>
      <w:r>
        <w:rPr>
          <w:rFonts w:ascii="Times New Roman" w:hAnsi="Times New Roman" w:cs="Times New Roman"/>
          <w:sz w:val="24"/>
          <w:szCs w:val="24"/>
        </w:rPr>
        <w:t>There is therefore no prospect of the ground of appeal succeeding.</w:t>
      </w:r>
    </w:p>
    <w:p w:rsidR="00F256ED" w:rsidRDefault="00F256ED" w:rsidP="00F256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The fourth and last ground of appeal </w:t>
      </w:r>
      <w:r w:rsidR="00353F3B">
        <w:rPr>
          <w:rFonts w:ascii="Times New Roman" w:hAnsi="Times New Roman" w:cs="Times New Roman"/>
          <w:sz w:val="24"/>
          <w:szCs w:val="24"/>
        </w:rPr>
        <w:t xml:space="preserve"> was</w:t>
      </w:r>
      <w:r w:rsidR="00806ACA">
        <w:rPr>
          <w:rFonts w:ascii="Times New Roman" w:hAnsi="Times New Roman" w:cs="Times New Roman"/>
          <w:sz w:val="24"/>
          <w:szCs w:val="24"/>
        </w:rPr>
        <w:t xml:space="preserve"> </w:t>
      </w:r>
      <w:r>
        <w:rPr>
          <w:rFonts w:ascii="Times New Roman" w:hAnsi="Times New Roman" w:cs="Times New Roman"/>
          <w:sz w:val="24"/>
          <w:szCs w:val="24"/>
        </w:rPr>
        <w:t xml:space="preserve">that the </w:t>
      </w:r>
      <w:r w:rsidR="00524A0D">
        <w:rPr>
          <w:rFonts w:ascii="Times New Roman" w:hAnsi="Times New Roman" w:cs="Times New Roman"/>
          <w:sz w:val="24"/>
          <w:szCs w:val="24"/>
        </w:rPr>
        <w:t>court was misdirected to place a</w:t>
      </w:r>
      <w:r>
        <w:rPr>
          <w:rFonts w:ascii="Times New Roman" w:hAnsi="Times New Roman" w:cs="Times New Roman"/>
          <w:sz w:val="24"/>
          <w:szCs w:val="24"/>
        </w:rPr>
        <w:t>n onus on the respondent to pro</w:t>
      </w:r>
      <w:r w:rsidR="00524A0D">
        <w:rPr>
          <w:rFonts w:ascii="Times New Roman" w:hAnsi="Times New Roman" w:cs="Times New Roman"/>
          <w:sz w:val="24"/>
          <w:szCs w:val="24"/>
        </w:rPr>
        <w:t xml:space="preserve">ve that </w:t>
      </w:r>
      <w:r w:rsidR="00B17F42">
        <w:rPr>
          <w:rFonts w:ascii="Times New Roman" w:hAnsi="Times New Roman" w:cs="Times New Roman"/>
          <w:sz w:val="24"/>
          <w:szCs w:val="24"/>
        </w:rPr>
        <w:t>other tenants occupying</w:t>
      </w:r>
      <w:r>
        <w:rPr>
          <w:rFonts w:ascii="Times New Roman" w:hAnsi="Times New Roman" w:cs="Times New Roman"/>
          <w:sz w:val="24"/>
          <w:szCs w:val="24"/>
        </w:rPr>
        <w:t xml:space="preserve"> </w:t>
      </w:r>
      <w:r w:rsidR="00C83537">
        <w:rPr>
          <w:rFonts w:ascii="Times New Roman" w:hAnsi="Times New Roman" w:cs="Times New Roman"/>
          <w:sz w:val="24"/>
          <w:szCs w:val="24"/>
        </w:rPr>
        <w:t>the same</w:t>
      </w:r>
      <w:r>
        <w:rPr>
          <w:rFonts w:ascii="Times New Roman" w:hAnsi="Times New Roman" w:cs="Times New Roman"/>
          <w:sz w:val="24"/>
          <w:szCs w:val="24"/>
        </w:rPr>
        <w:t xml:space="preserve"> premises were not given notices </w:t>
      </w:r>
      <w:r w:rsidR="00C83537">
        <w:rPr>
          <w:rFonts w:ascii="Times New Roman" w:hAnsi="Times New Roman" w:cs="Times New Roman"/>
          <w:sz w:val="24"/>
          <w:szCs w:val="24"/>
        </w:rPr>
        <w:t>to vacate</w:t>
      </w:r>
      <w:r>
        <w:rPr>
          <w:rFonts w:ascii="Times New Roman" w:hAnsi="Times New Roman" w:cs="Times New Roman"/>
          <w:sz w:val="24"/>
          <w:szCs w:val="24"/>
        </w:rPr>
        <w:t xml:space="preserve">. The respondent averred that it was the obligation of the applicant to prove that it did not selectively issue notices of eviction.  This ground is a </w:t>
      </w:r>
      <w:r w:rsidR="00C83537">
        <w:rPr>
          <w:rFonts w:ascii="Times New Roman" w:hAnsi="Times New Roman" w:cs="Times New Roman"/>
          <w:sz w:val="24"/>
          <w:szCs w:val="24"/>
        </w:rPr>
        <w:t>surprising one</w:t>
      </w:r>
      <w:r>
        <w:rPr>
          <w:rFonts w:ascii="Times New Roman" w:hAnsi="Times New Roman" w:cs="Times New Roman"/>
          <w:sz w:val="24"/>
          <w:szCs w:val="24"/>
        </w:rPr>
        <w:t xml:space="preserve"> </w:t>
      </w:r>
      <w:r w:rsidR="00C83537">
        <w:rPr>
          <w:rFonts w:ascii="Times New Roman" w:hAnsi="Times New Roman" w:cs="Times New Roman"/>
          <w:sz w:val="24"/>
          <w:szCs w:val="24"/>
        </w:rPr>
        <w:t>because it</w:t>
      </w:r>
      <w:r>
        <w:rPr>
          <w:rFonts w:ascii="Times New Roman" w:hAnsi="Times New Roman" w:cs="Times New Roman"/>
          <w:sz w:val="24"/>
          <w:szCs w:val="24"/>
        </w:rPr>
        <w:t xml:space="preserve"> is assumed that the respondent’s legal practitioner </w:t>
      </w:r>
      <w:r w:rsidR="00C83537">
        <w:rPr>
          <w:rFonts w:ascii="Times New Roman" w:hAnsi="Times New Roman" w:cs="Times New Roman"/>
          <w:sz w:val="24"/>
          <w:szCs w:val="24"/>
        </w:rPr>
        <w:t>would be</w:t>
      </w:r>
      <w:r>
        <w:rPr>
          <w:rFonts w:ascii="Times New Roman" w:hAnsi="Times New Roman" w:cs="Times New Roman"/>
          <w:sz w:val="24"/>
          <w:szCs w:val="24"/>
        </w:rPr>
        <w:t xml:space="preserve"> aware of the basic principle of proving </w:t>
      </w:r>
      <w:r w:rsidR="00C83537">
        <w:rPr>
          <w:rFonts w:ascii="Times New Roman" w:hAnsi="Times New Roman" w:cs="Times New Roman"/>
          <w:sz w:val="24"/>
          <w:szCs w:val="24"/>
        </w:rPr>
        <w:t>disputed facts that unless other basis</w:t>
      </w:r>
      <w:r>
        <w:rPr>
          <w:rFonts w:ascii="Times New Roman" w:hAnsi="Times New Roman" w:cs="Times New Roman"/>
          <w:sz w:val="24"/>
          <w:szCs w:val="24"/>
        </w:rPr>
        <w:t xml:space="preserve"> of proof are provided by law</w:t>
      </w:r>
      <w:r w:rsidR="00353F3B">
        <w:rPr>
          <w:rFonts w:ascii="Times New Roman" w:hAnsi="Times New Roman" w:cs="Times New Roman"/>
          <w:sz w:val="24"/>
          <w:szCs w:val="24"/>
        </w:rPr>
        <w:t>, t</w:t>
      </w:r>
      <w:r>
        <w:rPr>
          <w:rFonts w:ascii="Times New Roman" w:hAnsi="Times New Roman" w:cs="Times New Roman"/>
          <w:sz w:val="24"/>
          <w:szCs w:val="24"/>
        </w:rPr>
        <w:t xml:space="preserve">hen the party that avers must prove. The allegation that other tenants were issued with new leases was generated by the respondent. If it was the respondents’ contention that it was being treated differently from </w:t>
      </w:r>
      <w:r w:rsidR="00806ACA">
        <w:rPr>
          <w:rFonts w:ascii="Times New Roman" w:hAnsi="Times New Roman" w:cs="Times New Roman"/>
          <w:sz w:val="24"/>
          <w:szCs w:val="24"/>
        </w:rPr>
        <w:t>the other</w:t>
      </w:r>
      <w:r>
        <w:rPr>
          <w:rFonts w:ascii="Times New Roman" w:hAnsi="Times New Roman" w:cs="Times New Roman"/>
          <w:sz w:val="24"/>
          <w:szCs w:val="24"/>
        </w:rPr>
        <w:t xml:space="preserve"> tenants</w:t>
      </w:r>
      <w:r w:rsidR="00806ACA">
        <w:rPr>
          <w:rFonts w:ascii="Times New Roman" w:hAnsi="Times New Roman" w:cs="Times New Roman"/>
          <w:sz w:val="24"/>
          <w:szCs w:val="24"/>
        </w:rPr>
        <w:t>.  W</w:t>
      </w:r>
      <w:r>
        <w:rPr>
          <w:rFonts w:ascii="Times New Roman" w:hAnsi="Times New Roman" w:cs="Times New Roman"/>
          <w:sz w:val="24"/>
          <w:szCs w:val="24"/>
        </w:rPr>
        <w:t xml:space="preserve">hether or not </w:t>
      </w:r>
      <w:r w:rsidR="00806ACA">
        <w:rPr>
          <w:rFonts w:ascii="Times New Roman" w:hAnsi="Times New Roman" w:cs="Times New Roman"/>
          <w:sz w:val="24"/>
          <w:szCs w:val="24"/>
        </w:rPr>
        <w:t>the defence would succeed</w:t>
      </w:r>
      <w:r>
        <w:rPr>
          <w:rFonts w:ascii="Times New Roman" w:hAnsi="Times New Roman" w:cs="Times New Roman"/>
          <w:sz w:val="24"/>
          <w:szCs w:val="24"/>
        </w:rPr>
        <w:t xml:space="preserve"> being   </w:t>
      </w:r>
      <w:r w:rsidR="00353F3B">
        <w:rPr>
          <w:rFonts w:ascii="Times New Roman" w:hAnsi="Times New Roman" w:cs="Times New Roman"/>
          <w:sz w:val="24"/>
          <w:szCs w:val="24"/>
        </w:rPr>
        <w:t>beside</w:t>
      </w:r>
      <w:r>
        <w:rPr>
          <w:rFonts w:ascii="Times New Roman" w:hAnsi="Times New Roman" w:cs="Times New Roman"/>
          <w:sz w:val="24"/>
          <w:szCs w:val="24"/>
        </w:rPr>
        <w:t xml:space="preserve"> the point</w:t>
      </w:r>
      <w:r w:rsidR="00353F3B">
        <w:rPr>
          <w:rFonts w:ascii="Times New Roman" w:hAnsi="Times New Roman" w:cs="Times New Roman"/>
          <w:sz w:val="24"/>
          <w:szCs w:val="24"/>
        </w:rPr>
        <w:t>,</w:t>
      </w:r>
      <w:r>
        <w:rPr>
          <w:rFonts w:ascii="Times New Roman" w:hAnsi="Times New Roman" w:cs="Times New Roman"/>
          <w:sz w:val="24"/>
          <w:szCs w:val="24"/>
        </w:rPr>
        <w:t xml:space="preserve"> it was the respondent which was </w:t>
      </w:r>
      <w:r w:rsidR="00806ACA">
        <w:rPr>
          <w:rFonts w:ascii="Times New Roman" w:hAnsi="Times New Roman" w:cs="Times New Roman"/>
          <w:sz w:val="24"/>
          <w:szCs w:val="24"/>
        </w:rPr>
        <w:t xml:space="preserve">required </w:t>
      </w:r>
      <w:r w:rsidR="00806ACA">
        <w:rPr>
          <w:rFonts w:ascii="Times New Roman" w:hAnsi="Times New Roman" w:cs="Times New Roman"/>
          <w:sz w:val="24"/>
          <w:szCs w:val="24"/>
        </w:rPr>
        <w:lastRenderedPageBreak/>
        <w:t>to</w:t>
      </w:r>
      <w:r>
        <w:rPr>
          <w:rFonts w:ascii="Times New Roman" w:hAnsi="Times New Roman" w:cs="Times New Roman"/>
          <w:sz w:val="24"/>
          <w:szCs w:val="24"/>
        </w:rPr>
        <w:t xml:space="preserve"> prove the assertion that it w</w:t>
      </w:r>
      <w:r w:rsidR="00353F3B">
        <w:rPr>
          <w:rFonts w:ascii="Times New Roman" w:hAnsi="Times New Roman" w:cs="Times New Roman"/>
          <w:sz w:val="24"/>
          <w:szCs w:val="24"/>
        </w:rPr>
        <w:t>as only it  that had been  given</w:t>
      </w:r>
      <w:r>
        <w:rPr>
          <w:rFonts w:ascii="Times New Roman" w:hAnsi="Times New Roman" w:cs="Times New Roman"/>
          <w:sz w:val="24"/>
          <w:szCs w:val="24"/>
        </w:rPr>
        <w:t xml:space="preserve"> notice  to vacate . The applicant was not suing all the tenants and did not have any duty or onus to show that he gave notice to each and all tenants. The</w:t>
      </w:r>
      <w:r w:rsidR="000C7E22">
        <w:rPr>
          <w:rFonts w:ascii="Times New Roman" w:hAnsi="Times New Roman" w:cs="Times New Roman"/>
          <w:sz w:val="24"/>
          <w:szCs w:val="24"/>
        </w:rPr>
        <w:t xml:space="preserve">  attention </w:t>
      </w:r>
      <w:r>
        <w:rPr>
          <w:rFonts w:ascii="Times New Roman" w:hAnsi="Times New Roman" w:cs="Times New Roman"/>
          <w:sz w:val="24"/>
          <w:szCs w:val="24"/>
        </w:rPr>
        <w:t xml:space="preserve">of the respondents </w:t>
      </w:r>
      <w:r w:rsidR="000C7E22">
        <w:rPr>
          <w:rFonts w:ascii="Times New Roman" w:hAnsi="Times New Roman" w:cs="Times New Roman"/>
          <w:sz w:val="24"/>
          <w:szCs w:val="24"/>
        </w:rPr>
        <w:t>counsel is drawn to the Kingstons</w:t>
      </w:r>
      <w:r>
        <w:rPr>
          <w:rFonts w:ascii="Times New Roman" w:hAnsi="Times New Roman" w:cs="Times New Roman"/>
          <w:sz w:val="24"/>
          <w:szCs w:val="24"/>
        </w:rPr>
        <w:t xml:space="preserve">  Ltd case  ( </w:t>
      </w:r>
      <w:r w:rsidR="009779CE">
        <w:rPr>
          <w:rFonts w:ascii="Times New Roman" w:hAnsi="Times New Roman" w:cs="Times New Roman"/>
          <w:sz w:val="24"/>
          <w:szCs w:val="24"/>
        </w:rPr>
        <w:t>s</w:t>
      </w:r>
      <w:r w:rsidR="000C7E22">
        <w:rPr>
          <w:rFonts w:ascii="Times New Roman" w:hAnsi="Times New Roman" w:cs="Times New Roman"/>
          <w:sz w:val="24"/>
          <w:szCs w:val="24"/>
        </w:rPr>
        <w:t>u</w:t>
      </w:r>
      <w:r>
        <w:rPr>
          <w:rFonts w:ascii="Times New Roman" w:hAnsi="Times New Roman" w:cs="Times New Roman"/>
          <w:sz w:val="24"/>
          <w:szCs w:val="24"/>
        </w:rPr>
        <w:t>pra) which clearly stat</w:t>
      </w:r>
      <w:r w:rsidR="00D213D3">
        <w:rPr>
          <w:rFonts w:ascii="Times New Roman" w:hAnsi="Times New Roman" w:cs="Times New Roman"/>
          <w:sz w:val="24"/>
          <w:szCs w:val="24"/>
        </w:rPr>
        <w:t>es</w:t>
      </w:r>
      <w:r>
        <w:rPr>
          <w:rFonts w:ascii="Times New Roman" w:hAnsi="Times New Roman" w:cs="Times New Roman"/>
          <w:sz w:val="24"/>
          <w:szCs w:val="24"/>
        </w:rPr>
        <w:t xml:space="preserve"> that it is the</w:t>
      </w:r>
      <w:r w:rsidR="000C7E22">
        <w:rPr>
          <w:rFonts w:ascii="Times New Roman" w:hAnsi="Times New Roman" w:cs="Times New Roman"/>
          <w:sz w:val="24"/>
          <w:szCs w:val="24"/>
        </w:rPr>
        <w:t xml:space="preserve">  lease who  resists  eviction</w:t>
      </w:r>
      <w:r>
        <w:rPr>
          <w:rFonts w:ascii="Times New Roman" w:hAnsi="Times New Roman" w:cs="Times New Roman"/>
          <w:sz w:val="24"/>
          <w:szCs w:val="24"/>
        </w:rPr>
        <w:t xml:space="preserve"> who must  bring forward facts and  circumstances to cast doubt on the lessor</w:t>
      </w:r>
      <w:r w:rsidR="000C7E22">
        <w:rPr>
          <w:rFonts w:ascii="Times New Roman" w:hAnsi="Times New Roman" w:cs="Times New Roman"/>
          <w:sz w:val="24"/>
          <w:szCs w:val="24"/>
        </w:rPr>
        <w:t>’</w:t>
      </w:r>
      <w:r>
        <w:rPr>
          <w:rFonts w:ascii="Times New Roman" w:hAnsi="Times New Roman" w:cs="Times New Roman"/>
          <w:sz w:val="24"/>
          <w:szCs w:val="24"/>
        </w:rPr>
        <w:t>s  claim . There is no prospect of this ground of appeal succeeding either.</w:t>
      </w:r>
    </w:p>
    <w:p w:rsidR="00F256ED" w:rsidRDefault="00F256ED" w:rsidP="00F256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Last</w:t>
      </w:r>
      <w:r w:rsidR="000C7E22">
        <w:rPr>
          <w:rFonts w:ascii="Times New Roman" w:hAnsi="Times New Roman" w:cs="Times New Roman"/>
          <w:sz w:val="24"/>
          <w:szCs w:val="24"/>
        </w:rPr>
        <w:t>ly I deal with</w:t>
      </w:r>
      <w:r>
        <w:rPr>
          <w:rFonts w:ascii="Times New Roman" w:hAnsi="Times New Roman" w:cs="Times New Roman"/>
          <w:sz w:val="24"/>
          <w:szCs w:val="24"/>
        </w:rPr>
        <w:t xml:space="preserve"> the balance of convenience. The applicant averred that it would suffer irreparable harm were execution pending appeal be not granted. The respondent similarly made a like claim. The applicant is the owner of the property and has guaranteed ownership right which include buildi</w:t>
      </w:r>
      <w:r w:rsidR="000C7E22">
        <w:rPr>
          <w:rFonts w:ascii="Times New Roman" w:hAnsi="Times New Roman" w:cs="Times New Roman"/>
          <w:sz w:val="24"/>
          <w:szCs w:val="24"/>
        </w:rPr>
        <w:t>ng on its property.  It already</w:t>
      </w:r>
      <w:r>
        <w:rPr>
          <w:rFonts w:ascii="Times New Roman" w:hAnsi="Times New Roman" w:cs="Times New Roman"/>
          <w:sz w:val="24"/>
          <w:szCs w:val="24"/>
        </w:rPr>
        <w:t xml:space="preserve"> to renovate the property to modern standards and also derive increased income from it. It a heady has an approved plan which it wants to put to work</w:t>
      </w:r>
      <w:r w:rsidR="000C7E22">
        <w:rPr>
          <w:rFonts w:ascii="Times New Roman" w:hAnsi="Times New Roman" w:cs="Times New Roman"/>
          <w:sz w:val="24"/>
          <w:szCs w:val="24"/>
        </w:rPr>
        <w:t xml:space="preserve"> now. The respondent averred</w:t>
      </w:r>
      <w:r>
        <w:rPr>
          <w:rFonts w:ascii="Times New Roman" w:hAnsi="Times New Roman" w:cs="Times New Roman"/>
          <w:sz w:val="24"/>
          <w:szCs w:val="24"/>
        </w:rPr>
        <w:t xml:space="preserve"> that it was the one which stood to suffer irreparable harm because once evicted it is not possible to re- occupy the premises. In my view it would be its choice to return or not to should its appeal succeed.  It must </w:t>
      </w:r>
      <w:r w:rsidR="000C7E22">
        <w:rPr>
          <w:rFonts w:ascii="Times New Roman" w:hAnsi="Times New Roman" w:cs="Times New Roman"/>
          <w:sz w:val="24"/>
          <w:szCs w:val="24"/>
        </w:rPr>
        <w:t xml:space="preserve">have </w:t>
      </w:r>
      <w:r>
        <w:rPr>
          <w:rFonts w:ascii="Times New Roman" w:hAnsi="Times New Roman" w:cs="Times New Roman"/>
          <w:sz w:val="24"/>
          <w:szCs w:val="24"/>
        </w:rPr>
        <w:t>dawned on the respondent that right from the onset when the notice to vacate was given, through to the issue of summons the possibility</w:t>
      </w:r>
      <w:r w:rsidR="000C7E22">
        <w:rPr>
          <w:rFonts w:ascii="Times New Roman" w:hAnsi="Times New Roman" w:cs="Times New Roman"/>
          <w:sz w:val="24"/>
          <w:szCs w:val="24"/>
        </w:rPr>
        <w:t xml:space="preserve"> existed</w:t>
      </w:r>
      <w:r>
        <w:rPr>
          <w:rFonts w:ascii="Times New Roman" w:hAnsi="Times New Roman" w:cs="Times New Roman"/>
          <w:sz w:val="24"/>
          <w:szCs w:val="24"/>
        </w:rPr>
        <w:t xml:space="preserve"> that its occupancy </w:t>
      </w:r>
      <w:r w:rsidR="000C7E22">
        <w:rPr>
          <w:rFonts w:ascii="Times New Roman" w:hAnsi="Times New Roman" w:cs="Times New Roman"/>
          <w:sz w:val="24"/>
          <w:szCs w:val="24"/>
        </w:rPr>
        <w:t>which was</w:t>
      </w:r>
      <w:r>
        <w:rPr>
          <w:rFonts w:ascii="Times New Roman" w:hAnsi="Times New Roman" w:cs="Times New Roman"/>
          <w:sz w:val="24"/>
          <w:szCs w:val="24"/>
        </w:rPr>
        <w:t xml:space="preserve"> then under challenge carried the risk </w:t>
      </w:r>
      <w:r w:rsidR="00696DB0">
        <w:rPr>
          <w:rFonts w:ascii="Times New Roman" w:hAnsi="Times New Roman" w:cs="Times New Roman"/>
          <w:sz w:val="24"/>
          <w:szCs w:val="24"/>
        </w:rPr>
        <w:t>that it</w:t>
      </w:r>
      <w:r>
        <w:rPr>
          <w:rFonts w:ascii="Times New Roman" w:hAnsi="Times New Roman" w:cs="Times New Roman"/>
          <w:sz w:val="24"/>
          <w:szCs w:val="24"/>
        </w:rPr>
        <w:t xml:space="preserve"> could lose </w:t>
      </w:r>
      <w:r w:rsidR="000C7E22">
        <w:rPr>
          <w:rFonts w:ascii="Times New Roman" w:hAnsi="Times New Roman" w:cs="Times New Roman"/>
          <w:sz w:val="24"/>
          <w:szCs w:val="24"/>
        </w:rPr>
        <w:t>the right of occupancy. The potentiality</w:t>
      </w:r>
      <w:r>
        <w:rPr>
          <w:rFonts w:ascii="Times New Roman" w:hAnsi="Times New Roman" w:cs="Times New Roman"/>
          <w:sz w:val="24"/>
          <w:szCs w:val="24"/>
        </w:rPr>
        <w:t xml:space="preserve"> for</w:t>
      </w:r>
      <w:r w:rsidR="000C7E22">
        <w:rPr>
          <w:rFonts w:ascii="Times New Roman" w:hAnsi="Times New Roman" w:cs="Times New Roman"/>
          <w:sz w:val="24"/>
          <w:szCs w:val="24"/>
        </w:rPr>
        <w:t xml:space="preserve"> harm </w:t>
      </w:r>
      <w:r w:rsidR="00696DB0">
        <w:rPr>
          <w:rFonts w:ascii="Times New Roman" w:hAnsi="Times New Roman" w:cs="Times New Roman"/>
          <w:sz w:val="24"/>
          <w:szCs w:val="24"/>
        </w:rPr>
        <w:t>should have</w:t>
      </w:r>
      <w:r>
        <w:rPr>
          <w:rFonts w:ascii="Times New Roman" w:hAnsi="Times New Roman" w:cs="Times New Roman"/>
          <w:sz w:val="24"/>
          <w:szCs w:val="24"/>
        </w:rPr>
        <w:t xml:space="preserve"> been and was apparent therefore and has remained there. Being evicted is an anticipated consequence of eviction proceeding and if there can be irreparable harm alleged, then it is an inevitable consequence in eviction proceedings.</w:t>
      </w:r>
    </w:p>
    <w:p w:rsidR="00F256ED" w:rsidRDefault="00F256ED" w:rsidP="00F256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averred that the applicant continues to receive rentals from the respondent and consequently did not stand to suffer any prejudice. It averred that if execu</w:t>
      </w:r>
      <w:r w:rsidR="000C7E22">
        <w:rPr>
          <w:rFonts w:ascii="Times New Roman" w:hAnsi="Times New Roman" w:cs="Times New Roman"/>
          <w:sz w:val="24"/>
          <w:szCs w:val="24"/>
        </w:rPr>
        <w:t>tion pending appeal is granted, the respondent would shut</w:t>
      </w:r>
      <w:r>
        <w:rPr>
          <w:rFonts w:ascii="Times New Roman" w:hAnsi="Times New Roman" w:cs="Times New Roman"/>
          <w:sz w:val="24"/>
          <w:szCs w:val="24"/>
        </w:rPr>
        <w:t xml:space="preserve"> down its business until the outcome of the appeal. This submission is difficult to appreciate because what essentially the respondent is </w:t>
      </w:r>
      <w:r w:rsidR="00696DB0">
        <w:rPr>
          <w:rFonts w:ascii="Times New Roman" w:hAnsi="Times New Roman" w:cs="Times New Roman"/>
          <w:sz w:val="24"/>
          <w:szCs w:val="24"/>
        </w:rPr>
        <w:t>pleading is</w:t>
      </w:r>
      <w:r w:rsidR="000C7E22">
        <w:rPr>
          <w:rFonts w:ascii="Times New Roman" w:hAnsi="Times New Roman" w:cs="Times New Roman"/>
          <w:sz w:val="24"/>
          <w:szCs w:val="24"/>
        </w:rPr>
        <w:t xml:space="preserve"> </w:t>
      </w:r>
      <w:r>
        <w:rPr>
          <w:rFonts w:ascii="Times New Roman" w:hAnsi="Times New Roman" w:cs="Times New Roman"/>
          <w:sz w:val="24"/>
          <w:szCs w:val="24"/>
        </w:rPr>
        <w:t>that there is no prejudice when rent is being paid. The issue in the matter was</w:t>
      </w:r>
      <w:r w:rsidR="000C7E22">
        <w:rPr>
          <w:rFonts w:ascii="Times New Roman" w:hAnsi="Times New Roman" w:cs="Times New Roman"/>
          <w:sz w:val="24"/>
          <w:szCs w:val="24"/>
        </w:rPr>
        <w:t xml:space="preserve"> not </w:t>
      </w:r>
      <w:r w:rsidR="00696DB0">
        <w:rPr>
          <w:rFonts w:ascii="Times New Roman" w:hAnsi="Times New Roman" w:cs="Times New Roman"/>
          <w:sz w:val="24"/>
          <w:szCs w:val="24"/>
        </w:rPr>
        <w:t>about rentals</w:t>
      </w:r>
      <w:r>
        <w:rPr>
          <w:rFonts w:ascii="Times New Roman" w:hAnsi="Times New Roman" w:cs="Times New Roman"/>
          <w:sz w:val="24"/>
          <w:szCs w:val="24"/>
        </w:rPr>
        <w:t xml:space="preserve"> or   their adequac</w:t>
      </w:r>
      <w:r w:rsidR="00696DB0">
        <w:rPr>
          <w:rFonts w:ascii="Times New Roman" w:hAnsi="Times New Roman" w:cs="Times New Roman"/>
          <w:sz w:val="24"/>
          <w:szCs w:val="24"/>
        </w:rPr>
        <w:t>y but renovations and modernization of</w:t>
      </w:r>
      <w:r>
        <w:rPr>
          <w:rFonts w:ascii="Times New Roman" w:hAnsi="Times New Roman" w:cs="Times New Roman"/>
          <w:sz w:val="24"/>
          <w:szCs w:val="24"/>
        </w:rPr>
        <w:t xml:space="preserve"> premises. The prejudice to be suffered by the applicant must be based upon what it means to it if it does not carry out its objects to    renovate the premises.</w:t>
      </w:r>
    </w:p>
    <w:p w:rsidR="00F256ED" w:rsidRDefault="00F256ED" w:rsidP="00F256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In my view the balance of convenience favour the applicant as owner who has shown that it requires to carry out extensive renovations which will modernize its building and increase letting</w:t>
      </w:r>
      <w:r w:rsidR="00696DB0">
        <w:rPr>
          <w:rFonts w:ascii="Times New Roman" w:hAnsi="Times New Roman" w:cs="Times New Roman"/>
          <w:sz w:val="24"/>
          <w:szCs w:val="24"/>
        </w:rPr>
        <w:t xml:space="preserve"> space. The respondent’s appeal</w:t>
      </w:r>
      <w:r>
        <w:rPr>
          <w:rFonts w:ascii="Times New Roman" w:hAnsi="Times New Roman" w:cs="Times New Roman"/>
          <w:sz w:val="24"/>
          <w:szCs w:val="24"/>
        </w:rPr>
        <w:t xml:space="preserve"> does not have prospects of success as I have demonstrated. The </w:t>
      </w:r>
      <w:r>
        <w:rPr>
          <w:rFonts w:ascii="Times New Roman" w:hAnsi="Times New Roman" w:cs="Times New Roman"/>
          <w:sz w:val="24"/>
          <w:szCs w:val="24"/>
        </w:rPr>
        <w:lastRenderedPageBreak/>
        <w:t>resistance of the respondent to vacate the premises is not based upon any sound legal basis and even the grounds of appeal make false or</w:t>
      </w:r>
      <w:r w:rsidR="009C3993">
        <w:rPr>
          <w:rFonts w:ascii="Times New Roman" w:hAnsi="Times New Roman" w:cs="Times New Roman"/>
          <w:sz w:val="24"/>
          <w:szCs w:val="24"/>
        </w:rPr>
        <w:t xml:space="preserve"> inacc</w:t>
      </w:r>
      <w:r w:rsidR="00696DB0">
        <w:rPr>
          <w:rFonts w:ascii="Times New Roman" w:hAnsi="Times New Roman" w:cs="Times New Roman"/>
          <w:sz w:val="24"/>
          <w:szCs w:val="24"/>
        </w:rPr>
        <w:t>urate allegations about perceived</w:t>
      </w:r>
      <w:r w:rsidR="009C3993">
        <w:rPr>
          <w:rFonts w:ascii="Times New Roman" w:hAnsi="Times New Roman" w:cs="Times New Roman"/>
          <w:sz w:val="24"/>
          <w:szCs w:val="24"/>
        </w:rPr>
        <w:t xml:space="preserve"> </w:t>
      </w:r>
      <w:r>
        <w:rPr>
          <w:rFonts w:ascii="Times New Roman" w:hAnsi="Times New Roman" w:cs="Times New Roman"/>
          <w:sz w:val="24"/>
          <w:szCs w:val="24"/>
        </w:rPr>
        <w:t>misdirection</w:t>
      </w:r>
      <w:r w:rsidR="00696DB0">
        <w:rPr>
          <w:rFonts w:ascii="Times New Roman" w:hAnsi="Times New Roman" w:cs="Times New Roman"/>
          <w:sz w:val="24"/>
          <w:szCs w:val="24"/>
        </w:rPr>
        <w:t>’s</w:t>
      </w:r>
      <w:r>
        <w:rPr>
          <w:rFonts w:ascii="Times New Roman" w:hAnsi="Times New Roman" w:cs="Times New Roman"/>
          <w:sz w:val="24"/>
          <w:szCs w:val="24"/>
        </w:rPr>
        <w:t xml:space="preserve"> by the court. A proper case for the grant of leave to execute pending appeal has been established.</w:t>
      </w:r>
    </w:p>
    <w:p w:rsidR="00F256ED" w:rsidRDefault="00F256ED" w:rsidP="00F256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On costs, the app</w:t>
      </w:r>
      <w:r w:rsidR="00696DB0">
        <w:rPr>
          <w:rFonts w:ascii="Times New Roman" w:hAnsi="Times New Roman" w:cs="Times New Roman"/>
          <w:sz w:val="24"/>
          <w:szCs w:val="24"/>
        </w:rPr>
        <w:t>licant sought costs on the punitive scale of legal practitioner</w:t>
      </w:r>
      <w:r>
        <w:rPr>
          <w:rFonts w:ascii="Times New Roman" w:hAnsi="Times New Roman" w:cs="Times New Roman"/>
          <w:sz w:val="24"/>
          <w:szCs w:val="24"/>
        </w:rPr>
        <w:t xml:space="preserve"> and client. </w:t>
      </w:r>
      <w:r w:rsidR="00696DB0">
        <w:rPr>
          <w:rFonts w:ascii="Times New Roman" w:hAnsi="Times New Roman" w:cs="Times New Roman"/>
          <w:sz w:val="24"/>
          <w:szCs w:val="24"/>
        </w:rPr>
        <w:t>The applicant did not lay a basi</w:t>
      </w:r>
      <w:r>
        <w:rPr>
          <w:rFonts w:ascii="Times New Roman" w:hAnsi="Times New Roman" w:cs="Times New Roman"/>
          <w:sz w:val="24"/>
          <w:szCs w:val="24"/>
        </w:rPr>
        <w:t>s and grounds to justify such scale of costs. In such a case the general</w:t>
      </w:r>
      <w:r w:rsidR="00696DB0">
        <w:rPr>
          <w:rFonts w:ascii="Times New Roman" w:hAnsi="Times New Roman" w:cs="Times New Roman"/>
          <w:sz w:val="24"/>
          <w:szCs w:val="24"/>
        </w:rPr>
        <w:t xml:space="preserve"> rule</w:t>
      </w:r>
      <w:r>
        <w:rPr>
          <w:rFonts w:ascii="Times New Roman" w:hAnsi="Times New Roman" w:cs="Times New Roman"/>
          <w:sz w:val="24"/>
          <w:szCs w:val="24"/>
        </w:rPr>
        <w:t xml:space="preserve"> </w:t>
      </w:r>
      <w:r w:rsidR="009C3993">
        <w:rPr>
          <w:rFonts w:ascii="Times New Roman" w:hAnsi="Times New Roman" w:cs="Times New Roman"/>
          <w:sz w:val="24"/>
          <w:szCs w:val="24"/>
        </w:rPr>
        <w:t>that costs follow the event</w:t>
      </w:r>
      <w:r>
        <w:rPr>
          <w:rFonts w:ascii="Times New Roman" w:hAnsi="Times New Roman" w:cs="Times New Roman"/>
          <w:sz w:val="24"/>
          <w:szCs w:val="24"/>
        </w:rPr>
        <w:t xml:space="preserve"> applies. </w:t>
      </w:r>
    </w:p>
    <w:p w:rsidR="00F256ED" w:rsidRDefault="00F256ED" w:rsidP="00F256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is determined as follows:</w:t>
      </w:r>
    </w:p>
    <w:p w:rsidR="00F256ED" w:rsidRPr="00A017BF" w:rsidRDefault="00F256ED" w:rsidP="00F256ED">
      <w:pPr>
        <w:spacing w:line="360" w:lineRule="auto"/>
        <w:jc w:val="both"/>
        <w:rPr>
          <w:rFonts w:ascii="Times New Roman" w:hAnsi="Times New Roman" w:cs="Times New Roman"/>
          <w:b/>
          <w:sz w:val="24"/>
          <w:szCs w:val="24"/>
        </w:rPr>
      </w:pPr>
      <w:r w:rsidRPr="00A017BF">
        <w:rPr>
          <w:rFonts w:ascii="Times New Roman" w:hAnsi="Times New Roman" w:cs="Times New Roman"/>
          <w:b/>
          <w:sz w:val="24"/>
          <w:szCs w:val="24"/>
        </w:rPr>
        <w:t>IT IS ORDERED THAT</w:t>
      </w:r>
    </w:p>
    <w:p w:rsidR="00F256ED" w:rsidRDefault="00F256ED" w:rsidP="00F256E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Leave t</w:t>
      </w:r>
      <w:r w:rsidR="000D24A8">
        <w:rPr>
          <w:rFonts w:ascii="Times New Roman" w:hAnsi="Times New Roman" w:cs="Times New Roman"/>
          <w:sz w:val="24"/>
          <w:szCs w:val="24"/>
        </w:rPr>
        <w:t>o execute judgment in case No HC</w:t>
      </w:r>
      <w:r>
        <w:rPr>
          <w:rFonts w:ascii="Times New Roman" w:hAnsi="Times New Roman" w:cs="Times New Roman"/>
          <w:sz w:val="24"/>
          <w:szCs w:val="24"/>
        </w:rPr>
        <w:t xml:space="preserve"> 6193/20 pending the determination of appeal No SC 2/23 is granted.</w:t>
      </w:r>
    </w:p>
    <w:p w:rsidR="00F256ED" w:rsidRDefault="00F256ED" w:rsidP="00F256E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 to pay the Costs.</w:t>
      </w:r>
    </w:p>
    <w:p w:rsidR="00F256ED" w:rsidRDefault="00F256ED" w:rsidP="00F256ED">
      <w:pPr>
        <w:spacing w:line="360" w:lineRule="auto"/>
        <w:jc w:val="both"/>
        <w:rPr>
          <w:rFonts w:ascii="Times New Roman" w:hAnsi="Times New Roman" w:cs="Times New Roman"/>
          <w:sz w:val="24"/>
          <w:szCs w:val="24"/>
        </w:rPr>
      </w:pPr>
    </w:p>
    <w:p w:rsidR="00F256ED" w:rsidRDefault="00F256ED" w:rsidP="00F256ED">
      <w:pPr>
        <w:spacing w:line="360" w:lineRule="auto"/>
        <w:jc w:val="both"/>
        <w:rPr>
          <w:rFonts w:ascii="Times New Roman" w:hAnsi="Times New Roman" w:cs="Times New Roman"/>
          <w:sz w:val="24"/>
          <w:szCs w:val="24"/>
        </w:rPr>
      </w:pPr>
    </w:p>
    <w:p w:rsidR="00F256ED" w:rsidRDefault="00F256ED" w:rsidP="00F256ED">
      <w:pPr>
        <w:spacing w:after="0" w:line="240" w:lineRule="auto"/>
        <w:jc w:val="both"/>
        <w:rPr>
          <w:rFonts w:ascii="Times New Roman" w:hAnsi="Times New Roman" w:cs="Times New Roman"/>
          <w:sz w:val="24"/>
          <w:szCs w:val="24"/>
        </w:rPr>
      </w:pPr>
      <w:r w:rsidRPr="00E364A2">
        <w:rPr>
          <w:rFonts w:ascii="Times New Roman" w:hAnsi="Times New Roman" w:cs="Times New Roman"/>
          <w:i/>
          <w:sz w:val="24"/>
          <w:szCs w:val="24"/>
        </w:rPr>
        <w:t>Kadzere, Hugwe and Maneuverer</w:t>
      </w:r>
      <w:r>
        <w:rPr>
          <w:rFonts w:ascii="Times New Roman" w:hAnsi="Times New Roman" w:cs="Times New Roman"/>
          <w:sz w:val="24"/>
          <w:szCs w:val="24"/>
        </w:rPr>
        <w:t>, applicant’s legal practitioners</w:t>
      </w:r>
    </w:p>
    <w:p w:rsidR="00F256ED" w:rsidRPr="00E364A2" w:rsidRDefault="00F256ED" w:rsidP="00F256ED">
      <w:pPr>
        <w:spacing w:after="0" w:line="240" w:lineRule="auto"/>
        <w:jc w:val="both"/>
        <w:rPr>
          <w:rFonts w:ascii="Times New Roman" w:hAnsi="Times New Roman" w:cs="Times New Roman"/>
          <w:sz w:val="24"/>
          <w:szCs w:val="24"/>
        </w:rPr>
      </w:pPr>
      <w:r w:rsidRPr="00E364A2">
        <w:rPr>
          <w:rFonts w:ascii="Times New Roman" w:hAnsi="Times New Roman" w:cs="Times New Roman"/>
          <w:i/>
          <w:sz w:val="24"/>
          <w:szCs w:val="24"/>
        </w:rPr>
        <w:t>Farainyamanyaro Law Chambers,</w:t>
      </w:r>
      <w:r>
        <w:rPr>
          <w:rFonts w:ascii="Times New Roman" w:hAnsi="Times New Roman" w:cs="Times New Roman"/>
          <w:sz w:val="24"/>
          <w:szCs w:val="24"/>
        </w:rPr>
        <w:t xml:space="preserve"> respondent’s legal practitioners</w:t>
      </w:r>
    </w:p>
    <w:p w:rsidR="00F256ED" w:rsidRDefault="00F256ED" w:rsidP="00F256ED">
      <w:pPr>
        <w:spacing w:after="0" w:line="240" w:lineRule="auto"/>
        <w:jc w:val="both"/>
        <w:rPr>
          <w:rFonts w:ascii="Times New Roman" w:hAnsi="Times New Roman" w:cs="Times New Roman"/>
          <w:sz w:val="24"/>
          <w:szCs w:val="24"/>
        </w:rPr>
      </w:pPr>
    </w:p>
    <w:p w:rsidR="00F256ED" w:rsidRPr="00C9449C" w:rsidRDefault="00F256ED" w:rsidP="00F256ED">
      <w:pPr>
        <w:spacing w:line="360" w:lineRule="auto"/>
        <w:jc w:val="both"/>
        <w:rPr>
          <w:rFonts w:ascii="Times New Roman" w:hAnsi="Times New Roman" w:cs="Times New Roman"/>
          <w:sz w:val="24"/>
          <w:szCs w:val="24"/>
        </w:rPr>
      </w:pPr>
    </w:p>
    <w:p w:rsidR="00891B77" w:rsidRPr="00BF6EFE" w:rsidRDefault="00891B77" w:rsidP="00D86923">
      <w:pPr>
        <w:spacing w:after="0" w:line="360" w:lineRule="auto"/>
        <w:jc w:val="both"/>
        <w:rPr>
          <w:rFonts w:ascii="Times New Roman" w:hAnsi="Times New Roman" w:cs="Times New Roman"/>
          <w:sz w:val="24"/>
          <w:szCs w:val="24"/>
        </w:rPr>
      </w:pPr>
    </w:p>
    <w:p w:rsidR="00BF6EFE" w:rsidRDefault="00BF6EFE" w:rsidP="000520C2">
      <w:pPr>
        <w:spacing w:line="360" w:lineRule="auto"/>
        <w:jc w:val="both"/>
      </w:pPr>
    </w:p>
    <w:sectPr w:rsidR="00BF6EF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AEE" w:rsidRDefault="00761AEE" w:rsidP="00DE6988">
      <w:pPr>
        <w:spacing w:after="0" w:line="240" w:lineRule="auto"/>
      </w:pPr>
      <w:r>
        <w:separator/>
      </w:r>
    </w:p>
  </w:endnote>
  <w:endnote w:type="continuationSeparator" w:id="0">
    <w:p w:rsidR="00761AEE" w:rsidRDefault="00761AEE" w:rsidP="00DE6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AEE" w:rsidRDefault="00761AEE" w:rsidP="00DE6988">
      <w:pPr>
        <w:spacing w:after="0" w:line="240" w:lineRule="auto"/>
      </w:pPr>
      <w:r>
        <w:separator/>
      </w:r>
    </w:p>
  </w:footnote>
  <w:footnote w:type="continuationSeparator" w:id="0">
    <w:p w:rsidR="00761AEE" w:rsidRDefault="00761AEE" w:rsidP="00DE6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585490"/>
      <w:docPartObj>
        <w:docPartGallery w:val="Page Numbers (Top of Page)"/>
        <w:docPartUnique/>
      </w:docPartObj>
    </w:sdtPr>
    <w:sdtEndPr>
      <w:rPr>
        <w:noProof/>
      </w:rPr>
    </w:sdtEndPr>
    <w:sdtContent>
      <w:p w:rsidR="00DE6988" w:rsidRDefault="00DE6988">
        <w:pPr>
          <w:pStyle w:val="Header"/>
          <w:jc w:val="right"/>
          <w:rPr>
            <w:noProof/>
          </w:rPr>
        </w:pPr>
        <w:r>
          <w:fldChar w:fldCharType="begin"/>
        </w:r>
        <w:r>
          <w:instrText xml:space="preserve"> PAGE   \* MERGEFORMAT </w:instrText>
        </w:r>
        <w:r>
          <w:fldChar w:fldCharType="separate"/>
        </w:r>
        <w:r w:rsidR="00D635F0">
          <w:rPr>
            <w:noProof/>
          </w:rPr>
          <w:t>1</w:t>
        </w:r>
        <w:r>
          <w:rPr>
            <w:noProof/>
          </w:rPr>
          <w:fldChar w:fldCharType="end"/>
        </w:r>
      </w:p>
      <w:p w:rsidR="00DE6988" w:rsidRDefault="00183C60">
        <w:pPr>
          <w:pStyle w:val="Header"/>
          <w:jc w:val="right"/>
          <w:rPr>
            <w:noProof/>
          </w:rPr>
        </w:pPr>
        <w:r>
          <w:rPr>
            <w:noProof/>
          </w:rPr>
          <w:t xml:space="preserve">HH </w:t>
        </w:r>
        <w:r w:rsidR="00BC7790">
          <w:rPr>
            <w:noProof/>
          </w:rPr>
          <w:t xml:space="preserve"> 297-23</w:t>
        </w:r>
      </w:p>
      <w:p w:rsidR="00DE6988" w:rsidRDefault="00DE6988">
        <w:pPr>
          <w:pStyle w:val="Header"/>
          <w:jc w:val="right"/>
        </w:pPr>
        <w:r>
          <w:rPr>
            <w:noProof/>
          </w:rPr>
          <w:t>HC 80/23</w:t>
        </w:r>
      </w:p>
    </w:sdtContent>
  </w:sdt>
  <w:p w:rsidR="00DE6988" w:rsidRDefault="00DE698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0BCD"/>
    <w:multiLevelType w:val="hybridMultilevel"/>
    <w:tmpl w:val="F184D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1E7764"/>
    <w:multiLevelType w:val="hybridMultilevel"/>
    <w:tmpl w:val="A2C00A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9F10E34"/>
    <w:multiLevelType w:val="hybridMultilevel"/>
    <w:tmpl w:val="1E889C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988"/>
    <w:rsid w:val="000520C2"/>
    <w:rsid w:val="00052924"/>
    <w:rsid w:val="00082D91"/>
    <w:rsid w:val="000B7978"/>
    <w:rsid w:val="000C7E22"/>
    <w:rsid w:val="000D24A8"/>
    <w:rsid w:val="000F0470"/>
    <w:rsid w:val="0010085D"/>
    <w:rsid w:val="001023D6"/>
    <w:rsid w:val="001460D4"/>
    <w:rsid w:val="00183C60"/>
    <w:rsid w:val="001C56FD"/>
    <w:rsid w:val="00234E87"/>
    <w:rsid w:val="0027042D"/>
    <w:rsid w:val="002F5474"/>
    <w:rsid w:val="003052C9"/>
    <w:rsid w:val="00353F3B"/>
    <w:rsid w:val="00360BC9"/>
    <w:rsid w:val="003879BE"/>
    <w:rsid w:val="0042252D"/>
    <w:rsid w:val="00450CCC"/>
    <w:rsid w:val="00455081"/>
    <w:rsid w:val="004E6838"/>
    <w:rsid w:val="005070BE"/>
    <w:rsid w:val="00524A0D"/>
    <w:rsid w:val="005F0BBB"/>
    <w:rsid w:val="00696DB0"/>
    <w:rsid w:val="00761AEE"/>
    <w:rsid w:val="007865CC"/>
    <w:rsid w:val="007F3E44"/>
    <w:rsid w:val="00806ACA"/>
    <w:rsid w:val="00861237"/>
    <w:rsid w:val="00891B77"/>
    <w:rsid w:val="008A025E"/>
    <w:rsid w:val="008C0485"/>
    <w:rsid w:val="00912DB4"/>
    <w:rsid w:val="00915E16"/>
    <w:rsid w:val="009471B6"/>
    <w:rsid w:val="0095429B"/>
    <w:rsid w:val="009779CE"/>
    <w:rsid w:val="009C3993"/>
    <w:rsid w:val="00A00905"/>
    <w:rsid w:val="00A30B36"/>
    <w:rsid w:val="00A56D09"/>
    <w:rsid w:val="00B0438E"/>
    <w:rsid w:val="00B17F42"/>
    <w:rsid w:val="00B8207C"/>
    <w:rsid w:val="00BC7790"/>
    <w:rsid w:val="00BD3835"/>
    <w:rsid w:val="00BD4475"/>
    <w:rsid w:val="00BF6EFE"/>
    <w:rsid w:val="00C4110F"/>
    <w:rsid w:val="00C42095"/>
    <w:rsid w:val="00C4798B"/>
    <w:rsid w:val="00C47A57"/>
    <w:rsid w:val="00C5286F"/>
    <w:rsid w:val="00C81577"/>
    <w:rsid w:val="00C83537"/>
    <w:rsid w:val="00CD171A"/>
    <w:rsid w:val="00CE3917"/>
    <w:rsid w:val="00D03607"/>
    <w:rsid w:val="00D1645A"/>
    <w:rsid w:val="00D213D3"/>
    <w:rsid w:val="00D635F0"/>
    <w:rsid w:val="00D806C5"/>
    <w:rsid w:val="00D86923"/>
    <w:rsid w:val="00DE2FCA"/>
    <w:rsid w:val="00DE6988"/>
    <w:rsid w:val="00E82D8C"/>
    <w:rsid w:val="00EB5849"/>
    <w:rsid w:val="00EC714D"/>
    <w:rsid w:val="00ED277C"/>
    <w:rsid w:val="00F04FF4"/>
    <w:rsid w:val="00F256ED"/>
    <w:rsid w:val="00F95C24"/>
    <w:rsid w:val="00FE4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0E921-C59B-4AEF-B235-FADAC1C1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988"/>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6988"/>
    <w:pPr>
      <w:spacing w:after="0" w:line="240" w:lineRule="auto"/>
    </w:pPr>
    <w:rPr>
      <w:lang w:val="en-ZW"/>
    </w:rPr>
  </w:style>
  <w:style w:type="paragraph" w:styleId="Header">
    <w:name w:val="header"/>
    <w:basedOn w:val="Normal"/>
    <w:link w:val="HeaderChar"/>
    <w:uiPriority w:val="99"/>
    <w:unhideWhenUsed/>
    <w:rsid w:val="00DE69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988"/>
    <w:rPr>
      <w:lang w:val="en-ZW"/>
    </w:rPr>
  </w:style>
  <w:style w:type="paragraph" w:styleId="Footer">
    <w:name w:val="footer"/>
    <w:basedOn w:val="Normal"/>
    <w:link w:val="FooterChar"/>
    <w:uiPriority w:val="99"/>
    <w:unhideWhenUsed/>
    <w:rsid w:val="00DE69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988"/>
    <w:rPr>
      <w:lang w:val="en-ZW"/>
    </w:rPr>
  </w:style>
  <w:style w:type="paragraph" w:styleId="ListParagraph">
    <w:name w:val="List Paragraph"/>
    <w:basedOn w:val="Normal"/>
    <w:uiPriority w:val="34"/>
    <w:qFormat/>
    <w:rsid w:val="00BF6EFE"/>
    <w:pPr>
      <w:ind w:left="720"/>
      <w:contextualSpacing/>
    </w:pPr>
  </w:style>
  <w:style w:type="paragraph" w:styleId="BalloonText">
    <w:name w:val="Balloon Text"/>
    <w:basedOn w:val="Normal"/>
    <w:link w:val="BalloonTextChar"/>
    <w:uiPriority w:val="99"/>
    <w:semiHidden/>
    <w:unhideWhenUsed/>
    <w:rsid w:val="00ED27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77C"/>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C8A52-103C-4B9F-91F3-934FF0BF2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3308</Words>
  <Characters>18857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HCH-JUD-SECRETRARIES</dc:creator>
  <cp:keywords/>
  <dc:description/>
  <cp:lastModifiedBy>JSC</cp:lastModifiedBy>
  <cp:revision>2</cp:revision>
  <cp:lastPrinted>2023-05-15T08:26:00Z</cp:lastPrinted>
  <dcterms:created xsi:type="dcterms:W3CDTF">2023-05-19T09:52:00Z</dcterms:created>
  <dcterms:modified xsi:type="dcterms:W3CDTF">2023-05-19T09:52:00Z</dcterms:modified>
</cp:coreProperties>
</file>