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D63E84" w:rsidRDefault="00E51D89" w:rsidP="00E51D89">
      <w:pPr>
        <w:rPr>
          <w:rFonts w:cs="Tahoma"/>
          <w:b/>
          <w:color w:val="auto"/>
          <w:szCs w:val="24"/>
        </w:rPr>
      </w:pPr>
      <w:bookmarkStart w:id="0" w:name="_GoBack"/>
      <w:bookmarkEnd w:id="0"/>
      <w:r w:rsidRPr="00D63E84">
        <w:rPr>
          <w:rFonts w:cs="Tahoma"/>
          <w:b/>
          <w:color w:val="auto"/>
          <w:szCs w:val="24"/>
        </w:rPr>
        <w:t xml:space="preserve">IN THE LABOUR </w:t>
      </w:r>
      <w:r w:rsidR="00682465">
        <w:rPr>
          <w:rFonts w:cs="Tahoma"/>
          <w:b/>
          <w:color w:val="auto"/>
          <w:szCs w:val="24"/>
        </w:rPr>
        <w:t xml:space="preserve">COURT OF ZIMBABWE          </w:t>
      </w:r>
      <w:r w:rsidR="001B6DCF">
        <w:rPr>
          <w:rFonts w:cs="Tahoma"/>
          <w:b/>
          <w:color w:val="auto"/>
          <w:szCs w:val="24"/>
        </w:rPr>
        <w:t>JUDGMENT NO LC/H/</w:t>
      </w:r>
      <w:r w:rsidR="00682465">
        <w:rPr>
          <w:rFonts w:cs="Tahoma"/>
          <w:b/>
          <w:color w:val="auto"/>
          <w:szCs w:val="24"/>
        </w:rPr>
        <w:t>352</w:t>
      </w:r>
      <w:r w:rsidR="001B6DCF">
        <w:rPr>
          <w:rFonts w:cs="Tahoma"/>
          <w:b/>
          <w:color w:val="auto"/>
          <w:szCs w:val="24"/>
        </w:rPr>
        <w:t>/16</w:t>
      </w:r>
    </w:p>
    <w:p w:rsidR="00E51D89" w:rsidRDefault="00E51D89" w:rsidP="00E51D89">
      <w:pPr>
        <w:rPr>
          <w:rFonts w:cs="Tahoma"/>
          <w:b/>
          <w:color w:val="auto"/>
          <w:szCs w:val="24"/>
        </w:rPr>
      </w:pPr>
      <w:r w:rsidRPr="00D63E84">
        <w:rPr>
          <w:rFonts w:cs="Tahoma"/>
          <w:b/>
          <w:color w:val="auto"/>
          <w:szCs w:val="24"/>
        </w:rPr>
        <w:t xml:space="preserve">HELD AT </w:t>
      </w:r>
      <w:r w:rsidR="003D14D2" w:rsidRPr="00D63E84">
        <w:rPr>
          <w:rFonts w:cs="Tahoma"/>
          <w:b/>
          <w:color w:val="auto"/>
          <w:szCs w:val="24"/>
        </w:rPr>
        <w:t xml:space="preserve">HARARE ON </w:t>
      </w:r>
      <w:r w:rsidR="00682465">
        <w:rPr>
          <w:rFonts w:cs="Tahoma"/>
          <w:b/>
          <w:color w:val="auto"/>
          <w:szCs w:val="24"/>
        </w:rPr>
        <w:t>7 JULY 2015</w:t>
      </w:r>
      <w:r w:rsidR="00682465">
        <w:rPr>
          <w:color w:val="auto"/>
        </w:rPr>
        <w:tab/>
      </w:r>
      <w:r w:rsidR="00682465">
        <w:rPr>
          <w:color w:val="auto"/>
        </w:rPr>
        <w:tab/>
        <w:t xml:space="preserve">      </w:t>
      </w:r>
      <w:r w:rsidR="00682465">
        <w:rPr>
          <w:rFonts w:cs="Tahoma"/>
          <w:b/>
          <w:color w:val="auto"/>
          <w:szCs w:val="24"/>
        </w:rPr>
        <w:t xml:space="preserve">CASE NO </w:t>
      </w:r>
      <w:r w:rsidR="008E2DB8">
        <w:rPr>
          <w:rFonts w:cs="Tahoma"/>
          <w:b/>
          <w:color w:val="auto"/>
          <w:szCs w:val="24"/>
        </w:rPr>
        <w:t>LC/H/237/15</w:t>
      </w:r>
    </w:p>
    <w:p w:rsidR="001B6DCF" w:rsidRPr="00D63E84" w:rsidRDefault="001B6DCF" w:rsidP="00E51D89">
      <w:pPr>
        <w:rPr>
          <w:rFonts w:cs="Tahoma"/>
          <w:b/>
          <w:color w:val="auto"/>
          <w:szCs w:val="24"/>
        </w:rPr>
      </w:pPr>
      <w:r>
        <w:rPr>
          <w:rFonts w:cs="Tahoma"/>
          <w:b/>
          <w:color w:val="auto"/>
          <w:szCs w:val="24"/>
        </w:rPr>
        <w:t>&amp; 27 MAY 2016</w:t>
      </w:r>
    </w:p>
    <w:p w:rsidR="001B6DCF" w:rsidRPr="001B6DCF" w:rsidRDefault="00E51D89" w:rsidP="00EA2BDD">
      <w:pPr>
        <w:rPr>
          <w:rFonts w:cs="Tahoma"/>
          <w:color w:val="auto"/>
          <w:szCs w:val="24"/>
        </w:rPr>
      </w:pPr>
      <w:r w:rsidRPr="00D63E84">
        <w:rPr>
          <w:rFonts w:cs="Tahoma"/>
          <w:color w:val="auto"/>
          <w:szCs w:val="24"/>
        </w:rPr>
        <w:t xml:space="preserve">In the matter between:- </w:t>
      </w:r>
    </w:p>
    <w:p w:rsidR="001B6DCF" w:rsidRPr="001B6DCF" w:rsidRDefault="001B6DCF" w:rsidP="001B6DCF">
      <w:pPr>
        <w:rPr>
          <w:b/>
          <w:color w:val="auto"/>
        </w:rPr>
      </w:pPr>
      <w:r w:rsidRPr="001B6DCF">
        <w:rPr>
          <w:b/>
          <w:color w:val="auto"/>
        </w:rPr>
        <w:t>INNSCOR AFRICA</w:t>
      </w:r>
      <w:r w:rsidRPr="001B6DCF">
        <w:rPr>
          <w:b/>
          <w:color w:val="auto"/>
        </w:rPr>
        <w:tab/>
      </w:r>
      <w:r w:rsidRPr="001B6DCF">
        <w:rPr>
          <w:b/>
          <w:color w:val="auto"/>
        </w:rPr>
        <w:tab/>
      </w:r>
      <w:r w:rsidRPr="001B6DCF">
        <w:rPr>
          <w:b/>
          <w:color w:val="auto"/>
        </w:rPr>
        <w:tab/>
      </w:r>
      <w:r w:rsidRPr="001B6DCF">
        <w:rPr>
          <w:b/>
          <w:color w:val="auto"/>
        </w:rPr>
        <w:tab/>
      </w:r>
      <w:r w:rsidRPr="001B6DCF">
        <w:rPr>
          <w:b/>
          <w:color w:val="auto"/>
        </w:rPr>
        <w:tab/>
      </w:r>
      <w:r w:rsidRPr="001B6DCF">
        <w:rPr>
          <w:b/>
          <w:color w:val="auto"/>
        </w:rPr>
        <w:tab/>
        <w:t>Appellant</w:t>
      </w:r>
    </w:p>
    <w:p w:rsidR="001B6DCF" w:rsidRPr="001B6DCF" w:rsidRDefault="001B6DCF" w:rsidP="001B6DCF">
      <w:pPr>
        <w:rPr>
          <w:b/>
          <w:color w:val="auto"/>
        </w:rPr>
      </w:pPr>
      <w:r w:rsidRPr="001B6DCF">
        <w:rPr>
          <w:b/>
          <w:color w:val="auto"/>
        </w:rPr>
        <w:t>And</w:t>
      </w:r>
    </w:p>
    <w:p w:rsidR="001B6DCF" w:rsidRPr="001B6DCF" w:rsidRDefault="001B6DCF" w:rsidP="001B6DCF">
      <w:pPr>
        <w:rPr>
          <w:b/>
          <w:color w:val="auto"/>
        </w:rPr>
      </w:pPr>
      <w:r w:rsidRPr="001B6DCF">
        <w:rPr>
          <w:b/>
          <w:color w:val="auto"/>
        </w:rPr>
        <w:t>OBEY MABHARO</w:t>
      </w:r>
      <w:r w:rsidRPr="001B6DCF">
        <w:rPr>
          <w:b/>
          <w:color w:val="auto"/>
        </w:rPr>
        <w:tab/>
      </w:r>
      <w:r w:rsidRPr="001B6DCF">
        <w:rPr>
          <w:b/>
          <w:color w:val="auto"/>
        </w:rPr>
        <w:tab/>
      </w:r>
      <w:r w:rsidRPr="001B6DCF">
        <w:rPr>
          <w:b/>
          <w:color w:val="auto"/>
        </w:rPr>
        <w:tab/>
      </w:r>
      <w:r w:rsidRPr="001B6DCF">
        <w:rPr>
          <w:b/>
          <w:color w:val="auto"/>
        </w:rPr>
        <w:tab/>
      </w:r>
      <w:r w:rsidRPr="001B6DCF">
        <w:rPr>
          <w:b/>
          <w:color w:val="auto"/>
        </w:rPr>
        <w:tab/>
      </w:r>
      <w:r w:rsidRPr="001B6DCF">
        <w:rPr>
          <w:b/>
          <w:color w:val="auto"/>
        </w:rPr>
        <w:tab/>
        <w:t>Respondent</w:t>
      </w:r>
    </w:p>
    <w:sdt>
      <w:sdtPr>
        <w:rPr>
          <w:color w:val="auto"/>
        </w:rPr>
        <w:id w:val="967902742"/>
        <w:docPartObj>
          <w:docPartGallery w:val="Cover Pages"/>
          <w:docPartUnique/>
        </w:docPartObj>
      </w:sdtPr>
      <w:sdtEndPr/>
      <w:sdtContent>
        <w:p w:rsidR="00EA2BDD" w:rsidRPr="001B6DCF" w:rsidRDefault="00EA2BDD" w:rsidP="00EA2BDD">
          <w:pPr>
            <w:rPr>
              <w:color w:val="auto"/>
            </w:rPr>
          </w:pPr>
          <w:r w:rsidRPr="00D63E84">
            <w:rPr>
              <w:rFonts w:cs="Tahoma"/>
              <w:color w:val="auto"/>
              <w:szCs w:val="24"/>
            </w:rPr>
            <w:t xml:space="preserve">Before the Honourable B.T Chivizhe: Judge </w:t>
          </w:r>
        </w:p>
        <w:p w:rsidR="00EA2BDD" w:rsidRPr="00D63E84" w:rsidRDefault="001B6DCF" w:rsidP="00050DFA">
          <w:pPr>
            <w:rPr>
              <w:color w:val="auto"/>
            </w:rPr>
          </w:pPr>
          <w:r>
            <w:rPr>
              <w:rFonts w:cs="Tahoma"/>
              <w:b/>
              <w:color w:val="auto"/>
              <w:szCs w:val="24"/>
            </w:rPr>
            <w:t>For Appellant</w:t>
          </w:r>
          <w:r>
            <w:rPr>
              <w:rFonts w:cs="Tahoma"/>
              <w:b/>
              <w:color w:val="auto"/>
              <w:szCs w:val="24"/>
            </w:rPr>
            <w:tab/>
          </w:r>
          <w:r>
            <w:rPr>
              <w:rFonts w:cs="Tahoma"/>
              <w:b/>
              <w:color w:val="auto"/>
              <w:szCs w:val="24"/>
            </w:rPr>
            <w:tab/>
          </w:r>
          <w:r w:rsidR="008E2DB8">
            <w:rPr>
              <w:rFonts w:cs="Tahoma"/>
              <w:b/>
              <w:color w:val="auto"/>
              <w:szCs w:val="24"/>
            </w:rPr>
            <w:t xml:space="preserve">Ms N. Manu </w:t>
          </w:r>
          <w:r w:rsidR="008871B5" w:rsidRPr="00D63E84">
            <w:rPr>
              <w:rFonts w:cs="Tahoma"/>
              <w:b/>
              <w:color w:val="auto"/>
              <w:szCs w:val="24"/>
            </w:rPr>
            <w:t xml:space="preserve">(Legal Practitioner) </w:t>
          </w:r>
        </w:p>
        <w:p w:rsidR="00EA2BDD" w:rsidRPr="00D63E84" w:rsidRDefault="001B6DCF" w:rsidP="00050DFA">
          <w:pPr>
            <w:rPr>
              <w:color w:val="auto"/>
            </w:rPr>
          </w:pPr>
          <w:r>
            <w:rPr>
              <w:rFonts w:cs="Tahoma"/>
              <w:b/>
              <w:color w:val="auto"/>
              <w:szCs w:val="24"/>
            </w:rPr>
            <w:t>For Respondent</w:t>
          </w:r>
          <w:r>
            <w:rPr>
              <w:rFonts w:cs="Tahoma"/>
              <w:b/>
              <w:color w:val="auto"/>
              <w:szCs w:val="24"/>
            </w:rPr>
            <w:tab/>
          </w:r>
          <w:r>
            <w:rPr>
              <w:rFonts w:cs="Tahoma"/>
              <w:b/>
              <w:color w:val="auto"/>
              <w:szCs w:val="24"/>
            </w:rPr>
            <w:tab/>
          </w:r>
          <w:r w:rsidR="008E2DB8">
            <w:rPr>
              <w:rFonts w:cs="Tahoma"/>
              <w:b/>
              <w:color w:val="auto"/>
              <w:szCs w:val="24"/>
            </w:rPr>
            <w:t>Mr G. Maoneka (Paralegal Officer</w:t>
          </w:r>
          <w:r>
            <w:rPr>
              <w:rFonts w:cs="Tahoma"/>
              <w:b/>
              <w:color w:val="auto"/>
              <w:szCs w:val="24"/>
            </w:rPr>
            <w:t>)</w:t>
          </w:r>
        </w:p>
        <w:p w:rsidR="00050DFA" w:rsidRDefault="00EA2BDD" w:rsidP="001D4AB2">
          <w:pPr>
            <w:rPr>
              <w:color w:val="auto"/>
            </w:rPr>
          </w:pPr>
          <w:r w:rsidRPr="00D63E84">
            <w:rPr>
              <w:rFonts w:cs="Tahoma"/>
              <w:b/>
              <w:color w:val="auto"/>
              <w:szCs w:val="24"/>
            </w:rPr>
            <w:t>CHIVIZHE</w:t>
          </w:r>
          <w:r w:rsidR="00C352A3" w:rsidRPr="00D63E84">
            <w:rPr>
              <w:rFonts w:cs="Tahoma"/>
              <w:b/>
              <w:color w:val="auto"/>
              <w:szCs w:val="24"/>
            </w:rPr>
            <w:t xml:space="preserve">, J; </w:t>
          </w:r>
        </w:p>
      </w:sdtContent>
    </w:sdt>
    <w:p w:rsidR="008E2DB8" w:rsidRDefault="008E2DB8" w:rsidP="001D4AB2">
      <w:pPr>
        <w:rPr>
          <w:color w:val="auto"/>
        </w:rPr>
      </w:pPr>
      <w:r>
        <w:rPr>
          <w:color w:val="auto"/>
        </w:rPr>
        <w:tab/>
      </w:r>
      <w:r w:rsidR="00F922AF">
        <w:rPr>
          <w:color w:val="auto"/>
        </w:rPr>
        <w:t>This is an appeal against an arbitral award handed down by the Hono</w:t>
      </w:r>
      <w:r w:rsidR="00682465">
        <w:rPr>
          <w:color w:val="auto"/>
        </w:rPr>
        <w:t>urable M</w:t>
      </w:r>
      <w:r w:rsidR="00F922AF">
        <w:rPr>
          <w:color w:val="auto"/>
        </w:rPr>
        <w:t xml:space="preserve"> Mpango Arbitrator on the 23</w:t>
      </w:r>
      <w:r w:rsidR="00F922AF" w:rsidRPr="00F922AF">
        <w:rPr>
          <w:color w:val="auto"/>
          <w:vertAlign w:val="superscript"/>
        </w:rPr>
        <w:t>rd</w:t>
      </w:r>
      <w:r w:rsidR="00F922AF">
        <w:rPr>
          <w:color w:val="auto"/>
        </w:rPr>
        <w:t xml:space="preserve"> of February 2015. The operative part of the award reads as follows.</w:t>
      </w:r>
    </w:p>
    <w:p w:rsidR="00F922AF" w:rsidRPr="00640FF0" w:rsidRDefault="00F922AF" w:rsidP="001D4AB2">
      <w:pPr>
        <w:rPr>
          <w:b/>
          <w:color w:val="auto"/>
        </w:rPr>
      </w:pPr>
      <w:r w:rsidRPr="00640FF0">
        <w:rPr>
          <w:b/>
          <w:color w:val="auto"/>
        </w:rPr>
        <w:t>AWARD</w:t>
      </w:r>
    </w:p>
    <w:p w:rsidR="00F922AF" w:rsidRPr="00640FF0" w:rsidRDefault="00640FF0" w:rsidP="001D4AB2">
      <w:pPr>
        <w:rPr>
          <w:color w:val="auto"/>
          <w:sz w:val="22"/>
        </w:rPr>
      </w:pPr>
      <w:r>
        <w:rPr>
          <w:b/>
          <w:color w:val="auto"/>
        </w:rPr>
        <w:t>“</w:t>
      </w:r>
      <w:r w:rsidRPr="00640FF0">
        <w:rPr>
          <w:b/>
          <w:color w:val="auto"/>
          <w:sz w:val="22"/>
        </w:rPr>
        <w:t xml:space="preserve">WHEREFORE, </w:t>
      </w:r>
      <w:r w:rsidRPr="00640FF0">
        <w:rPr>
          <w:color w:val="auto"/>
          <w:sz w:val="22"/>
        </w:rPr>
        <w:t xml:space="preserve">after carefully </w:t>
      </w:r>
      <w:r w:rsidR="00682465" w:rsidRPr="00640FF0">
        <w:rPr>
          <w:color w:val="auto"/>
          <w:sz w:val="22"/>
        </w:rPr>
        <w:t>analysing</w:t>
      </w:r>
      <w:r w:rsidRPr="00640FF0">
        <w:rPr>
          <w:color w:val="auto"/>
          <w:sz w:val="22"/>
        </w:rPr>
        <w:t xml:space="preserve"> the facts and the law, I make the following award.</w:t>
      </w:r>
    </w:p>
    <w:p w:rsidR="00640FF0" w:rsidRPr="00640FF0" w:rsidRDefault="00640FF0" w:rsidP="00640FF0">
      <w:pPr>
        <w:pStyle w:val="ListParagraph"/>
        <w:numPr>
          <w:ilvl w:val="0"/>
          <w:numId w:val="9"/>
        </w:numPr>
        <w:rPr>
          <w:color w:val="auto"/>
          <w:sz w:val="22"/>
        </w:rPr>
      </w:pPr>
      <w:r w:rsidRPr="00640FF0">
        <w:rPr>
          <w:color w:val="auto"/>
          <w:sz w:val="22"/>
        </w:rPr>
        <w:t>The Claimant is hereby reinstated to his position without loss of salary and benefits with effect from the date of dismissal.</w:t>
      </w:r>
    </w:p>
    <w:p w:rsidR="00640FF0" w:rsidRPr="00640FF0" w:rsidRDefault="00640FF0" w:rsidP="00640FF0">
      <w:pPr>
        <w:pStyle w:val="ListParagraph"/>
        <w:numPr>
          <w:ilvl w:val="0"/>
          <w:numId w:val="9"/>
        </w:numPr>
        <w:rPr>
          <w:color w:val="auto"/>
          <w:sz w:val="22"/>
        </w:rPr>
      </w:pPr>
      <w:r w:rsidRPr="00640FF0">
        <w:rPr>
          <w:color w:val="auto"/>
          <w:sz w:val="22"/>
        </w:rPr>
        <w:t>That if reinstatement is not an option, the Claimant should be paid damages to be agreed by the parties within fourteen (14) days from the date of the arbitral award, failing which either party</w:t>
      </w:r>
      <w:r w:rsidR="00682465">
        <w:rPr>
          <w:color w:val="auto"/>
          <w:sz w:val="22"/>
        </w:rPr>
        <w:t xml:space="preserve"> may approach the arbitrator for</w:t>
      </w:r>
      <w:r w:rsidRPr="00640FF0">
        <w:rPr>
          <w:color w:val="auto"/>
          <w:sz w:val="22"/>
        </w:rPr>
        <w:t xml:space="preserve"> quantification.</w:t>
      </w:r>
    </w:p>
    <w:p w:rsidR="00640FF0" w:rsidRPr="00640FF0" w:rsidRDefault="00640FF0" w:rsidP="00640FF0">
      <w:pPr>
        <w:pStyle w:val="ListParagraph"/>
        <w:rPr>
          <w:color w:val="auto"/>
          <w:sz w:val="22"/>
        </w:rPr>
      </w:pPr>
      <w:r w:rsidRPr="00640FF0">
        <w:rPr>
          <w:color w:val="auto"/>
          <w:sz w:val="22"/>
        </w:rPr>
        <w:t xml:space="preserve">I so award.”  </w:t>
      </w:r>
    </w:p>
    <w:p w:rsidR="00F922AF" w:rsidRDefault="00F922AF" w:rsidP="001D4AB2">
      <w:pPr>
        <w:rPr>
          <w:color w:val="auto"/>
        </w:rPr>
      </w:pPr>
      <w:r>
        <w:rPr>
          <w:color w:val="auto"/>
        </w:rPr>
        <w:tab/>
        <w:t>The material background facts to the matter are as follows. The Respondent was employed by the Appellant as a driver. On the 25</w:t>
      </w:r>
      <w:r w:rsidRPr="00F922AF">
        <w:rPr>
          <w:color w:val="auto"/>
          <w:vertAlign w:val="superscript"/>
        </w:rPr>
        <w:t>th</w:t>
      </w:r>
      <w:r>
        <w:rPr>
          <w:color w:val="auto"/>
        </w:rPr>
        <w:t xml:space="preserve"> of April 2012 the Appellant </w:t>
      </w:r>
      <w:r>
        <w:rPr>
          <w:color w:val="auto"/>
        </w:rPr>
        <w:lastRenderedPageBreak/>
        <w:t>following investigations had Respondent arrested on allegations of theft and use of the company motor-vehicle without authorisation. The Respondent had subsequently been released on bail on the 30 of April, 2012. On the 2</w:t>
      </w:r>
      <w:r w:rsidRPr="00F922AF">
        <w:rPr>
          <w:color w:val="auto"/>
          <w:vertAlign w:val="superscript"/>
        </w:rPr>
        <w:t>nd</w:t>
      </w:r>
      <w:r>
        <w:rPr>
          <w:color w:val="auto"/>
        </w:rPr>
        <w:t xml:space="preserve"> of May 2012 </w:t>
      </w:r>
      <w:r w:rsidR="00564E09">
        <w:rPr>
          <w:color w:val="auto"/>
        </w:rPr>
        <w:t>the Respondent</w:t>
      </w:r>
      <w:r>
        <w:rPr>
          <w:color w:val="auto"/>
        </w:rPr>
        <w:t xml:space="preserve"> was again arrested on allegations of theft whilst he was on bail.</w:t>
      </w:r>
    </w:p>
    <w:p w:rsidR="00477F35" w:rsidRDefault="00F922AF" w:rsidP="001D4AB2">
      <w:pPr>
        <w:rPr>
          <w:color w:val="auto"/>
        </w:rPr>
      </w:pPr>
      <w:r>
        <w:rPr>
          <w:color w:val="auto"/>
        </w:rPr>
        <w:tab/>
        <w:t>The Appellant then invited the Respondent to a Disciplinary hearing to be convened on the 22</w:t>
      </w:r>
      <w:r w:rsidRPr="00F922AF">
        <w:rPr>
          <w:color w:val="auto"/>
          <w:vertAlign w:val="superscript"/>
        </w:rPr>
        <w:t>nd</w:t>
      </w:r>
      <w:r>
        <w:rPr>
          <w:color w:val="auto"/>
        </w:rPr>
        <w:t xml:space="preserve"> of May, 2012. The Respondent however failed to appear. The Disciplinary Committee reconvened another hearing on the 31</w:t>
      </w:r>
      <w:r w:rsidRPr="00F922AF">
        <w:rPr>
          <w:color w:val="auto"/>
          <w:vertAlign w:val="superscript"/>
        </w:rPr>
        <w:t>st</w:t>
      </w:r>
      <w:r>
        <w:rPr>
          <w:color w:val="auto"/>
        </w:rPr>
        <w:t xml:space="preserve"> of May 2012. The Respondent again failed to turn up resulting in the Disciplinary Committee proceeding to hear the matter. The Respon</w:t>
      </w:r>
      <w:r w:rsidR="00FE6FDD">
        <w:rPr>
          <w:color w:val="auto"/>
        </w:rPr>
        <w:t>dent was found guilty in absentia</w:t>
      </w:r>
      <w:r>
        <w:rPr>
          <w:color w:val="auto"/>
        </w:rPr>
        <w:t xml:space="preserve"> and a dismissal penalty was imposed</w:t>
      </w:r>
      <w:r w:rsidR="00DE525D">
        <w:rPr>
          <w:color w:val="auto"/>
        </w:rPr>
        <w:t xml:space="preserve">. The dismissal was with effect from </w:t>
      </w:r>
      <w:r w:rsidR="00FE6FDD">
        <w:rPr>
          <w:color w:val="auto"/>
        </w:rPr>
        <w:t xml:space="preserve">the </w:t>
      </w:r>
      <w:r w:rsidR="00DE525D">
        <w:rPr>
          <w:color w:val="auto"/>
        </w:rPr>
        <w:t>22</w:t>
      </w:r>
      <w:r w:rsidR="00FE6FDD" w:rsidRPr="00FE6FDD">
        <w:rPr>
          <w:color w:val="auto"/>
          <w:vertAlign w:val="superscript"/>
        </w:rPr>
        <w:t>nd</w:t>
      </w:r>
      <w:r w:rsidR="00DE525D">
        <w:rPr>
          <w:color w:val="auto"/>
        </w:rPr>
        <w:t xml:space="preserve"> May, 2012. The Respondent did not</w:t>
      </w:r>
      <w:r w:rsidR="00FE6FDD">
        <w:rPr>
          <w:color w:val="auto"/>
        </w:rPr>
        <w:t xml:space="preserve"> appeal against the decision. Instead he</w:t>
      </w:r>
      <w:r w:rsidR="00DE525D">
        <w:rPr>
          <w:color w:val="auto"/>
        </w:rPr>
        <w:t xml:space="preserve"> in</w:t>
      </w:r>
      <w:r w:rsidR="00FE6FDD">
        <w:rPr>
          <w:color w:val="auto"/>
        </w:rPr>
        <w:t xml:space="preserve"> October 2012 referred a complai</w:t>
      </w:r>
      <w:r w:rsidR="00DE525D">
        <w:rPr>
          <w:color w:val="auto"/>
        </w:rPr>
        <w:t xml:space="preserve">nt of </w:t>
      </w:r>
      <w:r w:rsidR="00477F35">
        <w:rPr>
          <w:color w:val="auto"/>
        </w:rPr>
        <w:t>unfair dismissal</w:t>
      </w:r>
      <w:r w:rsidR="00FE6FDD">
        <w:rPr>
          <w:color w:val="auto"/>
        </w:rPr>
        <w:t xml:space="preserve"> to the designated officer</w:t>
      </w:r>
      <w:r w:rsidR="00477F35">
        <w:rPr>
          <w:color w:val="auto"/>
        </w:rPr>
        <w:t>. When the matter could not be resolved the designated officer then referred the matter to compulsory arbitration.</w:t>
      </w:r>
    </w:p>
    <w:p w:rsidR="00477F35" w:rsidRDefault="00477F35" w:rsidP="001D4AB2">
      <w:pPr>
        <w:rPr>
          <w:i/>
          <w:color w:val="auto"/>
        </w:rPr>
      </w:pPr>
      <w:r>
        <w:rPr>
          <w:color w:val="auto"/>
        </w:rPr>
        <w:tab/>
        <w:t xml:space="preserve">The main issue before the Arbitrator was whether the Respondent had been unfairly dismissed. At the hearing the Appellant took a point in </w:t>
      </w:r>
      <w:r>
        <w:rPr>
          <w:i/>
          <w:color w:val="auto"/>
        </w:rPr>
        <w:t>limine</w:t>
      </w:r>
      <w:r>
        <w:rPr>
          <w:color w:val="auto"/>
        </w:rPr>
        <w:t xml:space="preserve"> that Respondent</w:t>
      </w:r>
      <w:r w:rsidR="000D1029">
        <w:rPr>
          <w:color w:val="auto"/>
        </w:rPr>
        <w:t xml:space="preserve"> who was represented then by Ba</w:t>
      </w:r>
      <w:r>
        <w:rPr>
          <w:color w:val="auto"/>
        </w:rPr>
        <w:t xml:space="preserve">king Industry Workers Union could not be represented by the union on the basis that Respondent was not a member of the union. The Arbitrator reached the conclusion that the Union could represent the Respondent. He also found that the Respondent was unfairly dismissed. The Arbitrator then </w:t>
      </w:r>
      <w:r w:rsidR="00FE6FDD">
        <w:rPr>
          <w:color w:val="auto"/>
        </w:rPr>
        <w:t>handed down</w:t>
      </w:r>
      <w:r w:rsidR="006B7D97">
        <w:rPr>
          <w:color w:val="auto"/>
        </w:rPr>
        <w:t xml:space="preserve"> an award</w:t>
      </w:r>
      <w:r w:rsidR="00FE6FDD">
        <w:rPr>
          <w:color w:val="auto"/>
        </w:rPr>
        <w:t xml:space="preserve"> in terms as referred</w:t>
      </w:r>
      <w:r>
        <w:rPr>
          <w:color w:val="auto"/>
        </w:rPr>
        <w:t xml:space="preserve"> to </w:t>
      </w:r>
      <w:r>
        <w:rPr>
          <w:i/>
          <w:color w:val="auto"/>
        </w:rPr>
        <w:t>supra.</w:t>
      </w:r>
    </w:p>
    <w:p w:rsidR="002D2C1F" w:rsidRDefault="002D2C1F" w:rsidP="001D4AB2">
      <w:pPr>
        <w:rPr>
          <w:color w:val="auto"/>
        </w:rPr>
      </w:pPr>
      <w:r>
        <w:rPr>
          <w:color w:val="auto"/>
        </w:rPr>
        <w:tab/>
        <w:t>The Appellant was aggrieved by the award. The Appellant noted the present appeal on the following grounds of appeal;</w:t>
      </w:r>
    </w:p>
    <w:p w:rsidR="002D2C1F" w:rsidRPr="00FE6FDD" w:rsidRDefault="00C27795" w:rsidP="001D4AB2">
      <w:pPr>
        <w:rPr>
          <w:color w:val="auto"/>
          <w:sz w:val="22"/>
        </w:rPr>
      </w:pPr>
      <w:r>
        <w:rPr>
          <w:color w:val="auto"/>
        </w:rPr>
        <w:t>“</w:t>
      </w:r>
      <w:r w:rsidRPr="00FE6FDD">
        <w:rPr>
          <w:b/>
          <w:color w:val="auto"/>
          <w:sz w:val="22"/>
        </w:rPr>
        <w:t>Grounds Of Appeal</w:t>
      </w:r>
    </w:p>
    <w:p w:rsidR="00C27795" w:rsidRPr="00FE6FDD" w:rsidRDefault="00C27795" w:rsidP="00C27795">
      <w:pPr>
        <w:pStyle w:val="ListParagraph"/>
        <w:numPr>
          <w:ilvl w:val="0"/>
          <w:numId w:val="10"/>
        </w:numPr>
        <w:rPr>
          <w:color w:val="auto"/>
          <w:sz w:val="22"/>
        </w:rPr>
      </w:pPr>
      <w:r w:rsidRPr="00FE6FDD">
        <w:rPr>
          <w:color w:val="auto"/>
          <w:sz w:val="22"/>
        </w:rPr>
        <w:t xml:space="preserve">The Arbitrator erred in law in dismissing the point in </w:t>
      </w:r>
      <w:r w:rsidRPr="00FE6FDD">
        <w:rPr>
          <w:i/>
          <w:color w:val="auto"/>
          <w:sz w:val="22"/>
        </w:rPr>
        <w:t>limine.</w:t>
      </w:r>
    </w:p>
    <w:p w:rsidR="00C27795" w:rsidRPr="00FE6FDD" w:rsidRDefault="00C27795" w:rsidP="00C27795">
      <w:pPr>
        <w:pStyle w:val="ListParagraph"/>
        <w:numPr>
          <w:ilvl w:val="0"/>
          <w:numId w:val="10"/>
        </w:numPr>
        <w:rPr>
          <w:color w:val="auto"/>
          <w:sz w:val="22"/>
        </w:rPr>
      </w:pPr>
      <w:r w:rsidRPr="00FE6FDD">
        <w:rPr>
          <w:color w:val="auto"/>
          <w:sz w:val="22"/>
        </w:rPr>
        <w:t>The Arbitrator erred in law in not affording the Appellant the opportunity to be heard on the merits.</w:t>
      </w:r>
    </w:p>
    <w:p w:rsidR="00C27795" w:rsidRPr="00FE6FDD" w:rsidRDefault="00C27795" w:rsidP="00C27795">
      <w:pPr>
        <w:pStyle w:val="ListParagraph"/>
        <w:numPr>
          <w:ilvl w:val="0"/>
          <w:numId w:val="10"/>
        </w:numPr>
        <w:rPr>
          <w:color w:val="auto"/>
          <w:sz w:val="22"/>
        </w:rPr>
      </w:pPr>
      <w:r w:rsidRPr="00FE6FDD">
        <w:rPr>
          <w:color w:val="auto"/>
          <w:sz w:val="22"/>
        </w:rPr>
        <w:lastRenderedPageBreak/>
        <w:t>The Arbitrator erred at law in finding that there had been an unfair dismissal when the evidence before him established that the Respondent was dismissed in terms of an employment code.</w:t>
      </w:r>
    </w:p>
    <w:p w:rsidR="00C27795" w:rsidRPr="00C27795" w:rsidRDefault="00C27795" w:rsidP="00C27795">
      <w:pPr>
        <w:pStyle w:val="ListParagraph"/>
        <w:numPr>
          <w:ilvl w:val="0"/>
          <w:numId w:val="10"/>
        </w:numPr>
        <w:rPr>
          <w:color w:val="auto"/>
        </w:rPr>
      </w:pPr>
      <w:r w:rsidRPr="00FE6FDD">
        <w:rPr>
          <w:color w:val="auto"/>
          <w:sz w:val="22"/>
        </w:rPr>
        <w:t xml:space="preserve">The Arbitrator made a gross misdirection of fact that amounted to </w:t>
      </w:r>
      <w:r w:rsidR="00DE6D10" w:rsidRPr="00FE6FDD">
        <w:rPr>
          <w:color w:val="auto"/>
          <w:sz w:val="22"/>
        </w:rPr>
        <w:t>a misdirection</w:t>
      </w:r>
      <w:r w:rsidRPr="00FE6FDD">
        <w:rPr>
          <w:color w:val="auto"/>
          <w:sz w:val="22"/>
        </w:rPr>
        <w:t xml:space="preserve"> at law in that he found that there was reasonable cause for the Respondent’s absenteeism when there was no evidence before him of this fact.</w:t>
      </w:r>
      <w:r w:rsidR="00FE6FDD" w:rsidRPr="00FE6FDD">
        <w:rPr>
          <w:color w:val="auto"/>
          <w:sz w:val="22"/>
        </w:rPr>
        <w:t>”</w:t>
      </w:r>
    </w:p>
    <w:p w:rsidR="002D2C1F" w:rsidRDefault="002D6C42" w:rsidP="00605E8B">
      <w:pPr>
        <w:ind w:firstLine="720"/>
        <w:rPr>
          <w:color w:val="auto"/>
        </w:rPr>
      </w:pPr>
      <w:r>
        <w:rPr>
          <w:color w:val="auto"/>
        </w:rPr>
        <w:t>The appeal is opposed by the Resp</w:t>
      </w:r>
      <w:r w:rsidR="00573728">
        <w:rPr>
          <w:color w:val="auto"/>
        </w:rPr>
        <w:t>ondent on the following basis; t</w:t>
      </w:r>
      <w:r>
        <w:rPr>
          <w:color w:val="auto"/>
        </w:rPr>
        <w:t xml:space="preserve">hat the Honourable Arbitrator made a correct finding at law that the Respondent was unfairly dismissed; that the Arbitrator correctly dismissed the point in </w:t>
      </w:r>
      <w:r>
        <w:rPr>
          <w:i/>
          <w:color w:val="auto"/>
        </w:rPr>
        <w:t>limine</w:t>
      </w:r>
      <w:r w:rsidR="00B6154C">
        <w:rPr>
          <w:i/>
          <w:color w:val="auto"/>
        </w:rPr>
        <w:t xml:space="preserve"> </w:t>
      </w:r>
      <w:r>
        <w:rPr>
          <w:color w:val="auto"/>
        </w:rPr>
        <w:t>raised by Appellant; that the Arbitrator made a correct finding in law in that there was reasonable cause for Respondent’s absenteeism</w:t>
      </w:r>
      <w:r w:rsidR="00605E8B">
        <w:rPr>
          <w:color w:val="auto"/>
        </w:rPr>
        <w:t>.</w:t>
      </w:r>
    </w:p>
    <w:p w:rsidR="00D075D1" w:rsidRDefault="00605E8B" w:rsidP="00017A6A">
      <w:pPr>
        <w:ind w:firstLine="720"/>
        <w:rPr>
          <w:color w:val="auto"/>
        </w:rPr>
      </w:pPr>
      <w:r>
        <w:rPr>
          <w:color w:val="auto"/>
        </w:rPr>
        <w:t xml:space="preserve">The first point taken by the Appellant is that the Arbitrator erred in law in dismissing the point in </w:t>
      </w:r>
      <w:r>
        <w:rPr>
          <w:i/>
          <w:color w:val="auto"/>
        </w:rPr>
        <w:t>limine</w:t>
      </w:r>
      <w:r w:rsidR="00017A6A">
        <w:rPr>
          <w:i/>
          <w:color w:val="auto"/>
        </w:rPr>
        <w:t>.</w:t>
      </w:r>
      <w:r w:rsidR="00B6154C">
        <w:rPr>
          <w:i/>
          <w:color w:val="auto"/>
        </w:rPr>
        <w:t xml:space="preserve"> </w:t>
      </w:r>
      <w:r w:rsidR="00017A6A">
        <w:rPr>
          <w:color w:val="auto"/>
        </w:rPr>
        <w:t xml:space="preserve">The Appellant submission on the point is premised on </w:t>
      </w:r>
      <w:r w:rsidR="00017A6A" w:rsidRPr="00017A6A">
        <w:rPr>
          <w:b/>
          <w:color w:val="auto"/>
        </w:rPr>
        <w:t>Section 92</w:t>
      </w:r>
      <w:r w:rsidR="00682465">
        <w:rPr>
          <w:b/>
          <w:color w:val="auto"/>
        </w:rPr>
        <w:t xml:space="preserve"> </w:t>
      </w:r>
      <w:r w:rsidR="00AF6DAC">
        <w:rPr>
          <w:color w:val="auto"/>
        </w:rPr>
        <w:t xml:space="preserve">of the </w:t>
      </w:r>
      <w:r w:rsidR="00AF6DAC" w:rsidRPr="00AF6DAC">
        <w:rPr>
          <w:b/>
          <w:color w:val="auto"/>
        </w:rPr>
        <w:t>Labour Act [Cap 28:01]</w:t>
      </w:r>
      <w:r w:rsidR="00017A6A">
        <w:rPr>
          <w:color w:val="auto"/>
        </w:rPr>
        <w:t xml:space="preserve">. That section according to Appellant provides that an employee must be represented by a Union of which the employee is a member or by a legal practitioner. The Appellant submits </w:t>
      </w:r>
      <w:r w:rsidR="00573728">
        <w:rPr>
          <w:color w:val="auto"/>
        </w:rPr>
        <w:t xml:space="preserve">that </w:t>
      </w:r>
      <w:r w:rsidR="00017A6A">
        <w:rPr>
          <w:color w:val="auto"/>
        </w:rPr>
        <w:t>having</w:t>
      </w:r>
      <w:r w:rsidR="00AF6DAC">
        <w:rPr>
          <w:color w:val="auto"/>
        </w:rPr>
        <w:t xml:space="preserve"> submitted before the Arbitrator</w:t>
      </w:r>
      <w:r w:rsidR="00B6154C">
        <w:rPr>
          <w:color w:val="auto"/>
        </w:rPr>
        <w:t xml:space="preserve"> </w:t>
      </w:r>
      <w:r w:rsidR="00017A6A">
        <w:rPr>
          <w:color w:val="auto"/>
        </w:rPr>
        <w:t>that as the employer responsible for remittance of union dues on behalf of</w:t>
      </w:r>
      <w:r w:rsidR="00AF6DAC">
        <w:rPr>
          <w:color w:val="auto"/>
        </w:rPr>
        <w:t xml:space="preserve"> Respondent it </w:t>
      </w:r>
      <w:r w:rsidR="00CE2584">
        <w:rPr>
          <w:color w:val="auto"/>
        </w:rPr>
        <w:t>had not paid any</w:t>
      </w:r>
      <w:r w:rsidR="00017A6A">
        <w:rPr>
          <w:color w:val="auto"/>
        </w:rPr>
        <w:t xml:space="preserve"> subscriptions on behalf of the Respondent to the </w:t>
      </w:r>
      <w:r w:rsidR="000D1029">
        <w:rPr>
          <w:color w:val="auto"/>
        </w:rPr>
        <w:t>Baking</w:t>
      </w:r>
      <w:r w:rsidR="00017A6A">
        <w:rPr>
          <w:color w:val="auto"/>
        </w:rPr>
        <w:t xml:space="preserve"> Industry Workers Union</w:t>
      </w:r>
      <w:r w:rsidR="00AF6DAC">
        <w:rPr>
          <w:color w:val="auto"/>
        </w:rPr>
        <w:t xml:space="preserve"> the Arbitrator erred in finding otherwise</w:t>
      </w:r>
      <w:r w:rsidR="00017A6A">
        <w:rPr>
          <w:color w:val="auto"/>
        </w:rPr>
        <w:t>. The Appellant</w:t>
      </w:r>
      <w:r w:rsidR="00AF6DAC">
        <w:rPr>
          <w:color w:val="auto"/>
        </w:rPr>
        <w:t xml:space="preserve"> had</w:t>
      </w:r>
      <w:r w:rsidR="00017A6A">
        <w:rPr>
          <w:color w:val="auto"/>
        </w:rPr>
        <w:t xml:space="preserve"> also tendered evidence of the Respondent payslip to show that no union dues had been deducted from Respondent’s salary in</w:t>
      </w:r>
      <w:r w:rsidR="00CE2584">
        <w:rPr>
          <w:color w:val="auto"/>
        </w:rPr>
        <w:t xml:space="preserve"> favour of the union concerned</w:t>
      </w:r>
      <w:r w:rsidR="00017A6A">
        <w:rPr>
          <w:color w:val="auto"/>
        </w:rPr>
        <w:t xml:space="preserve">. The Respondent himself did not reply to the point in </w:t>
      </w:r>
      <w:r w:rsidR="00017A6A">
        <w:rPr>
          <w:i/>
          <w:color w:val="auto"/>
        </w:rPr>
        <w:t>limine</w:t>
      </w:r>
      <w:r w:rsidR="00017A6A">
        <w:rPr>
          <w:color w:val="auto"/>
        </w:rPr>
        <w:t>. The Appellant submission is that despite</w:t>
      </w:r>
      <w:r w:rsidR="00CE2584">
        <w:rPr>
          <w:color w:val="auto"/>
        </w:rPr>
        <w:t xml:space="preserve"> the evidence so t</w:t>
      </w:r>
      <w:r w:rsidR="00017A6A">
        <w:rPr>
          <w:color w:val="auto"/>
        </w:rPr>
        <w:t>e</w:t>
      </w:r>
      <w:r w:rsidR="00CE2584">
        <w:rPr>
          <w:color w:val="auto"/>
        </w:rPr>
        <w:t>ndered the Arbitrator proceeded</w:t>
      </w:r>
      <w:r w:rsidR="00017A6A">
        <w:rPr>
          <w:color w:val="auto"/>
        </w:rPr>
        <w:t xml:space="preserve"> to dismiss the point in </w:t>
      </w:r>
      <w:r w:rsidR="00017A6A">
        <w:rPr>
          <w:i/>
          <w:color w:val="auto"/>
        </w:rPr>
        <w:t>limine</w:t>
      </w:r>
      <w:r w:rsidR="00B6154C">
        <w:rPr>
          <w:i/>
          <w:color w:val="auto"/>
        </w:rPr>
        <w:t xml:space="preserve"> </w:t>
      </w:r>
      <w:r w:rsidR="00D075D1">
        <w:rPr>
          <w:color w:val="auto"/>
        </w:rPr>
        <w:t>in the absence</w:t>
      </w:r>
      <w:r w:rsidR="00CE2584">
        <w:rPr>
          <w:color w:val="auto"/>
        </w:rPr>
        <w:t xml:space="preserve"> of any evidence to support his</w:t>
      </w:r>
      <w:r w:rsidR="00D075D1">
        <w:rPr>
          <w:color w:val="auto"/>
        </w:rPr>
        <w:t xml:space="preserve"> position. On this basis it is Appellant submission that the Arbitrator erred at law and his award ought to be set aside.</w:t>
      </w:r>
    </w:p>
    <w:p w:rsidR="007A00A2" w:rsidRDefault="007A00A2" w:rsidP="00017A6A">
      <w:pPr>
        <w:ind w:firstLine="720"/>
        <w:rPr>
          <w:color w:val="auto"/>
        </w:rPr>
      </w:pPr>
      <w:r>
        <w:rPr>
          <w:color w:val="auto"/>
        </w:rPr>
        <w:t>The Respondent submissions in counter was that the issue of representation was not raised at the conciliation stage. It was not therefore</w:t>
      </w:r>
      <w:r w:rsidR="00CE2584">
        <w:rPr>
          <w:color w:val="auto"/>
        </w:rPr>
        <w:t xml:space="preserve"> included as</w:t>
      </w:r>
      <w:r>
        <w:rPr>
          <w:color w:val="auto"/>
        </w:rPr>
        <w:t xml:space="preserve"> a term of reference. The Arbitrator therefore was correc</w:t>
      </w:r>
      <w:r w:rsidR="00CE2584">
        <w:rPr>
          <w:color w:val="auto"/>
        </w:rPr>
        <w:t xml:space="preserve">t in </w:t>
      </w:r>
      <w:r w:rsidR="00AF6DAC">
        <w:rPr>
          <w:color w:val="auto"/>
        </w:rPr>
        <w:t xml:space="preserve">dismissing the point </w:t>
      </w:r>
      <w:r w:rsidR="00CE2584">
        <w:rPr>
          <w:color w:val="auto"/>
        </w:rPr>
        <w:t>and continuing with proceedings</w:t>
      </w:r>
      <w:r>
        <w:rPr>
          <w:color w:val="auto"/>
        </w:rPr>
        <w:t>.</w:t>
      </w:r>
      <w:r w:rsidR="00CE2584">
        <w:rPr>
          <w:color w:val="auto"/>
        </w:rPr>
        <w:t xml:space="preserve"> The Respondent also sought to introduce a new </w:t>
      </w:r>
      <w:r w:rsidR="00CE2584">
        <w:rPr>
          <w:color w:val="auto"/>
        </w:rPr>
        <w:lastRenderedPageBreak/>
        <w:t>argument through his heads of argument that the Arbitrator was correct on the basis of Section 6 (2) of the Union Constitution.</w:t>
      </w:r>
      <w:r w:rsidR="00AF6DAC">
        <w:rPr>
          <w:color w:val="auto"/>
        </w:rPr>
        <w:t xml:space="preserve"> This last point not having been raised before the Arbitrator is clearly improperly taken before this court. The court cannot place any reliance on it.</w:t>
      </w:r>
    </w:p>
    <w:p w:rsidR="0068491F" w:rsidRDefault="007A00A2" w:rsidP="00017A6A">
      <w:pPr>
        <w:ind w:firstLine="720"/>
        <w:rPr>
          <w:color w:val="auto"/>
        </w:rPr>
      </w:pPr>
      <w:r>
        <w:rPr>
          <w:color w:val="auto"/>
        </w:rPr>
        <w:t xml:space="preserve">It is very clear that the Arbitrator by dismissing the point in </w:t>
      </w:r>
      <w:r w:rsidRPr="00CE2584">
        <w:rPr>
          <w:i/>
          <w:color w:val="auto"/>
        </w:rPr>
        <w:t>limine</w:t>
      </w:r>
      <w:r w:rsidR="006B7D97">
        <w:rPr>
          <w:color w:val="auto"/>
        </w:rPr>
        <w:t xml:space="preserve"> misdirected himself </w:t>
      </w:r>
      <w:r w:rsidR="00682465">
        <w:rPr>
          <w:color w:val="auto"/>
        </w:rPr>
        <w:t>in</w:t>
      </w:r>
      <w:r w:rsidR="00CE2584">
        <w:rPr>
          <w:color w:val="auto"/>
        </w:rPr>
        <w:t xml:space="preserve"> law in two</w:t>
      </w:r>
      <w:r>
        <w:rPr>
          <w:color w:val="auto"/>
        </w:rPr>
        <w:t xml:space="preserve"> material respect</w:t>
      </w:r>
      <w:r w:rsidR="00CE2584">
        <w:rPr>
          <w:color w:val="auto"/>
        </w:rPr>
        <w:t>s</w:t>
      </w:r>
      <w:r>
        <w:rPr>
          <w:color w:val="auto"/>
        </w:rPr>
        <w:t>. Firstly the issue of representation i.e</w:t>
      </w:r>
      <w:r w:rsidR="00682465">
        <w:rPr>
          <w:color w:val="auto"/>
        </w:rPr>
        <w:t>.</w:t>
      </w:r>
      <w:r>
        <w:rPr>
          <w:color w:val="auto"/>
        </w:rPr>
        <w:t xml:space="preserve"> as to who is representing a party before the tribunal is in itself a question of law. </w:t>
      </w:r>
      <w:r>
        <w:rPr>
          <w:b/>
          <w:color w:val="auto"/>
        </w:rPr>
        <w:t xml:space="preserve">Section 92 </w:t>
      </w:r>
      <w:r w:rsidR="00181975">
        <w:rPr>
          <w:color w:val="auto"/>
        </w:rPr>
        <w:t xml:space="preserve">of the Labour Act [Cap 28:01] </w:t>
      </w:r>
      <w:r>
        <w:rPr>
          <w:color w:val="auto"/>
        </w:rPr>
        <w:t xml:space="preserve">to which the Arbitrator was referred is very </w:t>
      </w:r>
      <w:r w:rsidR="00181975">
        <w:rPr>
          <w:color w:val="auto"/>
        </w:rPr>
        <w:t>clear as to who has the right of</w:t>
      </w:r>
      <w:r w:rsidR="002C1E17">
        <w:rPr>
          <w:color w:val="auto"/>
        </w:rPr>
        <w:t xml:space="preserve"> representation in the Labour Court/Tribunal. It can onl</w:t>
      </w:r>
      <w:r w:rsidR="00181975">
        <w:rPr>
          <w:color w:val="auto"/>
        </w:rPr>
        <w:t>y be either a Trade Unionist fro</w:t>
      </w:r>
      <w:r w:rsidR="002C1E17">
        <w:rPr>
          <w:color w:val="auto"/>
        </w:rPr>
        <w:t>m the Trade Union of which the party is a member or by a Legal Practitioner.</w:t>
      </w:r>
      <w:r w:rsidR="00B6154C">
        <w:rPr>
          <w:color w:val="auto"/>
        </w:rPr>
        <w:t xml:space="preserve"> </w:t>
      </w:r>
      <w:r w:rsidR="00181975">
        <w:rPr>
          <w:b/>
          <w:color w:val="auto"/>
        </w:rPr>
        <w:t xml:space="preserve">Section 92 </w:t>
      </w:r>
      <w:r w:rsidR="00181975">
        <w:rPr>
          <w:color w:val="auto"/>
        </w:rPr>
        <w:t xml:space="preserve">of the </w:t>
      </w:r>
      <w:r w:rsidR="00181975" w:rsidRPr="00181975">
        <w:rPr>
          <w:b/>
          <w:color w:val="auto"/>
        </w:rPr>
        <w:t>Labour Act [Cap 28:01]</w:t>
      </w:r>
      <w:r w:rsidR="00181975">
        <w:rPr>
          <w:color w:val="auto"/>
        </w:rPr>
        <w:t xml:space="preserve"> reads as follows;</w:t>
      </w:r>
    </w:p>
    <w:p w:rsidR="0068491F" w:rsidRPr="0068491F" w:rsidRDefault="0068491F" w:rsidP="0068491F">
      <w:pPr>
        <w:ind w:firstLine="720"/>
        <w:rPr>
          <w:color w:val="auto"/>
          <w:sz w:val="22"/>
        </w:rPr>
      </w:pPr>
      <w:r w:rsidRPr="0068491F">
        <w:rPr>
          <w:color w:val="auto"/>
          <w:sz w:val="22"/>
        </w:rPr>
        <w:t>“A party to a matter before the Labour Court may appear in person or be represented and appear by—</w:t>
      </w:r>
    </w:p>
    <w:p w:rsidR="0068491F" w:rsidRPr="0068491F" w:rsidRDefault="0068491F" w:rsidP="0068491F">
      <w:pPr>
        <w:ind w:firstLine="720"/>
        <w:rPr>
          <w:color w:val="auto"/>
          <w:sz w:val="22"/>
        </w:rPr>
      </w:pPr>
      <w:r w:rsidRPr="0068491F">
        <w:rPr>
          <w:color w:val="auto"/>
          <w:sz w:val="22"/>
        </w:rPr>
        <w:t>(a) a legal practitioner registered in terms of the Legal Practitioners Act [Chapter 27:07]; or</w:t>
      </w:r>
    </w:p>
    <w:p w:rsidR="00181975" w:rsidRPr="0068491F" w:rsidRDefault="0068491F" w:rsidP="0068491F">
      <w:pPr>
        <w:ind w:firstLine="720"/>
        <w:rPr>
          <w:color w:val="auto"/>
          <w:sz w:val="22"/>
        </w:rPr>
      </w:pPr>
      <w:r w:rsidRPr="0068491F">
        <w:rPr>
          <w:color w:val="auto"/>
          <w:sz w:val="22"/>
        </w:rPr>
        <w:t>(b) an official or employee of a registered trade union or employers organisation of which the party is a member.”</w:t>
      </w:r>
    </w:p>
    <w:p w:rsidR="00734C6A" w:rsidRDefault="002C1E17" w:rsidP="00017A6A">
      <w:pPr>
        <w:ind w:firstLine="720"/>
        <w:rPr>
          <w:color w:val="auto"/>
        </w:rPr>
      </w:pPr>
      <w:r>
        <w:rPr>
          <w:color w:val="auto"/>
        </w:rPr>
        <w:t xml:space="preserve"> The issue being a question of law it follows that it can be raised at any stage of the proceedings even on appeal. </w:t>
      </w:r>
      <w:r w:rsidR="001A13CF">
        <w:rPr>
          <w:color w:val="auto"/>
        </w:rPr>
        <w:t>T</w:t>
      </w:r>
      <w:r>
        <w:rPr>
          <w:color w:val="auto"/>
        </w:rPr>
        <w:t>he fact</w:t>
      </w:r>
      <w:r w:rsidR="00734C6A">
        <w:rPr>
          <w:color w:val="auto"/>
        </w:rPr>
        <w:t xml:space="preserve"> that the issue had not been raised at conciliation was clearly neither here nor there. Once the point had been raised before him the Arbitrator </w:t>
      </w:r>
      <w:r w:rsidR="009437EE">
        <w:rPr>
          <w:color w:val="auto"/>
        </w:rPr>
        <w:t>was dut</w:t>
      </w:r>
      <w:r w:rsidR="00734C6A">
        <w:rPr>
          <w:color w:val="auto"/>
        </w:rPr>
        <w:t>y bound to determine the point as raised before him. The Arbitrator could not afford to dismiss it cursorily as he did in the present matter.</w:t>
      </w:r>
    </w:p>
    <w:p w:rsidR="00DF59C3" w:rsidRDefault="00734C6A" w:rsidP="00017A6A">
      <w:pPr>
        <w:ind w:firstLine="720"/>
        <w:rPr>
          <w:color w:val="auto"/>
        </w:rPr>
      </w:pPr>
      <w:r>
        <w:rPr>
          <w:color w:val="auto"/>
        </w:rPr>
        <w:t xml:space="preserve">The second misdirection by the Arbitrator is that the point having been placed before him by the Appellant </w:t>
      </w:r>
      <w:r w:rsidR="009437EE">
        <w:rPr>
          <w:color w:val="auto"/>
        </w:rPr>
        <w:t>the Arbitrator was duty bound to consider in full the</w:t>
      </w:r>
      <w:r>
        <w:rPr>
          <w:color w:val="auto"/>
        </w:rPr>
        <w:t xml:space="preserve"> submissions</w:t>
      </w:r>
      <w:r w:rsidR="009437EE">
        <w:rPr>
          <w:color w:val="auto"/>
        </w:rPr>
        <w:t xml:space="preserve"> made and any</w:t>
      </w:r>
      <w:r>
        <w:rPr>
          <w:color w:val="auto"/>
        </w:rPr>
        <w:t xml:space="preserve"> evidence tendered in support of the submission. It is clear from the record the Appellant tendered evidence in the form of Respondent </w:t>
      </w:r>
      <w:r>
        <w:rPr>
          <w:color w:val="auto"/>
        </w:rPr>
        <w:lastRenderedPageBreak/>
        <w:t>payslip to back up its submission that no deductions were made in favour of the un</w:t>
      </w:r>
      <w:r w:rsidR="00D93E5E">
        <w:rPr>
          <w:color w:val="auto"/>
        </w:rPr>
        <w:t xml:space="preserve">ion. </w:t>
      </w:r>
      <w:r w:rsidR="00AF6DAC">
        <w:rPr>
          <w:color w:val="auto"/>
        </w:rPr>
        <w:t>The Respondent however</w:t>
      </w:r>
      <w:r>
        <w:rPr>
          <w:color w:val="auto"/>
        </w:rPr>
        <w:t xml:space="preserve"> did not</w:t>
      </w:r>
      <w:r w:rsidR="00D93E5E">
        <w:rPr>
          <w:color w:val="auto"/>
        </w:rPr>
        <w:t xml:space="preserve"> make any submissions on the point. The Respondent </w:t>
      </w:r>
      <w:r w:rsidR="00AF6DAC">
        <w:rPr>
          <w:color w:val="auto"/>
        </w:rPr>
        <w:t xml:space="preserve">also </w:t>
      </w:r>
      <w:r w:rsidR="00D93E5E">
        <w:rPr>
          <w:color w:val="auto"/>
        </w:rPr>
        <w:t>did not</w:t>
      </w:r>
      <w:r>
        <w:rPr>
          <w:color w:val="auto"/>
        </w:rPr>
        <w:t xml:space="preserve"> tender any evidence to controvert the submission</w:t>
      </w:r>
      <w:r w:rsidR="00AF6DAC">
        <w:rPr>
          <w:color w:val="auto"/>
        </w:rPr>
        <w:t>s</w:t>
      </w:r>
      <w:r>
        <w:rPr>
          <w:color w:val="auto"/>
        </w:rPr>
        <w:t xml:space="preserve"> made by the Appellant. </w:t>
      </w:r>
      <w:r w:rsidR="00AF6DAC">
        <w:rPr>
          <w:color w:val="auto"/>
        </w:rPr>
        <w:t xml:space="preserve">The </w:t>
      </w:r>
      <w:r>
        <w:rPr>
          <w:color w:val="auto"/>
        </w:rPr>
        <w:t>Arbitrator</w:t>
      </w:r>
      <w:r w:rsidR="00AF6DAC">
        <w:rPr>
          <w:color w:val="auto"/>
        </w:rPr>
        <w:t xml:space="preserve"> however</w:t>
      </w:r>
      <w:r>
        <w:rPr>
          <w:color w:val="auto"/>
        </w:rPr>
        <w:t xml:space="preserve"> proceeded to make the following findings;</w:t>
      </w:r>
    </w:p>
    <w:p w:rsidR="00DF59C3" w:rsidRPr="00035B02" w:rsidRDefault="00035B02" w:rsidP="00017A6A">
      <w:pPr>
        <w:ind w:firstLine="720"/>
        <w:rPr>
          <w:color w:val="auto"/>
          <w:sz w:val="22"/>
        </w:rPr>
      </w:pPr>
      <w:r w:rsidRPr="00035B02">
        <w:rPr>
          <w:color w:val="auto"/>
          <w:sz w:val="22"/>
        </w:rPr>
        <w:t>“</w:t>
      </w:r>
      <w:r w:rsidR="003F6CE8" w:rsidRPr="00035B02">
        <w:rPr>
          <w:color w:val="auto"/>
          <w:sz w:val="22"/>
        </w:rPr>
        <w:t xml:space="preserve">The Respondent submitted as evidence the Claimant’s pay slip show that no union dues were deducted from his salary. Does the deduction of salary during the life of the contract the only proof required to prove membership? What if the Claimant became a member after dismissal, is he precluded from becoming a member after dismissal? Section 28 of the Act provides that every trade union, ... shall ..(b) .... adopt a written constitution which shall provide for- </w:t>
      </w:r>
    </w:p>
    <w:p w:rsidR="003F6CE8" w:rsidRPr="00035B02" w:rsidRDefault="003F6CE8" w:rsidP="003F6CE8">
      <w:pPr>
        <w:pStyle w:val="ListParagraph"/>
        <w:numPr>
          <w:ilvl w:val="0"/>
          <w:numId w:val="11"/>
        </w:numPr>
        <w:rPr>
          <w:color w:val="auto"/>
          <w:sz w:val="22"/>
        </w:rPr>
      </w:pPr>
      <w:r w:rsidRPr="00035B02">
        <w:rPr>
          <w:color w:val="auto"/>
          <w:sz w:val="22"/>
        </w:rPr>
        <w:t>The qualification for membership, including membership fees, if any; and</w:t>
      </w:r>
    </w:p>
    <w:p w:rsidR="003F6CE8" w:rsidRPr="00035B02" w:rsidRDefault="003F6CE8" w:rsidP="003F6CE8">
      <w:pPr>
        <w:pStyle w:val="ListParagraph"/>
        <w:numPr>
          <w:ilvl w:val="0"/>
          <w:numId w:val="11"/>
        </w:numPr>
        <w:rPr>
          <w:color w:val="auto"/>
          <w:sz w:val="22"/>
        </w:rPr>
      </w:pPr>
      <w:r w:rsidRPr="00035B02">
        <w:rPr>
          <w:color w:val="auto"/>
          <w:sz w:val="22"/>
        </w:rPr>
        <w:t>The right of any person to membership if he is prepared to abide by the rules and conditions of membership.</w:t>
      </w:r>
    </w:p>
    <w:p w:rsidR="003F6CE8" w:rsidRPr="00035B02" w:rsidRDefault="003F6CE8" w:rsidP="00663607">
      <w:pPr>
        <w:ind w:firstLine="720"/>
        <w:rPr>
          <w:color w:val="auto"/>
          <w:sz w:val="22"/>
        </w:rPr>
      </w:pPr>
      <w:r w:rsidRPr="00035B02">
        <w:rPr>
          <w:color w:val="auto"/>
          <w:sz w:val="22"/>
        </w:rPr>
        <w:t>The mere fact that union dues were not deducted from the Claimants does not itself mean that he was not a member of the union. The claimant could have joined the union after he was dismissed, can’t the union represent him? I think they can represent him.</w:t>
      </w:r>
      <w:r w:rsidR="00035B02" w:rsidRPr="00035B02">
        <w:rPr>
          <w:color w:val="auto"/>
          <w:sz w:val="22"/>
        </w:rPr>
        <w:t>”</w:t>
      </w:r>
    </w:p>
    <w:p w:rsidR="00E3355D" w:rsidRDefault="00D11172" w:rsidP="00017A6A">
      <w:pPr>
        <w:ind w:firstLine="720"/>
        <w:rPr>
          <w:color w:val="auto"/>
        </w:rPr>
      </w:pPr>
      <w:r>
        <w:rPr>
          <w:color w:val="auto"/>
        </w:rPr>
        <w:t>It is clear in reaching the above conclusions t</w:t>
      </w:r>
      <w:r w:rsidR="00157F14">
        <w:rPr>
          <w:color w:val="auto"/>
        </w:rPr>
        <w:t xml:space="preserve">here were </w:t>
      </w:r>
      <w:r w:rsidR="00E3355D">
        <w:rPr>
          <w:color w:val="auto"/>
        </w:rPr>
        <w:t xml:space="preserve">no </w:t>
      </w:r>
      <w:r w:rsidR="00157F14">
        <w:rPr>
          <w:color w:val="auto"/>
        </w:rPr>
        <w:t>submissions made</w:t>
      </w:r>
      <w:r w:rsidR="00E3355D">
        <w:rPr>
          <w:color w:val="auto"/>
        </w:rPr>
        <w:t xml:space="preserve"> before him </w:t>
      </w:r>
      <w:r w:rsidR="00157F14">
        <w:rPr>
          <w:color w:val="auto"/>
        </w:rPr>
        <w:t xml:space="preserve">by the Respondent. There was also no evidence placed before him by the Respondent to support the position that the union had right of representation. The Appellant having placed evidence before the Arbitrator in the form of the payslip to show that no union dues were deducted in favour of the union it was open to the Respondent to controvert that evidence. The Respondent however failed to place any evidence to rebut the evidence tendered by </w:t>
      </w:r>
      <w:r w:rsidR="00235B12">
        <w:rPr>
          <w:color w:val="auto"/>
        </w:rPr>
        <w:t xml:space="preserve">the Appellant. The conclusion </w:t>
      </w:r>
      <w:r w:rsidR="00157F14">
        <w:rPr>
          <w:color w:val="auto"/>
        </w:rPr>
        <w:t>s</w:t>
      </w:r>
      <w:r w:rsidR="00235B12">
        <w:rPr>
          <w:color w:val="auto"/>
        </w:rPr>
        <w:t>o reached by the Arbitrator</w:t>
      </w:r>
      <w:r w:rsidR="00157F14">
        <w:rPr>
          <w:color w:val="auto"/>
        </w:rPr>
        <w:t xml:space="preserve"> in the absence of any positive evidence presented before him </w:t>
      </w:r>
      <w:r w:rsidR="00235B12">
        <w:rPr>
          <w:color w:val="auto"/>
        </w:rPr>
        <w:t xml:space="preserve">to show </w:t>
      </w:r>
      <w:r w:rsidR="00157F14">
        <w:rPr>
          <w:color w:val="auto"/>
        </w:rPr>
        <w:t>that the Respondent had joined that particular unio</w:t>
      </w:r>
      <w:r w:rsidR="00235B12">
        <w:rPr>
          <w:color w:val="auto"/>
        </w:rPr>
        <w:t>n before or after his dismissal were therefore clearly wrong.</w:t>
      </w:r>
    </w:p>
    <w:p w:rsidR="00F96359" w:rsidRDefault="00235B12" w:rsidP="00E3355D">
      <w:pPr>
        <w:ind w:firstLine="720"/>
        <w:rPr>
          <w:color w:val="auto"/>
        </w:rPr>
      </w:pPr>
      <w:r>
        <w:rPr>
          <w:color w:val="auto"/>
        </w:rPr>
        <w:t>The conclusions</w:t>
      </w:r>
      <w:r w:rsidR="00F96359">
        <w:rPr>
          <w:color w:val="auto"/>
        </w:rPr>
        <w:t xml:space="preserve"> were</w:t>
      </w:r>
      <w:r>
        <w:rPr>
          <w:color w:val="auto"/>
        </w:rPr>
        <w:t xml:space="preserve"> purely</w:t>
      </w:r>
      <w:r w:rsidR="00F96359">
        <w:rPr>
          <w:color w:val="auto"/>
        </w:rPr>
        <w:t xml:space="preserve"> based on the Arbitrator’s supposition and mere whim. The Arbitrator ought to have considered the point in </w:t>
      </w:r>
      <w:r w:rsidR="00F96359" w:rsidRPr="00EB607D">
        <w:rPr>
          <w:i/>
          <w:color w:val="auto"/>
        </w:rPr>
        <w:t>limine</w:t>
      </w:r>
      <w:r w:rsidR="00F96359">
        <w:rPr>
          <w:color w:val="auto"/>
        </w:rPr>
        <w:t xml:space="preserve"> and determined it on the basis of the e</w:t>
      </w:r>
      <w:r w:rsidR="00EB607D">
        <w:rPr>
          <w:color w:val="auto"/>
        </w:rPr>
        <w:t>vidence tendered before him</w:t>
      </w:r>
      <w:r w:rsidR="008C1899">
        <w:rPr>
          <w:color w:val="auto"/>
        </w:rPr>
        <w:t xml:space="preserve"> by the Appellant</w:t>
      </w:r>
      <w:r w:rsidR="00EB607D">
        <w:rPr>
          <w:color w:val="auto"/>
        </w:rPr>
        <w:t xml:space="preserve"> which evidence </w:t>
      </w:r>
      <w:r w:rsidR="00EB607D">
        <w:rPr>
          <w:color w:val="auto"/>
        </w:rPr>
        <w:lastRenderedPageBreak/>
        <w:t>point</w:t>
      </w:r>
      <w:r w:rsidR="00E3355D">
        <w:rPr>
          <w:color w:val="auto"/>
        </w:rPr>
        <w:t>ed</w:t>
      </w:r>
      <w:r w:rsidR="00EB607D">
        <w:rPr>
          <w:color w:val="auto"/>
        </w:rPr>
        <w:t xml:space="preserve"> to the fact</w:t>
      </w:r>
      <w:r w:rsidR="008C1899">
        <w:rPr>
          <w:color w:val="auto"/>
        </w:rPr>
        <w:t xml:space="preserve"> that the Ba</w:t>
      </w:r>
      <w:r w:rsidR="00F96359">
        <w:rPr>
          <w:color w:val="auto"/>
        </w:rPr>
        <w:t>king Industry Workers Union had no right of represent</w:t>
      </w:r>
      <w:r w:rsidR="007F32EC">
        <w:rPr>
          <w:color w:val="auto"/>
        </w:rPr>
        <w:t>ation before him. He</w:t>
      </w:r>
      <w:r w:rsidR="00F96359">
        <w:rPr>
          <w:color w:val="auto"/>
        </w:rPr>
        <w:t xml:space="preserve"> ought to have upheld the point in </w:t>
      </w:r>
      <w:r w:rsidR="00F96359" w:rsidRPr="00EB607D">
        <w:rPr>
          <w:i/>
          <w:color w:val="auto"/>
        </w:rPr>
        <w:t>limine</w:t>
      </w:r>
      <w:r w:rsidR="00E3355D">
        <w:rPr>
          <w:color w:val="auto"/>
        </w:rPr>
        <w:t xml:space="preserve"> as taken by the Appellant. </w:t>
      </w:r>
      <w:r w:rsidR="00682465">
        <w:rPr>
          <w:color w:val="auto"/>
        </w:rPr>
        <w:t xml:space="preserve">He should have taken the approach that the Labour Court took in the matter of </w:t>
      </w:r>
      <w:r w:rsidR="00682465">
        <w:rPr>
          <w:b/>
          <w:color w:val="auto"/>
        </w:rPr>
        <w:t xml:space="preserve">Freddy Mashazhike and Innscor Africa LC/H/615/11 </w:t>
      </w:r>
      <w:r w:rsidR="00682465">
        <w:rPr>
          <w:color w:val="auto"/>
        </w:rPr>
        <w:t xml:space="preserve">that having no </w:t>
      </w:r>
      <w:r w:rsidR="00682465">
        <w:rPr>
          <w:i/>
          <w:color w:val="auto"/>
        </w:rPr>
        <w:t>locus standi</w:t>
      </w:r>
      <w:r w:rsidR="00682465">
        <w:rPr>
          <w:color w:val="auto"/>
        </w:rPr>
        <w:t xml:space="preserve"> the trade union was excused from the proceedings and the employee was advised to either seek alternative representation or self represent. </w:t>
      </w:r>
      <w:r w:rsidR="007F32EC">
        <w:rPr>
          <w:color w:val="auto"/>
        </w:rPr>
        <w:t xml:space="preserve">The Arbitrator clearly misdirected himself in law in dismissing the point in </w:t>
      </w:r>
      <w:r w:rsidR="007F32EC" w:rsidRPr="007F32EC">
        <w:rPr>
          <w:i/>
          <w:color w:val="auto"/>
        </w:rPr>
        <w:t>limine</w:t>
      </w:r>
      <w:r w:rsidR="007F32EC">
        <w:rPr>
          <w:color w:val="auto"/>
        </w:rPr>
        <w:t xml:space="preserve">. </w:t>
      </w:r>
    </w:p>
    <w:p w:rsidR="00F96359" w:rsidRDefault="00F96359" w:rsidP="00017A6A">
      <w:pPr>
        <w:ind w:firstLine="720"/>
        <w:rPr>
          <w:color w:val="auto"/>
        </w:rPr>
      </w:pPr>
      <w:r>
        <w:rPr>
          <w:color w:val="auto"/>
        </w:rPr>
        <w:t>Having reached this conclusion it is clear that the appeal ought to be allowed on this basis alone. It is not</w:t>
      </w:r>
      <w:r w:rsidR="00576A31">
        <w:rPr>
          <w:color w:val="auto"/>
        </w:rPr>
        <w:t xml:space="preserve"> necessary for the court to determine the rest of the g</w:t>
      </w:r>
      <w:r w:rsidR="00F562A4">
        <w:rPr>
          <w:color w:val="auto"/>
        </w:rPr>
        <w:t>rounds of appeal which are otherwise predicated</w:t>
      </w:r>
      <w:r w:rsidR="00576A31">
        <w:rPr>
          <w:color w:val="auto"/>
        </w:rPr>
        <w:t xml:space="preserve"> on the merits</w:t>
      </w:r>
      <w:r w:rsidR="00B106CE">
        <w:rPr>
          <w:color w:val="auto"/>
        </w:rPr>
        <w:t xml:space="preserve"> of the matter</w:t>
      </w:r>
      <w:r w:rsidR="00576A31">
        <w:rPr>
          <w:color w:val="auto"/>
        </w:rPr>
        <w:t>. It is accordingly ordered as follows</w:t>
      </w:r>
      <w:r w:rsidR="00F562A4">
        <w:rPr>
          <w:color w:val="auto"/>
        </w:rPr>
        <w:t>;</w:t>
      </w:r>
    </w:p>
    <w:p w:rsidR="00576A31" w:rsidRDefault="00576A31" w:rsidP="00576A31">
      <w:pPr>
        <w:pStyle w:val="ListParagraph"/>
        <w:numPr>
          <w:ilvl w:val="0"/>
          <w:numId w:val="8"/>
        </w:numPr>
        <w:rPr>
          <w:color w:val="auto"/>
        </w:rPr>
      </w:pPr>
      <w:r>
        <w:rPr>
          <w:color w:val="auto"/>
        </w:rPr>
        <w:t>The appeal be and is hereby allowed</w:t>
      </w:r>
      <w:r w:rsidR="00F661BB">
        <w:rPr>
          <w:color w:val="auto"/>
        </w:rPr>
        <w:t>.</w:t>
      </w:r>
    </w:p>
    <w:p w:rsidR="00576A31" w:rsidRDefault="00576A31" w:rsidP="00576A31">
      <w:pPr>
        <w:pStyle w:val="ListParagraph"/>
        <w:numPr>
          <w:ilvl w:val="0"/>
          <w:numId w:val="8"/>
        </w:numPr>
        <w:rPr>
          <w:color w:val="auto"/>
        </w:rPr>
      </w:pPr>
      <w:r>
        <w:rPr>
          <w:color w:val="auto"/>
        </w:rPr>
        <w:t>The arbitral award handed down on the 23</w:t>
      </w:r>
      <w:r w:rsidRPr="00576A31">
        <w:rPr>
          <w:color w:val="auto"/>
          <w:vertAlign w:val="superscript"/>
        </w:rPr>
        <w:t>rd</w:t>
      </w:r>
      <w:r>
        <w:rPr>
          <w:color w:val="auto"/>
        </w:rPr>
        <w:t xml:space="preserve"> February 2015 is hereby set aside.</w:t>
      </w:r>
    </w:p>
    <w:p w:rsidR="00576A31" w:rsidRPr="00576A31" w:rsidRDefault="00F661BB" w:rsidP="00576A31">
      <w:pPr>
        <w:pStyle w:val="ListParagraph"/>
        <w:numPr>
          <w:ilvl w:val="0"/>
          <w:numId w:val="8"/>
        </w:numPr>
        <w:rPr>
          <w:color w:val="auto"/>
        </w:rPr>
      </w:pPr>
      <w:r>
        <w:rPr>
          <w:color w:val="auto"/>
        </w:rPr>
        <w:t>There is no order</w:t>
      </w:r>
      <w:r w:rsidR="00576A31">
        <w:rPr>
          <w:color w:val="auto"/>
        </w:rPr>
        <w:t xml:space="preserve"> as to costs.</w:t>
      </w:r>
    </w:p>
    <w:p w:rsidR="00605E8B" w:rsidRPr="00017A6A" w:rsidRDefault="00605E8B" w:rsidP="00017A6A">
      <w:pPr>
        <w:ind w:firstLine="720"/>
        <w:rPr>
          <w:color w:val="auto"/>
        </w:rPr>
      </w:pPr>
    </w:p>
    <w:p w:rsidR="00F922AF" w:rsidRPr="008E2DB8" w:rsidRDefault="00682465" w:rsidP="001D4AB2">
      <w:pPr>
        <w:rPr>
          <w:color w:val="auto"/>
        </w:rPr>
      </w:pPr>
      <w:r>
        <w:rPr>
          <w:i/>
          <w:color w:val="auto"/>
          <w:sz w:val="22"/>
        </w:rPr>
        <w:t xml:space="preserve">Honey &amp; Blanckenberg, </w:t>
      </w:r>
      <w:r>
        <w:rPr>
          <w:color w:val="auto"/>
          <w:sz w:val="22"/>
        </w:rPr>
        <w:t>appellant’s legal practitioners</w:t>
      </w:r>
      <w:r w:rsidR="00477F35">
        <w:rPr>
          <w:color w:val="auto"/>
        </w:rPr>
        <w:tab/>
      </w:r>
    </w:p>
    <w:sectPr w:rsidR="00F922AF" w:rsidRPr="008E2DB8" w:rsidSect="005F70AD">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58" w:rsidRDefault="00842458" w:rsidP="00A741A7">
      <w:pPr>
        <w:spacing w:before="0" w:after="0" w:line="240" w:lineRule="auto"/>
      </w:pPr>
      <w:r>
        <w:separator/>
      </w:r>
    </w:p>
  </w:endnote>
  <w:endnote w:type="continuationSeparator" w:id="0">
    <w:p w:rsidR="00842458" w:rsidRDefault="00842458"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DF59C3" w:rsidRDefault="00E45827">
        <w:pPr>
          <w:pStyle w:val="Footer"/>
          <w:jc w:val="center"/>
        </w:pPr>
        <w:r>
          <w:fldChar w:fldCharType="begin"/>
        </w:r>
        <w:r w:rsidR="00731424">
          <w:instrText xml:space="preserve"> PAGE   \* MERGEFORMAT </w:instrText>
        </w:r>
        <w:r>
          <w:fldChar w:fldCharType="separate"/>
        </w:r>
        <w:r w:rsidR="005C00D3">
          <w:rPr>
            <w:noProof/>
          </w:rPr>
          <w:t>6</w:t>
        </w:r>
        <w:r>
          <w:rPr>
            <w:noProof/>
          </w:rPr>
          <w:fldChar w:fldCharType="end"/>
        </w:r>
      </w:p>
    </w:sdtContent>
  </w:sdt>
  <w:p w:rsidR="00DF59C3" w:rsidRDefault="00DF5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58" w:rsidRDefault="00842458" w:rsidP="00A741A7">
      <w:pPr>
        <w:spacing w:before="0" w:after="0" w:line="240" w:lineRule="auto"/>
      </w:pPr>
      <w:r>
        <w:separator/>
      </w:r>
    </w:p>
  </w:footnote>
  <w:footnote w:type="continuationSeparator" w:id="0">
    <w:p w:rsidR="00842458" w:rsidRDefault="00842458"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DCF" w:rsidRPr="00D63E84" w:rsidRDefault="00682465" w:rsidP="00682465">
    <w:pPr>
      <w:ind w:left="4320" w:firstLine="720"/>
      <w:rPr>
        <w:rFonts w:cs="Tahoma"/>
        <w:b/>
        <w:color w:val="auto"/>
        <w:szCs w:val="24"/>
      </w:rPr>
    </w:pPr>
    <w:r>
      <w:rPr>
        <w:rFonts w:cs="Tahoma"/>
        <w:b/>
        <w:color w:val="auto"/>
        <w:szCs w:val="24"/>
      </w:rPr>
      <w:t xml:space="preserve">     </w:t>
    </w:r>
    <w:r w:rsidR="001B6DCF">
      <w:rPr>
        <w:rFonts w:cs="Tahoma"/>
        <w:b/>
        <w:color w:val="auto"/>
        <w:szCs w:val="24"/>
      </w:rPr>
      <w:t>JUDGMENT NO LC/H/</w:t>
    </w:r>
    <w:r>
      <w:rPr>
        <w:rFonts w:cs="Tahoma"/>
        <w:b/>
        <w:color w:val="auto"/>
        <w:szCs w:val="24"/>
      </w:rPr>
      <w:t>352</w:t>
    </w:r>
    <w:r w:rsidR="001B6DCF">
      <w:rPr>
        <w:rFonts w:cs="Tahoma"/>
        <w:b/>
        <w:color w:val="auto"/>
        <w:szCs w:val="24"/>
      </w:rPr>
      <w:t>/16</w:t>
    </w:r>
  </w:p>
  <w:p w:rsidR="00DF59C3" w:rsidRDefault="00DF5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2">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C962CFF"/>
    <w:multiLevelType w:val="hybridMultilevel"/>
    <w:tmpl w:val="1CB487A8"/>
    <w:lvl w:ilvl="0" w:tplc="94AC0272">
      <w:numFmt w:val="bullet"/>
      <w:lvlText w:val=""/>
      <w:lvlJc w:val="left"/>
      <w:pPr>
        <w:ind w:left="720" w:hanging="360"/>
      </w:pPr>
      <w:rPr>
        <w:rFonts w:ascii="Wingdings" w:eastAsiaTheme="minorHAnsi" w:hAnsi="Wingdings"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D001D7E"/>
    <w:multiLevelType w:val="hybridMultilevel"/>
    <w:tmpl w:val="CE041F74"/>
    <w:lvl w:ilvl="0" w:tplc="79B8F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61926"/>
    <w:multiLevelType w:val="hybridMultilevel"/>
    <w:tmpl w:val="FB0A7BA0"/>
    <w:lvl w:ilvl="0" w:tplc="8D9C1E5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4B5547FD"/>
    <w:multiLevelType w:val="hybridMultilevel"/>
    <w:tmpl w:val="AB22A0D2"/>
    <w:lvl w:ilvl="0" w:tplc="24145BF8">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E752DD8"/>
    <w:multiLevelType w:val="hybridMultilevel"/>
    <w:tmpl w:val="896A3EFA"/>
    <w:lvl w:ilvl="0" w:tplc="8A1A6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nsid w:val="60427FEA"/>
    <w:multiLevelType w:val="hybridMultilevel"/>
    <w:tmpl w:val="9A2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9"/>
  </w:num>
  <w:num w:numId="5">
    <w:abstractNumId w:val="0"/>
  </w:num>
  <w:num w:numId="6">
    <w:abstractNumId w:val="4"/>
  </w:num>
  <w:num w:numId="7">
    <w:abstractNumId w:val="10"/>
  </w:num>
  <w:num w:numId="8">
    <w:abstractNumId w:val="5"/>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3FF2"/>
    <w:rsid w:val="00017A6A"/>
    <w:rsid w:val="00020EF3"/>
    <w:rsid w:val="00035B02"/>
    <w:rsid w:val="00050DFA"/>
    <w:rsid w:val="00083106"/>
    <w:rsid w:val="00093F2E"/>
    <w:rsid w:val="000C569C"/>
    <w:rsid w:val="000D1029"/>
    <w:rsid w:val="000F1B6E"/>
    <w:rsid w:val="00101CE5"/>
    <w:rsid w:val="00103144"/>
    <w:rsid w:val="00111FFA"/>
    <w:rsid w:val="00157F14"/>
    <w:rsid w:val="0016778E"/>
    <w:rsid w:val="0017019C"/>
    <w:rsid w:val="001767DE"/>
    <w:rsid w:val="00181975"/>
    <w:rsid w:val="001928A1"/>
    <w:rsid w:val="001A13CF"/>
    <w:rsid w:val="001B6DCF"/>
    <w:rsid w:val="001D4AB2"/>
    <w:rsid w:val="00212CC8"/>
    <w:rsid w:val="00233207"/>
    <w:rsid w:val="00235B12"/>
    <w:rsid w:val="00260D99"/>
    <w:rsid w:val="0029075B"/>
    <w:rsid w:val="002C1E17"/>
    <w:rsid w:val="002D2C1F"/>
    <w:rsid w:val="002D6C42"/>
    <w:rsid w:val="00325728"/>
    <w:rsid w:val="003411D1"/>
    <w:rsid w:val="0034367F"/>
    <w:rsid w:val="003460F2"/>
    <w:rsid w:val="00353F19"/>
    <w:rsid w:val="003B36C9"/>
    <w:rsid w:val="003D14D2"/>
    <w:rsid w:val="003F6CE8"/>
    <w:rsid w:val="00415657"/>
    <w:rsid w:val="0042577E"/>
    <w:rsid w:val="00426898"/>
    <w:rsid w:val="00466B03"/>
    <w:rsid w:val="00467CAA"/>
    <w:rsid w:val="0047468C"/>
    <w:rsid w:val="004759D5"/>
    <w:rsid w:val="00477F35"/>
    <w:rsid w:val="00496B8A"/>
    <w:rsid w:val="004B159C"/>
    <w:rsid w:val="00504DFB"/>
    <w:rsid w:val="00523AFA"/>
    <w:rsid w:val="00523BA6"/>
    <w:rsid w:val="00527612"/>
    <w:rsid w:val="005336BA"/>
    <w:rsid w:val="00547360"/>
    <w:rsid w:val="005630DC"/>
    <w:rsid w:val="00564E09"/>
    <w:rsid w:val="00573728"/>
    <w:rsid w:val="00576A31"/>
    <w:rsid w:val="00597946"/>
    <w:rsid w:val="005A4685"/>
    <w:rsid w:val="005C00D3"/>
    <w:rsid w:val="005C5303"/>
    <w:rsid w:val="005C58EB"/>
    <w:rsid w:val="005F70AD"/>
    <w:rsid w:val="00605E8B"/>
    <w:rsid w:val="00610032"/>
    <w:rsid w:val="00640FF0"/>
    <w:rsid w:val="00652E6E"/>
    <w:rsid w:val="0065384B"/>
    <w:rsid w:val="006571A2"/>
    <w:rsid w:val="00663607"/>
    <w:rsid w:val="00682465"/>
    <w:rsid w:val="0068491F"/>
    <w:rsid w:val="006B7D97"/>
    <w:rsid w:val="006C1486"/>
    <w:rsid w:val="006C1FF4"/>
    <w:rsid w:val="006D391B"/>
    <w:rsid w:val="00710C8A"/>
    <w:rsid w:val="00726CD4"/>
    <w:rsid w:val="00731424"/>
    <w:rsid w:val="00734C6A"/>
    <w:rsid w:val="00735F9F"/>
    <w:rsid w:val="007523CE"/>
    <w:rsid w:val="00766326"/>
    <w:rsid w:val="00773E64"/>
    <w:rsid w:val="007A00A2"/>
    <w:rsid w:val="007B5C1F"/>
    <w:rsid w:val="007D2436"/>
    <w:rsid w:val="007D3890"/>
    <w:rsid w:val="007F32EC"/>
    <w:rsid w:val="00814AAD"/>
    <w:rsid w:val="0083053A"/>
    <w:rsid w:val="00842458"/>
    <w:rsid w:val="00847844"/>
    <w:rsid w:val="00885B13"/>
    <w:rsid w:val="008871B5"/>
    <w:rsid w:val="00897845"/>
    <w:rsid w:val="008B203E"/>
    <w:rsid w:val="008C1899"/>
    <w:rsid w:val="008E2DB8"/>
    <w:rsid w:val="008F3BEF"/>
    <w:rsid w:val="0090084B"/>
    <w:rsid w:val="009070D5"/>
    <w:rsid w:val="009171C9"/>
    <w:rsid w:val="00940C15"/>
    <w:rsid w:val="009437EE"/>
    <w:rsid w:val="009536AF"/>
    <w:rsid w:val="00976FB5"/>
    <w:rsid w:val="00977A88"/>
    <w:rsid w:val="009C1CEB"/>
    <w:rsid w:val="009D188E"/>
    <w:rsid w:val="009E2056"/>
    <w:rsid w:val="00A02271"/>
    <w:rsid w:val="00A267DE"/>
    <w:rsid w:val="00A67EFE"/>
    <w:rsid w:val="00A741A7"/>
    <w:rsid w:val="00A87B2C"/>
    <w:rsid w:val="00AB1A17"/>
    <w:rsid w:val="00AB3597"/>
    <w:rsid w:val="00AD0529"/>
    <w:rsid w:val="00AE1E4D"/>
    <w:rsid w:val="00AE70E5"/>
    <w:rsid w:val="00AF1243"/>
    <w:rsid w:val="00AF6DAC"/>
    <w:rsid w:val="00B00F6D"/>
    <w:rsid w:val="00B106CE"/>
    <w:rsid w:val="00B1173A"/>
    <w:rsid w:val="00B52382"/>
    <w:rsid w:val="00B6154C"/>
    <w:rsid w:val="00B8659B"/>
    <w:rsid w:val="00B9653C"/>
    <w:rsid w:val="00BE50B5"/>
    <w:rsid w:val="00BE6E11"/>
    <w:rsid w:val="00C10051"/>
    <w:rsid w:val="00C108A5"/>
    <w:rsid w:val="00C27795"/>
    <w:rsid w:val="00C352A3"/>
    <w:rsid w:val="00C514F7"/>
    <w:rsid w:val="00C563E7"/>
    <w:rsid w:val="00C63EFE"/>
    <w:rsid w:val="00C7542A"/>
    <w:rsid w:val="00C838A1"/>
    <w:rsid w:val="00C91FDC"/>
    <w:rsid w:val="00CB1901"/>
    <w:rsid w:val="00CC4B59"/>
    <w:rsid w:val="00CE2584"/>
    <w:rsid w:val="00CF1090"/>
    <w:rsid w:val="00CF6EC2"/>
    <w:rsid w:val="00D0286F"/>
    <w:rsid w:val="00D075D1"/>
    <w:rsid w:val="00D11172"/>
    <w:rsid w:val="00D441BE"/>
    <w:rsid w:val="00D44B38"/>
    <w:rsid w:val="00D50394"/>
    <w:rsid w:val="00D63E84"/>
    <w:rsid w:val="00D6584D"/>
    <w:rsid w:val="00D82E99"/>
    <w:rsid w:val="00D830CC"/>
    <w:rsid w:val="00D87A84"/>
    <w:rsid w:val="00D93E5E"/>
    <w:rsid w:val="00DB3048"/>
    <w:rsid w:val="00DB6390"/>
    <w:rsid w:val="00DC0B6B"/>
    <w:rsid w:val="00DE525D"/>
    <w:rsid w:val="00DE6D10"/>
    <w:rsid w:val="00DF59C3"/>
    <w:rsid w:val="00E1584A"/>
    <w:rsid w:val="00E22C1A"/>
    <w:rsid w:val="00E3355D"/>
    <w:rsid w:val="00E409F6"/>
    <w:rsid w:val="00E45827"/>
    <w:rsid w:val="00E51D89"/>
    <w:rsid w:val="00E65E70"/>
    <w:rsid w:val="00E66E9D"/>
    <w:rsid w:val="00E71F8D"/>
    <w:rsid w:val="00EA2BDD"/>
    <w:rsid w:val="00EB2C00"/>
    <w:rsid w:val="00EB607D"/>
    <w:rsid w:val="00EC682E"/>
    <w:rsid w:val="00EF218B"/>
    <w:rsid w:val="00F106C2"/>
    <w:rsid w:val="00F562A4"/>
    <w:rsid w:val="00F661BB"/>
    <w:rsid w:val="00F81D22"/>
    <w:rsid w:val="00F922AF"/>
    <w:rsid w:val="00F96359"/>
    <w:rsid w:val="00FB55D4"/>
    <w:rsid w:val="00FD0CE7"/>
    <w:rsid w:val="00FD595C"/>
    <w:rsid w:val="00FE6FD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2</cp:revision>
  <cp:lastPrinted>2016-05-23T21:22:00Z</cp:lastPrinted>
  <dcterms:created xsi:type="dcterms:W3CDTF">2016-05-24T13:02:00Z</dcterms:created>
  <dcterms:modified xsi:type="dcterms:W3CDTF">2016-05-24T13:02:00Z</dcterms:modified>
</cp:coreProperties>
</file>