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1E3" w:rsidRPr="0021608D" w:rsidRDefault="002268BD" w:rsidP="00B531E3">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DISTRUBU</w:t>
      </w:r>
      <w:r w:rsidR="00B531E3" w:rsidRPr="0021608D">
        <w:rPr>
          <w:rFonts w:ascii="Times New Roman" w:hAnsi="Times New Roman" w:cs="Times New Roman"/>
          <w:b/>
          <w:sz w:val="24"/>
          <w:szCs w:val="24"/>
          <w:u w:val="single"/>
        </w:rPr>
        <w:t>TABLE</w:t>
      </w:r>
      <w:r w:rsidR="00B531E3">
        <w:rPr>
          <w:rFonts w:ascii="Times New Roman" w:hAnsi="Times New Roman" w:cs="Times New Roman"/>
          <w:b/>
          <w:sz w:val="24"/>
          <w:szCs w:val="24"/>
        </w:rPr>
        <w:tab/>
        <w:t>(12</w:t>
      </w:r>
      <w:r w:rsidR="00B531E3" w:rsidRPr="0021608D">
        <w:rPr>
          <w:rFonts w:ascii="Times New Roman" w:hAnsi="Times New Roman" w:cs="Times New Roman"/>
          <w:b/>
          <w:sz w:val="24"/>
          <w:szCs w:val="24"/>
        </w:rPr>
        <w:t>)</w:t>
      </w:r>
    </w:p>
    <w:p w:rsidR="00702D18" w:rsidRPr="008D2FF3" w:rsidRDefault="008E053F" w:rsidP="00F87943">
      <w:pPr>
        <w:spacing w:before="240" w:after="0" w:line="480" w:lineRule="auto"/>
        <w:jc w:val="both"/>
        <w:rPr>
          <w:rFonts w:ascii="Times New Roman" w:hAnsi="Times New Roman" w:cs="Times New Roman"/>
          <w:b/>
          <w:sz w:val="24"/>
          <w:szCs w:val="24"/>
        </w:rPr>
      </w:pPr>
      <w:r w:rsidRPr="008D2FF3">
        <w:rPr>
          <w:rFonts w:ascii="Times New Roman" w:hAnsi="Times New Roman" w:cs="Times New Roman"/>
          <w:b/>
          <w:sz w:val="24"/>
          <w:szCs w:val="24"/>
        </w:rPr>
        <w:t xml:space="preserve">         </w:t>
      </w:r>
    </w:p>
    <w:p w:rsidR="00702D18" w:rsidRPr="008D2FF3" w:rsidRDefault="00702D18" w:rsidP="00F87943">
      <w:pPr>
        <w:spacing w:before="240" w:after="0" w:line="480" w:lineRule="auto"/>
        <w:jc w:val="both"/>
        <w:rPr>
          <w:rFonts w:ascii="Times New Roman" w:hAnsi="Times New Roman" w:cs="Times New Roman"/>
          <w:b/>
          <w:sz w:val="24"/>
          <w:szCs w:val="24"/>
        </w:rPr>
      </w:pPr>
    </w:p>
    <w:p w:rsidR="0078625B" w:rsidRPr="008D2FF3" w:rsidRDefault="00AD1069" w:rsidP="00F87943">
      <w:pPr>
        <w:spacing w:after="0" w:line="240" w:lineRule="auto"/>
        <w:jc w:val="center"/>
        <w:rPr>
          <w:rFonts w:ascii="Times New Roman" w:hAnsi="Times New Roman" w:cs="Times New Roman"/>
          <w:b/>
          <w:sz w:val="24"/>
          <w:szCs w:val="24"/>
        </w:rPr>
      </w:pPr>
      <w:r w:rsidRPr="008D2FF3">
        <w:rPr>
          <w:rFonts w:ascii="Times New Roman" w:hAnsi="Times New Roman" w:cs="Times New Roman"/>
          <w:b/>
          <w:sz w:val="24"/>
          <w:szCs w:val="24"/>
        </w:rPr>
        <w:t xml:space="preserve">INFRASTRUCTURE     DEVELOPMENT     BANK     OF     </w:t>
      </w:r>
      <w:r w:rsidR="0078625B" w:rsidRPr="008D2FF3">
        <w:rPr>
          <w:rFonts w:ascii="Times New Roman" w:hAnsi="Times New Roman" w:cs="Times New Roman"/>
          <w:b/>
          <w:sz w:val="24"/>
          <w:szCs w:val="24"/>
        </w:rPr>
        <w:t>ZIM</w:t>
      </w:r>
      <w:r w:rsidR="0060433C">
        <w:rPr>
          <w:rFonts w:ascii="Times New Roman" w:hAnsi="Times New Roman" w:cs="Times New Roman"/>
          <w:b/>
          <w:sz w:val="24"/>
          <w:szCs w:val="24"/>
        </w:rPr>
        <w:t>B</w:t>
      </w:r>
      <w:r w:rsidR="0078625B" w:rsidRPr="008D2FF3">
        <w:rPr>
          <w:rFonts w:ascii="Times New Roman" w:hAnsi="Times New Roman" w:cs="Times New Roman"/>
          <w:b/>
          <w:sz w:val="24"/>
          <w:szCs w:val="24"/>
        </w:rPr>
        <w:t>ABWE</w:t>
      </w:r>
    </w:p>
    <w:p w:rsidR="0078625B" w:rsidRPr="008D2FF3" w:rsidRDefault="008E053F" w:rsidP="00F87943">
      <w:pPr>
        <w:tabs>
          <w:tab w:val="right" w:pos="9026"/>
        </w:tabs>
        <w:spacing w:after="0" w:line="240" w:lineRule="auto"/>
        <w:jc w:val="center"/>
        <w:rPr>
          <w:rFonts w:ascii="Times New Roman" w:hAnsi="Times New Roman" w:cs="Times New Roman"/>
          <w:b/>
          <w:sz w:val="24"/>
          <w:szCs w:val="24"/>
        </w:rPr>
      </w:pPr>
      <w:r w:rsidRPr="008D2FF3">
        <w:rPr>
          <w:rFonts w:ascii="Times New Roman" w:hAnsi="Times New Roman" w:cs="Times New Roman"/>
          <w:b/>
          <w:sz w:val="24"/>
          <w:szCs w:val="24"/>
        </w:rPr>
        <w:t>v</w:t>
      </w:r>
    </w:p>
    <w:p w:rsidR="0078625B" w:rsidRPr="008D2FF3" w:rsidRDefault="00AD1069" w:rsidP="00F87943">
      <w:pPr>
        <w:spacing w:after="0" w:line="240" w:lineRule="auto"/>
        <w:jc w:val="center"/>
        <w:rPr>
          <w:rFonts w:ascii="Times New Roman" w:hAnsi="Times New Roman" w:cs="Times New Roman"/>
          <w:b/>
          <w:sz w:val="24"/>
          <w:szCs w:val="24"/>
        </w:rPr>
      </w:pPr>
      <w:r w:rsidRPr="008D2FF3">
        <w:rPr>
          <w:rFonts w:ascii="Times New Roman" w:hAnsi="Times New Roman" w:cs="Times New Roman"/>
          <w:b/>
          <w:sz w:val="24"/>
          <w:szCs w:val="24"/>
        </w:rPr>
        <w:t>ENGEN     PETROLEUM     ZIMBA</w:t>
      </w:r>
      <w:r w:rsidR="0060433C">
        <w:rPr>
          <w:rFonts w:ascii="Times New Roman" w:hAnsi="Times New Roman" w:cs="Times New Roman"/>
          <w:b/>
          <w:sz w:val="24"/>
          <w:szCs w:val="24"/>
        </w:rPr>
        <w:t>B</w:t>
      </w:r>
      <w:r w:rsidRPr="008D2FF3">
        <w:rPr>
          <w:rFonts w:ascii="Times New Roman" w:hAnsi="Times New Roman" w:cs="Times New Roman"/>
          <w:b/>
          <w:sz w:val="24"/>
          <w:szCs w:val="24"/>
        </w:rPr>
        <w:t xml:space="preserve">WE     (PRIVATE)     </w:t>
      </w:r>
      <w:r w:rsidR="0078625B" w:rsidRPr="008D2FF3">
        <w:rPr>
          <w:rFonts w:ascii="Times New Roman" w:hAnsi="Times New Roman" w:cs="Times New Roman"/>
          <w:b/>
          <w:sz w:val="24"/>
          <w:szCs w:val="24"/>
        </w:rPr>
        <w:t>LIMITED</w:t>
      </w:r>
    </w:p>
    <w:p w:rsidR="0078625B" w:rsidRPr="008D2FF3" w:rsidRDefault="0078625B" w:rsidP="00F87943">
      <w:pPr>
        <w:spacing w:after="0" w:line="480" w:lineRule="auto"/>
        <w:jc w:val="both"/>
        <w:rPr>
          <w:rFonts w:ascii="Times New Roman" w:hAnsi="Times New Roman" w:cs="Times New Roman"/>
          <w:sz w:val="24"/>
          <w:szCs w:val="24"/>
        </w:rPr>
      </w:pPr>
    </w:p>
    <w:p w:rsidR="00AD1069" w:rsidRPr="008D2FF3" w:rsidRDefault="00AD1069" w:rsidP="00F87943">
      <w:pPr>
        <w:spacing w:after="0" w:line="480" w:lineRule="auto"/>
        <w:jc w:val="both"/>
        <w:rPr>
          <w:rFonts w:ascii="Times New Roman" w:hAnsi="Times New Roman" w:cs="Times New Roman"/>
          <w:sz w:val="24"/>
          <w:szCs w:val="24"/>
        </w:rPr>
      </w:pPr>
    </w:p>
    <w:p w:rsidR="0078625B" w:rsidRPr="008D2FF3" w:rsidRDefault="0078625B" w:rsidP="00F87943">
      <w:pPr>
        <w:spacing w:after="0" w:line="240" w:lineRule="auto"/>
        <w:jc w:val="both"/>
        <w:rPr>
          <w:rFonts w:ascii="Times New Roman" w:eastAsia="Calibri" w:hAnsi="Times New Roman" w:cs="Times New Roman"/>
          <w:b/>
          <w:sz w:val="24"/>
          <w:szCs w:val="24"/>
          <w:lang w:val="en-ZA"/>
        </w:rPr>
      </w:pPr>
      <w:r w:rsidRPr="008D2FF3">
        <w:rPr>
          <w:rFonts w:ascii="Times New Roman" w:eastAsia="Calibri" w:hAnsi="Times New Roman" w:cs="Times New Roman"/>
          <w:b/>
          <w:sz w:val="24"/>
          <w:szCs w:val="24"/>
          <w:lang w:val="en-ZA"/>
        </w:rPr>
        <w:t>SUPREME COURT OF ZIMBABWE</w:t>
      </w:r>
    </w:p>
    <w:p w:rsidR="0078625B" w:rsidRPr="008D2FF3" w:rsidRDefault="0078625B" w:rsidP="00F87943">
      <w:pPr>
        <w:spacing w:after="0" w:line="240" w:lineRule="auto"/>
        <w:jc w:val="both"/>
        <w:rPr>
          <w:rFonts w:ascii="Times New Roman" w:eastAsia="Calibri" w:hAnsi="Times New Roman" w:cs="Times New Roman"/>
          <w:b/>
          <w:sz w:val="24"/>
          <w:szCs w:val="24"/>
          <w:lang w:val="en-ZA"/>
        </w:rPr>
      </w:pPr>
      <w:r w:rsidRPr="008D2FF3">
        <w:rPr>
          <w:rFonts w:ascii="Times New Roman" w:eastAsia="Calibri" w:hAnsi="Times New Roman" w:cs="Times New Roman"/>
          <w:b/>
          <w:sz w:val="24"/>
          <w:szCs w:val="24"/>
          <w:lang w:val="en-ZA"/>
        </w:rPr>
        <w:t>GUVAVA JA, MAVANGIRA JA &amp; ZIYAMBI AJA</w:t>
      </w:r>
    </w:p>
    <w:p w:rsidR="0078625B" w:rsidRPr="008D2FF3" w:rsidRDefault="0078625B" w:rsidP="00F87943">
      <w:pPr>
        <w:spacing w:after="0" w:line="240" w:lineRule="auto"/>
        <w:jc w:val="both"/>
        <w:rPr>
          <w:rFonts w:ascii="Times New Roman" w:eastAsia="Calibri" w:hAnsi="Times New Roman" w:cs="Times New Roman"/>
          <w:b/>
          <w:sz w:val="24"/>
          <w:szCs w:val="24"/>
          <w:lang w:val="en-ZA"/>
        </w:rPr>
      </w:pPr>
      <w:r w:rsidRPr="008D2FF3">
        <w:rPr>
          <w:rFonts w:ascii="Times New Roman" w:eastAsia="Calibri" w:hAnsi="Times New Roman" w:cs="Times New Roman"/>
          <w:b/>
          <w:sz w:val="24"/>
          <w:szCs w:val="24"/>
          <w:lang w:val="en-ZA"/>
        </w:rPr>
        <w:t xml:space="preserve">HARARE, MAY </w:t>
      </w:r>
      <w:r w:rsidR="00AD1069" w:rsidRPr="008D2FF3">
        <w:rPr>
          <w:rFonts w:ascii="Times New Roman" w:eastAsia="Calibri" w:hAnsi="Times New Roman" w:cs="Times New Roman"/>
          <w:b/>
          <w:sz w:val="24"/>
          <w:szCs w:val="24"/>
          <w:lang w:val="en-ZA"/>
        </w:rPr>
        <w:t xml:space="preserve">23, </w:t>
      </w:r>
      <w:r w:rsidRPr="008D2FF3">
        <w:rPr>
          <w:rFonts w:ascii="Times New Roman" w:eastAsia="Calibri" w:hAnsi="Times New Roman" w:cs="Times New Roman"/>
          <w:b/>
          <w:sz w:val="24"/>
          <w:szCs w:val="24"/>
          <w:lang w:val="en-ZA"/>
        </w:rPr>
        <w:t xml:space="preserve">2017 &amp; </w:t>
      </w:r>
      <w:r w:rsidR="00CF2762">
        <w:rPr>
          <w:rFonts w:ascii="Times New Roman" w:eastAsia="Calibri" w:hAnsi="Times New Roman" w:cs="Times New Roman"/>
          <w:b/>
          <w:sz w:val="24"/>
          <w:szCs w:val="24"/>
          <w:lang w:val="en-ZA"/>
        </w:rPr>
        <w:t>FEBRU</w:t>
      </w:r>
      <w:r w:rsidR="00052CB2" w:rsidRPr="008D2FF3">
        <w:rPr>
          <w:rFonts w:ascii="Times New Roman" w:eastAsia="Calibri" w:hAnsi="Times New Roman" w:cs="Times New Roman"/>
          <w:b/>
          <w:sz w:val="24"/>
          <w:szCs w:val="24"/>
          <w:lang w:val="en-ZA"/>
        </w:rPr>
        <w:t xml:space="preserve">ARY </w:t>
      </w:r>
      <w:r w:rsidR="00CF2762">
        <w:rPr>
          <w:rFonts w:ascii="Times New Roman" w:eastAsia="Calibri" w:hAnsi="Times New Roman" w:cs="Times New Roman"/>
          <w:b/>
          <w:sz w:val="24"/>
          <w:szCs w:val="24"/>
          <w:lang w:val="en-ZA"/>
        </w:rPr>
        <w:t>6</w:t>
      </w:r>
      <w:r w:rsidR="00052CB2" w:rsidRPr="008D2FF3">
        <w:rPr>
          <w:rFonts w:ascii="Times New Roman" w:eastAsia="Calibri" w:hAnsi="Times New Roman" w:cs="Times New Roman"/>
          <w:b/>
          <w:sz w:val="24"/>
          <w:szCs w:val="24"/>
          <w:lang w:val="en-ZA"/>
        </w:rPr>
        <w:t>, 2020</w:t>
      </w:r>
    </w:p>
    <w:p w:rsidR="00AD1069" w:rsidRPr="008D2FF3" w:rsidRDefault="00AD1069" w:rsidP="00F87943">
      <w:pPr>
        <w:spacing w:after="0" w:line="240" w:lineRule="auto"/>
        <w:jc w:val="both"/>
        <w:rPr>
          <w:rFonts w:ascii="Times New Roman" w:eastAsia="Calibri" w:hAnsi="Times New Roman" w:cs="Times New Roman"/>
          <w:b/>
          <w:sz w:val="24"/>
          <w:szCs w:val="24"/>
          <w:lang w:val="en-ZA"/>
        </w:rPr>
      </w:pPr>
    </w:p>
    <w:p w:rsidR="00AD1069" w:rsidRPr="008D2FF3" w:rsidRDefault="00AD1069" w:rsidP="00F87943">
      <w:pPr>
        <w:spacing w:after="0" w:line="240" w:lineRule="auto"/>
        <w:jc w:val="both"/>
        <w:rPr>
          <w:rFonts w:ascii="Times New Roman" w:eastAsia="Calibri" w:hAnsi="Times New Roman" w:cs="Times New Roman"/>
          <w:b/>
          <w:sz w:val="24"/>
          <w:szCs w:val="24"/>
          <w:lang w:val="en-ZA"/>
        </w:rPr>
      </w:pPr>
    </w:p>
    <w:p w:rsidR="00AD1069" w:rsidRPr="008D2FF3" w:rsidRDefault="00AD1069" w:rsidP="00F87943">
      <w:pPr>
        <w:spacing w:after="0" w:line="240" w:lineRule="auto"/>
        <w:jc w:val="both"/>
        <w:rPr>
          <w:rFonts w:ascii="Times New Roman" w:eastAsia="Calibri" w:hAnsi="Times New Roman" w:cs="Times New Roman"/>
          <w:b/>
          <w:sz w:val="24"/>
          <w:szCs w:val="24"/>
          <w:lang w:val="en-ZA"/>
        </w:rPr>
      </w:pPr>
    </w:p>
    <w:p w:rsidR="00537A52" w:rsidRPr="008D2FF3" w:rsidRDefault="00537A52" w:rsidP="00F87943">
      <w:pPr>
        <w:spacing w:after="0" w:line="240" w:lineRule="auto"/>
        <w:jc w:val="both"/>
        <w:rPr>
          <w:rFonts w:ascii="Times New Roman" w:eastAsia="Calibri" w:hAnsi="Times New Roman" w:cs="Times New Roman"/>
          <w:b/>
          <w:sz w:val="24"/>
          <w:szCs w:val="24"/>
          <w:lang w:val="en-ZA"/>
        </w:rPr>
      </w:pPr>
    </w:p>
    <w:p w:rsidR="0078625B" w:rsidRPr="008D2FF3" w:rsidRDefault="0078625B" w:rsidP="00F87943">
      <w:pPr>
        <w:spacing w:after="0" w:line="480" w:lineRule="auto"/>
        <w:jc w:val="both"/>
        <w:rPr>
          <w:rFonts w:ascii="Times New Roman" w:eastAsia="Calibri" w:hAnsi="Times New Roman" w:cs="Times New Roman"/>
          <w:i/>
          <w:sz w:val="24"/>
          <w:szCs w:val="24"/>
          <w:lang w:val="en-ZA"/>
        </w:rPr>
      </w:pPr>
      <w:r w:rsidRPr="008D2FF3">
        <w:rPr>
          <w:rFonts w:ascii="Times New Roman" w:hAnsi="Times New Roman" w:cs="Times New Roman"/>
          <w:i/>
          <w:sz w:val="24"/>
          <w:szCs w:val="24"/>
        </w:rPr>
        <w:t>T</w:t>
      </w:r>
      <w:r w:rsidR="00537A52" w:rsidRPr="008D2FF3">
        <w:rPr>
          <w:rFonts w:ascii="Times New Roman" w:hAnsi="Times New Roman" w:cs="Times New Roman"/>
          <w:i/>
          <w:sz w:val="24"/>
          <w:szCs w:val="24"/>
        </w:rPr>
        <w:t>.</w:t>
      </w:r>
      <w:r w:rsidR="00BF661E" w:rsidRPr="008D2FF3">
        <w:rPr>
          <w:rFonts w:ascii="Times New Roman" w:hAnsi="Times New Roman" w:cs="Times New Roman"/>
          <w:i/>
          <w:sz w:val="24"/>
          <w:szCs w:val="24"/>
        </w:rPr>
        <w:t xml:space="preserve"> R</w:t>
      </w:r>
      <w:r w:rsidR="00537A52" w:rsidRPr="008D2FF3">
        <w:rPr>
          <w:rFonts w:ascii="Times New Roman" w:hAnsi="Times New Roman" w:cs="Times New Roman"/>
          <w:i/>
          <w:sz w:val="24"/>
          <w:szCs w:val="24"/>
        </w:rPr>
        <w:t>.</w:t>
      </w:r>
      <w:r w:rsidRPr="008D2FF3">
        <w:rPr>
          <w:rFonts w:ascii="Times New Roman" w:hAnsi="Times New Roman" w:cs="Times New Roman"/>
          <w:i/>
          <w:sz w:val="24"/>
          <w:szCs w:val="24"/>
        </w:rPr>
        <w:t xml:space="preserve"> Mafukidze</w:t>
      </w:r>
      <w:r w:rsidR="002B6377" w:rsidRPr="008D2FF3">
        <w:rPr>
          <w:rFonts w:ascii="Times New Roman" w:hAnsi="Times New Roman" w:cs="Times New Roman"/>
          <w:i/>
          <w:sz w:val="24"/>
          <w:szCs w:val="24"/>
        </w:rPr>
        <w:t xml:space="preserve"> </w:t>
      </w:r>
      <w:r w:rsidR="002B6377" w:rsidRPr="008D2FF3">
        <w:rPr>
          <w:rFonts w:ascii="Times New Roman" w:hAnsi="Times New Roman" w:cs="Times New Roman"/>
          <w:sz w:val="24"/>
          <w:szCs w:val="24"/>
        </w:rPr>
        <w:t xml:space="preserve">&amp; </w:t>
      </w:r>
      <w:r w:rsidR="002B6377" w:rsidRPr="008D2FF3">
        <w:rPr>
          <w:rFonts w:ascii="Times New Roman" w:hAnsi="Times New Roman" w:cs="Times New Roman"/>
          <w:i/>
          <w:sz w:val="24"/>
          <w:szCs w:val="24"/>
        </w:rPr>
        <w:t>A. Moyo</w:t>
      </w:r>
      <w:r w:rsidRPr="008D2FF3">
        <w:rPr>
          <w:rFonts w:ascii="Times New Roman" w:eastAsia="Calibri" w:hAnsi="Times New Roman" w:cs="Times New Roman"/>
          <w:i/>
          <w:sz w:val="24"/>
          <w:szCs w:val="24"/>
          <w:lang w:val="en-ZA"/>
        </w:rPr>
        <w:t xml:space="preserve">, </w:t>
      </w:r>
      <w:r w:rsidRPr="008D2FF3">
        <w:rPr>
          <w:rFonts w:ascii="Times New Roman" w:eastAsia="Calibri" w:hAnsi="Times New Roman" w:cs="Times New Roman"/>
          <w:sz w:val="24"/>
          <w:szCs w:val="24"/>
          <w:lang w:val="en-ZA"/>
        </w:rPr>
        <w:t>for the appellant</w:t>
      </w:r>
    </w:p>
    <w:p w:rsidR="0078625B" w:rsidRPr="008D2FF3" w:rsidRDefault="00BF661E" w:rsidP="00F87943">
      <w:pPr>
        <w:spacing w:after="0" w:line="480" w:lineRule="auto"/>
        <w:jc w:val="both"/>
        <w:rPr>
          <w:rFonts w:ascii="Times New Roman" w:eastAsia="Calibri" w:hAnsi="Times New Roman" w:cs="Times New Roman"/>
          <w:sz w:val="24"/>
          <w:szCs w:val="24"/>
          <w:lang w:val="en-ZA"/>
        </w:rPr>
      </w:pPr>
      <w:r w:rsidRPr="008D2FF3">
        <w:rPr>
          <w:rFonts w:ascii="Times New Roman" w:eastAsia="Calibri" w:hAnsi="Times New Roman" w:cs="Times New Roman"/>
          <w:i/>
          <w:sz w:val="24"/>
          <w:szCs w:val="24"/>
          <w:lang w:val="en-ZA"/>
        </w:rPr>
        <w:t>R</w:t>
      </w:r>
      <w:r w:rsidR="00537A52" w:rsidRPr="008D2FF3">
        <w:rPr>
          <w:rFonts w:ascii="Times New Roman" w:eastAsia="Calibri" w:hAnsi="Times New Roman" w:cs="Times New Roman"/>
          <w:i/>
          <w:sz w:val="24"/>
          <w:szCs w:val="24"/>
          <w:lang w:val="en-ZA"/>
        </w:rPr>
        <w:t>.</w:t>
      </w:r>
      <w:r w:rsidR="0078625B" w:rsidRPr="008D2FF3">
        <w:rPr>
          <w:rFonts w:ascii="Times New Roman" w:eastAsia="Calibri" w:hAnsi="Times New Roman" w:cs="Times New Roman"/>
          <w:i/>
          <w:sz w:val="24"/>
          <w:szCs w:val="24"/>
          <w:lang w:val="en-ZA"/>
        </w:rPr>
        <w:t xml:space="preserve"> M</w:t>
      </w:r>
      <w:r w:rsidR="00537A52" w:rsidRPr="008D2FF3">
        <w:rPr>
          <w:rFonts w:ascii="Times New Roman" w:eastAsia="Calibri" w:hAnsi="Times New Roman" w:cs="Times New Roman"/>
          <w:i/>
          <w:sz w:val="24"/>
          <w:szCs w:val="24"/>
          <w:lang w:val="en-ZA"/>
        </w:rPr>
        <w:t>.</w:t>
      </w:r>
      <w:r w:rsidR="0078625B" w:rsidRPr="008D2FF3">
        <w:rPr>
          <w:rFonts w:ascii="Times New Roman" w:eastAsia="Calibri" w:hAnsi="Times New Roman" w:cs="Times New Roman"/>
          <w:i/>
          <w:sz w:val="24"/>
          <w:szCs w:val="24"/>
          <w:lang w:val="en-ZA"/>
        </w:rPr>
        <w:t xml:space="preserve"> Fitches, </w:t>
      </w:r>
      <w:r w:rsidR="0078625B" w:rsidRPr="008D2FF3">
        <w:rPr>
          <w:rFonts w:ascii="Times New Roman" w:eastAsia="Calibri" w:hAnsi="Times New Roman" w:cs="Times New Roman"/>
          <w:sz w:val="24"/>
          <w:szCs w:val="24"/>
          <w:lang w:val="en-ZA"/>
        </w:rPr>
        <w:t>for the respondent</w:t>
      </w:r>
    </w:p>
    <w:p w:rsidR="0078625B" w:rsidRPr="008D2FF3" w:rsidRDefault="0078625B" w:rsidP="00F87943">
      <w:pPr>
        <w:spacing w:before="240" w:after="0" w:line="480" w:lineRule="auto"/>
        <w:jc w:val="both"/>
        <w:rPr>
          <w:rFonts w:ascii="Times New Roman" w:eastAsia="Calibri" w:hAnsi="Times New Roman" w:cs="Times New Roman"/>
          <w:sz w:val="24"/>
          <w:szCs w:val="24"/>
          <w:lang w:val="en-ZA"/>
        </w:rPr>
      </w:pPr>
    </w:p>
    <w:p w:rsidR="002B6377" w:rsidRPr="008D2FF3" w:rsidRDefault="002B6377" w:rsidP="002B6377">
      <w:pPr>
        <w:spacing w:after="0" w:line="480" w:lineRule="auto"/>
        <w:jc w:val="both"/>
        <w:rPr>
          <w:rFonts w:ascii="Times New Roman" w:eastAsia="Calibri" w:hAnsi="Times New Roman" w:cs="Times New Roman"/>
          <w:b/>
          <w:sz w:val="24"/>
          <w:szCs w:val="24"/>
          <w:lang w:val="en-ZA"/>
        </w:rPr>
      </w:pPr>
      <w:r w:rsidRPr="008D2FF3">
        <w:rPr>
          <w:rFonts w:ascii="Times New Roman" w:eastAsia="Calibri" w:hAnsi="Times New Roman" w:cs="Times New Roman"/>
          <w:b/>
          <w:sz w:val="24"/>
          <w:szCs w:val="24"/>
          <w:lang w:val="en-ZA"/>
        </w:rPr>
        <w:t>GUVAVA JA</w:t>
      </w:r>
      <w:r w:rsidR="00537A52" w:rsidRPr="008D2FF3">
        <w:rPr>
          <w:rFonts w:ascii="Times New Roman" w:eastAsia="Calibri" w:hAnsi="Times New Roman" w:cs="Times New Roman"/>
          <w:b/>
          <w:sz w:val="24"/>
          <w:szCs w:val="24"/>
          <w:lang w:val="en-ZA"/>
        </w:rPr>
        <w:tab/>
      </w:r>
    </w:p>
    <w:p w:rsidR="002B6377" w:rsidRPr="008D2FF3" w:rsidRDefault="002B6377" w:rsidP="002B6377">
      <w:pPr>
        <w:spacing w:after="0" w:line="480" w:lineRule="auto"/>
        <w:jc w:val="both"/>
        <w:rPr>
          <w:rFonts w:ascii="Times New Roman" w:eastAsia="Calibri" w:hAnsi="Times New Roman" w:cs="Times New Roman"/>
          <w:b/>
          <w:sz w:val="24"/>
          <w:szCs w:val="24"/>
          <w:lang w:val="en-ZA"/>
        </w:rPr>
      </w:pPr>
    </w:p>
    <w:p w:rsidR="002B6377" w:rsidRPr="008D2FF3" w:rsidRDefault="002B6377" w:rsidP="00436B95">
      <w:pPr>
        <w:spacing w:after="0" w:line="480" w:lineRule="auto"/>
        <w:ind w:firstLine="709"/>
        <w:jc w:val="both"/>
        <w:rPr>
          <w:rFonts w:ascii="Times New Roman" w:eastAsia="Calibri" w:hAnsi="Times New Roman" w:cs="Times New Roman"/>
          <w:b/>
          <w:sz w:val="24"/>
          <w:szCs w:val="24"/>
          <w:lang w:val="en-ZA"/>
        </w:rPr>
      </w:pPr>
      <w:r w:rsidRPr="008D2FF3">
        <w:rPr>
          <w:rFonts w:ascii="Times New Roman" w:eastAsia="Calibri" w:hAnsi="Times New Roman" w:cs="Times New Roman"/>
          <w:b/>
          <w:sz w:val="24"/>
          <w:szCs w:val="24"/>
          <w:lang w:val="en-ZA"/>
        </w:rPr>
        <w:t>INTRODUCTION</w:t>
      </w:r>
      <w:r w:rsidR="00537A52" w:rsidRPr="008D2FF3">
        <w:rPr>
          <w:rFonts w:ascii="Times New Roman" w:eastAsia="Calibri" w:hAnsi="Times New Roman" w:cs="Times New Roman"/>
          <w:b/>
          <w:sz w:val="24"/>
          <w:szCs w:val="24"/>
          <w:lang w:val="en-ZA"/>
        </w:rPr>
        <w:tab/>
      </w:r>
    </w:p>
    <w:p w:rsidR="00E44099" w:rsidRPr="008D2FF3" w:rsidRDefault="00C443E3" w:rsidP="00436B95">
      <w:pPr>
        <w:pStyle w:val="ListParagraph"/>
        <w:numPr>
          <w:ilvl w:val="0"/>
          <w:numId w:val="16"/>
        </w:numPr>
        <w:spacing w:before="240" w:after="0" w:line="480" w:lineRule="auto"/>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This is an appeal against the decision of the High Court handed down under HH 253/16 wherein the court</w:t>
      </w:r>
      <w:r w:rsidR="00EA7470" w:rsidRPr="008D2FF3">
        <w:rPr>
          <w:rFonts w:ascii="Times New Roman" w:eastAsia="Calibri" w:hAnsi="Times New Roman" w:cs="Times New Roman"/>
          <w:i/>
          <w:sz w:val="24"/>
          <w:szCs w:val="24"/>
          <w:lang w:val="en-ZA"/>
        </w:rPr>
        <w:t xml:space="preserve"> a quo</w:t>
      </w:r>
      <w:r w:rsidRPr="008D2FF3">
        <w:rPr>
          <w:rFonts w:ascii="Times New Roman" w:eastAsia="Calibri" w:hAnsi="Times New Roman" w:cs="Times New Roman"/>
          <w:sz w:val="24"/>
          <w:szCs w:val="24"/>
          <w:lang w:val="en-ZA"/>
        </w:rPr>
        <w:t xml:space="preserve"> found the appellant liable to pay </w:t>
      </w:r>
      <w:r w:rsidR="00C11CFC" w:rsidRPr="008D2FF3">
        <w:rPr>
          <w:rFonts w:ascii="Times New Roman" w:eastAsia="Calibri" w:hAnsi="Times New Roman" w:cs="Times New Roman"/>
          <w:sz w:val="24"/>
          <w:szCs w:val="24"/>
          <w:lang w:val="en-ZA"/>
        </w:rPr>
        <w:t xml:space="preserve">to </w:t>
      </w:r>
      <w:r w:rsidRPr="008D2FF3">
        <w:rPr>
          <w:rFonts w:ascii="Times New Roman" w:eastAsia="Calibri" w:hAnsi="Times New Roman" w:cs="Times New Roman"/>
          <w:sz w:val="24"/>
          <w:szCs w:val="24"/>
          <w:lang w:val="en-ZA"/>
        </w:rPr>
        <w:t>the respondent the sum of US$8</w:t>
      </w:r>
      <w:r w:rsidR="00E44099" w:rsidRPr="008D2FF3">
        <w:rPr>
          <w:rFonts w:ascii="Times New Roman" w:eastAsia="Calibri" w:hAnsi="Times New Roman" w:cs="Times New Roman"/>
          <w:sz w:val="24"/>
          <w:szCs w:val="24"/>
          <w:lang w:val="en-ZA"/>
        </w:rPr>
        <w:t>47 847.65 together w</w:t>
      </w:r>
      <w:r w:rsidR="00BF661E" w:rsidRPr="008D2FF3">
        <w:rPr>
          <w:rFonts w:ascii="Times New Roman" w:eastAsia="Calibri" w:hAnsi="Times New Roman" w:cs="Times New Roman"/>
          <w:sz w:val="24"/>
          <w:szCs w:val="24"/>
          <w:lang w:val="en-ZA"/>
        </w:rPr>
        <w:t>ith costs of suit and interest</w:t>
      </w:r>
      <w:r w:rsidR="00E44099" w:rsidRPr="008D2FF3">
        <w:rPr>
          <w:rFonts w:ascii="Times New Roman" w:eastAsia="Calibri" w:hAnsi="Times New Roman" w:cs="Times New Roman"/>
          <w:sz w:val="24"/>
          <w:szCs w:val="24"/>
          <w:lang w:val="en-ZA"/>
        </w:rPr>
        <w:t xml:space="preserve"> at the prescribed rate from the date of the granting of</w:t>
      </w:r>
      <w:r w:rsidR="00BF661E" w:rsidRPr="008D2FF3">
        <w:rPr>
          <w:rFonts w:ascii="Times New Roman" w:eastAsia="Calibri" w:hAnsi="Times New Roman" w:cs="Times New Roman"/>
          <w:sz w:val="24"/>
          <w:szCs w:val="24"/>
          <w:lang w:val="en-ZA"/>
        </w:rPr>
        <w:t xml:space="preserve"> the</w:t>
      </w:r>
      <w:r w:rsidR="00E44099" w:rsidRPr="008D2FF3">
        <w:rPr>
          <w:rFonts w:ascii="Times New Roman" w:eastAsia="Calibri" w:hAnsi="Times New Roman" w:cs="Times New Roman"/>
          <w:sz w:val="24"/>
          <w:szCs w:val="24"/>
          <w:lang w:val="en-ZA"/>
        </w:rPr>
        <w:t xml:space="preserve"> judgment to the date of payment</w:t>
      </w:r>
      <w:r w:rsidR="00C11CFC" w:rsidRPr="008D2FF3">
        <w:rPr>
          <w:rFonts w:ascii="Times New Roman" w:eastAsia="Calibri" w:hAnsi="Times New Roman" w:cs="Times New Roman"/>
          <w:sz w:val="24"/>
          <w:szCs w:val="24"/>
          <w:lang w:val="en-ZA"/>
        </w:rPr>
        <w:t xml:space="preserve"> in full</w:t>
      </w:r>
      <w:r w:rsidR="00E44099" w:rsidRPr="008D2FF3">
        <w:rPr>
          <w:rFonts w:ascii="Times New Roman" w:eastAsia="Calibri" w:hAnsi="Times New Roman" w:cs="Times New Roman"/>
          <w:sz w:val="24"/>
          <w:szCs w:val="24"/>
          <w:lang w:val="en-ZA"/>
        </w:rPr>
        <w:t xml:space="preserve">. </w:t>
      </w:r>
      <w:r w:rsidR="0034021A" w:rsidRPr="008D2FF3">
        <w:rPr>
          <w:rFonts w:ascii="Times New Roman" w:eastAsia="Calibri" w:hAnsi="Times New Roman" w:cs="Times New Roman"/>
          <w:sz w:val="24"/>
          <w:szCs w:val="24"/>
          <w:lang w:val="en-ZA"/>
        </w:rPr>
        <w:t>The appellant is a statutory co</w:t>
      </w:r>
      <w:r w:rsidR="00EC59C2" w:rsidRPr="008D2FF3">
        <w:rPr>
          <w:rFonts w:ascii="Times New Roman" w:eastAsia="Calibri" w:hAnsi="Times New Roman" w:cs="Times New Roman"/>
          <w:sz w:val="24"/>
          <w:szCs w:val="24"/>
          <w:lang w:val="en-ZA"/>
        </w:rPr>
        <w:t>r</w:t>
      </w:r>
      <w:r w:rsidR="0034021A" w:rsidRPr="008D2FF3">
        <w:rPr>
          <w:rFonts w:ascii="Times New Roman" w:eastAsia="Calibri" w:hAnsi="Times New Roman" w:cs="Times New Roman"/>
          <w:sz w:val="24"/>
          <w:szCs w:val="24"/>
          <w:lang w:val="en-ZA"/>
        </w:rPr>
        <w:t>p</w:t>
      </w:r>
      <w:r w:rsidR="00EC59C2" w:rsidRPr="008D2FF3">
        <w:rPr>
          <w:rFonts w:ascii="Times New Roman" w:eastAsia="Calibri" w:hAnsi="Times New Roman" w:cs="Times New Roman"/>
          <w:sz w:val="24"/>
          <w:szCs w:val="24"/>
          <w:lang w:val="en-ZA"/>
        </w:rPr>
        <w:t>o</w:t>
      </w:r>
      <w:r w:rsidR="0034021A" w:rsidRPr="008D2FF3">
        <w:rPr>
          <w:rFonts w:ascii="Times New Roman" w:eastAsia="Calibri" w:hAnsi="Times New Roman" w:cs="Times New Roman"/>
          <w:sz w:val="24"/>
          <w:szCs w:val="24"/>
          <w:lang w:val="en-ZA"/>
        </w:rPr>
        <w:t>ration set up in terms of the Infrastructure Development Bank of Zimbabwe Act [</w:t>
      </w:r>
      <w:r w:rsidR="0034021A" w:rsidRPr="008D2FF3">
        <w:rPr>
          <w:rFonts w:ascii="Times New Roman" w:eastAsia="Calibri" w:hAnsi="Times New Roman" w:cs="Times New Roman"/>
          <w:i/>
          <w:sz w:val="24"/>
          <w:szCs w:val="24"/>
          <w:lang w:val="en-ZA"/>
        </w:rPr>
        <w:t>Chapter 24:14</w:t>
      </w:r>
      <w:r w:rsidR="0034021A" w:rsidRPr="008D2FF3">
        <w:rPr>
          <w:rFonts w:ascii="Times New Roman" w:eastAsia="Calibri" w:hAnsi="Times New Roman" w:cs="Times New Roman"/>
          <w:sz w:val="24"/>
          <w:szCs w:val="24"/>
          <w:lang w:val="en-ZA"/>
        </w:rPr>
        <w:t>] (“the IDBZ Act”). The respondent is an oil company</w:t>
      </w:r>
      <w:r w:rsidR="00633B0D" w:rsidRPr="008D2FF3">
        <w:rPr>
          <w:rFonts w:ascii="Times New Roman" w:eastAsia="Calibri" w:hAnsi="Times New Roman" w:cs="Times New Roman"/>
          <w:sz w:val="24"/>
          <w:szCs w:val="24"/>
          <w:lang w:val="en-ZA"/>
        </w:rPr>
        <w:t xml:space="preserve"> registered in accordance with the Companies Act [</w:t>
      </w:r>
      <w:r w:rsidR="00633B0D" w:rsidRPr="008D2FF3">
        <w:rPr>
          <w:rFonts w:ascii="Times New Roman" w:eastAsia="Calibri" w:hAnsi="Times New Roman" w:cs="Times New Roman"/>
          <w:i/>
          <w:sz w:val="24"/>
          <w:szCs w:val="24"/>
          <w:lang w:val="en-ZA"/>
        </w:rPr>
        <w:t>Chapter 24:03]</w:t>
      </w:r>
      <w:r w:rsidR="0034021A" w:rsidRPr="008D2FF3">
        <w:rPr>
          <w:rFonts w:ascii="Times New Roman" w:eastAsia="Calibri" w:hAnsi="Times New Roman" w:cs="Times New Roman"/>
          <w:sz w:val="24"/>
          <w:szCs w:val="24"/>
          <w:lang w:val="en-ZA"/>
        </w:rPr>
        <w:t xml:space="preserve">. </w:t>
      </w:r>
      <w:r w:rsidR="00E44099" w:rsidRPr="008D2FF3">
        <w:rPr>
          <w:rFonts w:ascii="Times New Roman" w:eastAsia="Calibri" w:hAnsi="Times New Roman" w:cs="Times New Roman"/>
          <w:sz w:val="24"/>
          <w:szCs w:val="24"/>
          <w:lang w:val="en-ZA"/>
        </w:rPr>
        <w:t xml:space="preserve">The background to the matter may be summarized as follows: </w:t>
      </w:r>
    </w:p>
    <w:p w:rsidR="007E5E88" w:rsidRPr="008D2FF3" w:rsidRDefault="00AE7A0C" w:rsidP="008D2FF3">
      <w:pPr>
        <w:spacing w:before="240" w:after="0" w:line="480" w:lineRule="auto"/>
        <w:ind w:firstLine="709"/>
        <w:jc w:val="both"/>
        <w:rPr>
          <w:rFonts w:ascii="Times New Roman" w:eastAsia="Calibri" w:hAnsi="Times New Roman" w:cs="Times New Roman"/>
          <w:b/>
          <w:sz w:val="24"/>
          <w:szCs w:val="24"/>
          <w:lang w:val="en-ZA"/>
        </w:rPr>
      </w:pPr>
      <w:r w:rsidRPr="008D2FF3">
        <w:rPr>
          <w:rFonts w:ascii="Times New Roman" w:eastAsia="Calibri" w:hAnsi="Times New Roman" w:cs="Times New Roman"/>
          <w:b/>
          <w:sz w:val="24"/>
          <w:szCs w:val="24"/>
          <w:lang w:val="en-ZA"/>
        </w:rPr>
        <w:lastRenderedPageBreak/>
        <w:t>BACKGROUND FACTS</w:t>
      </w:r>
    </w:p>
    <w:p w:rsidR="00407510" w:rsidRPr="008D2FF3" w:rsidRDefault="009E2A61" w:rsidP="008775ED">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A company known as Wedzera Petroleum (P</w:t>
      </w:r>
      <w:r w:rsidR="00537A52" w:rsidRPr="008D2FF3">
        <w:rPr>
          <w:rFonts w:ascii="Times New Roman" w:eastAsia="Calibri" w:hAnsi="Times New Roman" w:cs="Times New Roman"/>
          <w:sz w:val="24"/>
          <w:szCs w:val="24"/>
          <w:lang w:val="en-ZA"/>
        </w:rPr>
        <w:t>rivate</w:t>
      </w:r>
      <w:r w:rsidRPr="008D2FF3">
        <w:rPr>
          <w:rFonts w:ascii="Times New Roman" w:eastAsia="Calibri" w:hAnsi="Times New Roman" w:cs="Times New Roman"/>
          <w:sz w:val="24"/>
          <w:szCs w:val="24"/>
          <w:lang w:val="en-ZA"/>
        </w:rPr>
        <w:t xml:space="preserve">) </w:t>
      </w:r>
      <w:r w:rsidR="00666162" w:rsidRPr="008D2FF3">
        <w:rPr>
          <w:rFonts w:ascii="Times New Roman" w:eastAsia="Calibri" w:hAnsi="Times New Roman" w:cs="Times New Roman"/>
          <w:sz w:val="24"/>
          <w:szCs w:val="24"/>
          <w:lang w:val="en-ZA"/>
        </w:rPr>
        <w:t>L</w:t>
      </w:r>
      <w:r w:rsidR="00537A52" w:rsidRPr="008D2FF3">
        <w:rPr>
          <w:rFonts w:ascii="Times New Roman" w:eastAsia="Calibri" w:hAnsi="Times New Roman" w:cs="Times New Roman"/>
          <w:sz w:val="24"/>
          <w:szCs w:val="24"/>
          <w:lang w:val="en-ZA"/>
        </w:rPr>
        <w:t>imite</w:t>
      </w:r>
      <w:r w:rsidR="00666162" w:rsidRPr="008D2FF3">
        <w:rPr>
          <w:rFonts w:ascii="Times New Roman" w:eastAsia="Calibri" w:hAnsi="Times New Roman" w:cs="Times New Roman"/>
          <w:sz w:val="24"/>
          <w:szCs w:val="24"/>
          <w:lang w:val="en-ZA"/>
        </w:rPr>
        <w:t>d (“</w:t>
      </w:r>
      <w:r w:rsidRPr="008D2FF3">
        <w:rPr>
          <w:rFonts w:ascii="Times New Roman" w:eastAsia="Calibri" w:hAnsi="Times New Roman" w:cs="Times New Roman"/>
          <w:sz w:val="24"/>
          <w:szCs w:val="24"/>
          <w:lang w:val="en-ZA"/>
        </w:rPr>
        <w:t>Wedzera</w:t>
      </w:r>
      <w:r w:rsidR="00666162" w:rsidRPr="008D2FF3">
        <w:rPr>
          <w:rFonts w:ascii="Times New Roman" w:eastAsia="Calibri" w:hAnsi="Times New Roman" w:cs="Times New Roman"/>
          <w:sz w:val="24"/>
          <w:szCs w:val="24"/>
          <w:lang w:val="en-ZA"/>
        </w:rPr>
        <w:t>”</w:t>
      </w:r>
      <w:r w:rsidRPr="008D2FF3">
        <w:rPr>
          <w:rFonts w:ascii="Times New Roman" w:eastAsia="Calibri" w:hAnsi="Times New Roman" w:cs="Times New Roman"/>
          <w:sz w:val="24"/>
          <w:szCs w:val="24"/>
          <w:lang w:val="en-ZA"/>
        </w:rPr>
        <w:t xml:space="preserve">) entered into a verbal agreement with the respondent, wherein the respondent would sell bulk </w:t>
      </w:r>
      <w:r w:rsidR="00407510" w:rsidRPr="008D2FF3">
        <w:rPr>
          <w:rFonts w:ascii="Times New Roman" w:eastAsia="Calibri" w:hAnsi="Times New Roman" w:cs="Times New Roman"/>
          <w:sz w:val="24"/>
          <w:szCs w:val="24"/>
          <w:lang w:val="en-ZA"/>
        </w:rPr>
        <w:t>petroleum fuels to it</w:t>
      </w:r>
      <w:r w:rsidRPr="008D2FF3">
        <w:rPr>
          <w:rFonts w:ascii="Times New Roman" w:eastAsia="Calibri" w:hAnsi="Times New Roman" w:cs="Times New Roman"/>
          <w:sz w:val="24"/>
          <w:szCs w:val="24"/>
          <w:lang w:val="en-ZA"/>
        </w:rPr>
        <w:t xml:space="preserve"> from time to time. The respondent would supply the petroleum products on credit and raise inv</w:t>
      </w:r>
      <w:r w:rsidR="000D3B68" w:rsidRPr="008D2FF3">
        <w:rPr>
          <w:rFonts w:ascii="Times New Roman" w:eastAsia="Calibri" w:hAnsi="Times New Roman" w:cs="Times New Roman"/>
          <w:sz w:val="24"/>
          <w:szCs w:val="24"/>
          <w:lang w:val="en-ZA"/>
        </w:rPr>
        <w:t xml:space="preserve">oices to be settled by Wedzera.  </w:t>
      </w:r>
      <w:r w:rsidRPr="008D2FF3">
        <w:rPr>
          <w:rFonts w:ascii="Times New Roman" w:eastAsia="Calibri" w:hAnsi="Times New Roman" w:cs="Times New Roman"/>
          <w:sz w:val="24"/>
          <w:szCs w:val="24"/>
          <w:lang w:val="en-ZA"/>
        </w:rPr>
        <w:t xml:space="preserve">Wedzera would in turn settle the invoices within ten days from the date on which the invoices would be raised. </w:t>
      </w:r>
    </w:p>
    <w:p w:rsidR="000D3B68" w:rsidRPr="008D2FF3" w:rsidRDefault="000D3B68" w:rsidP="00F87943">
      <w:pPr>
        <w:spacing w:after="0" w:line="240" w:lineRule="auto"/>
        <w:ind w:firstLine="1134"/>
        <w:jc w:val="both"/>
        <w:rPr>
          <w:rFonts w:ascii="Times New Roman" w:eastAsia="Calibri" w:hAnsi="Times New Roman" w:cs="Times New Roman"/>
          <w:sz w:val="24"/>
          <w:szCs w:val="24"/>
          <w:lang w:val="en-ZA"/>
        </w:rPr>
      </w:pPr>
    </w:p>
    <w:p w:rsidR="00A21219" w:rsidRPr="008D2FF3" w:rsidRDefault="00A21219" w:rsidP="008775ED">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In November 2010, the respondent sold to Wedzera, petroleum products worth US$847 847.65. The sale of the petroleum products was made on the basis of two guarantees made by the appellant binding itself to pay </w:t>
      </w:r>
      <w:r w:rsidR="00FA4BC4" w:rsidRPr="008D2FF3">
        <w:rPr>
          <w:rFonts w:ascii="Times New Roman" w:eastAsia="Calibri" w:hAnsi="Times New Roman" w:cs="Times New Roman"/>
          <w:sz w:val="24"/>
          <w:szCs w:val="24"/>
          <w:lang w:val="en-ZA"/>
        </w:rPr>
        <w:t>in the event that</w:t>
      </w:r>
      <w:r w:rsidRPr="008D2FF3">
        <w:rPr>
          <w:rFonts w:ascii="Times New Roman" w:eastAsia="Calibri" w:hAnsi="Times New Roman" w:cs="Times New Roman"/>
          <w:sz w:val="24"/>
          <w:szCs w:val="24"/>
          <w:lang w:val="en-ZA"/>
        </w:rPr>
        <w:t xml:space="preserve"> Wedzera f</w:t>
      </w:r>
      <w:r w:rsidR="00BF661E" w:rsidRPr="008D2FF3">
        <w:rPr>
          <w:rFonts w:ascii="Times New Roman" w:eastAsia="Calibri" w:hAnsi="Times New Roman" w:cs="Times New Roman"/>
          <w:sz w:val="24"/>
          <w:szCs w:val="24"/>
          <w:lang w:val="en-ZA"/>
        </w:rPr>
        <w:t xml:space="preserve">ailed to honour the debt. </w:t>
      </w:r>
      <w:r w:rsidRPr="008D2FF3">
        <w:rPr>
          <w:rFonts w:ascii="Times New Roman" w:eastAsia="Calibri" w:hAnsi="Times New Roman" w:cs="Times New Roman"/>
          <w:sz w:val="24"/>
          <w:szCs w:val="24"/>
          <w:lang w:val="en-ZA"/>
        </w:rPr>
        <w:t>The two guarantees were drafted on</w:t>
      </w:r>
      <w:r w:rsidR="009E2A61"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5</w:t>
      </w:r>
      <w:r w:rsidR="000D3B68"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November</w:t>
      </w:r>
      <w:r w:rsidR="009E2A61"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 xml:space="preserve">2010 </w:t>
      </w:r>
      <w:r w:rsidR="00FD1638">
        <w:rPr>
          <w:rFonts w:ascii="Times New Roman" w:eastAsia="Calibri" w:hAnsi="Times New Roman" w:cs="Times New Roman"/>
          <w:sz w:val="24"/>
          <w:szCs w:val="24"/>
          <w:lang w:val="en-ZA"/>
        </w:rPr>
        <w:t>and 19 </w:t>
      </w:r>
      <w:r w:rsidR="009E2A61" w:rsidRPr="008D2FF3">
        <w:rPr>
          <w:rFonts w:ascii="Times New Roman" w:eastAsia="Calibri" w:hAnsi="Times New Roman" w:cs="Times New Roman"/>
          <w:sz w:val="24"/>
          <w:szCs w:val="24"/>
          <w:lang w:val="en-ZA"/>
        </w:rPr>
        <w:t>November</w:t>
      </w:r>
      <w:r w:rsidRPr="008D2FF3">
        <w:rPr>
          <w:rFonts w:ascii="Times New Roman" w:eastAsia="Calibri" w:hAnsi="Times New Roman" w:cs="Times New Roman"/>
          <w:sz w:val="24"/>
          <w:szCs w:val="24"/>
          <w:lang w:val="en-ZA"/>
        </w:rPr>
        <w:t xml:space="preserve"> 2010 for the sums of US$500 000 and US$450 000 respectively. </w:t>
      </w:r>
    </w:p>
    <w:p w:rsidR="000D3B68" w:rsidRPr="008D2FF3" w:rsidRDefault="000D3B68" w:rsidP="00F87943">
      <w:pPr>
        <w:spacing w:after="0" w:line="240" w:lineRule="auto"/>
        <w:ind w:firstLine="1134"/>
        <w:jc w:val="both"/>
        <w:rPr>
          <w:rFonts w:ascii="Times New Roman" w:eastAsia="Calibri" w:hAnsi="Times New Roman" w:cs="Times New Roman"/>
          <w:sz w:val="24"/>
          <w:szCs w:val="24"/>
          <w:lang w:val="en-ZA"/>
        </w:rPr>
      </w:pPr>
    </w:p>
    <w:p w:rsidR="00A21219" w:rsidRPr="008D2FF3" w:rsidRDefault="00BF661E" w:rsidP="00C466E3">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w:t>
      </w:r>
      <w:r w:rsidR="00A21219" w:rsidRPr="008D2FF3">
        <w:rPr>
          <w:rFonts w:ascii="Times New Roman" w:eastAsia="Calibri" w:hAnsi="Times New Roman" w:cs="Times New Roman"/>
          <w:sz w:val="24"/>
          <w:szCs w:val="24"/>
          <w:lang w:val="en-ZA"/>
        </w:rPr>
        <w:t xml:space="preserve">guarantees issued by the appellant </w:t>
      </w:r>
      <w:r w:rsidR="000E5159" w:rsidRPr="008D2FF3">
        <w:rPr>
          <w:rFonts w:ascii="Times New Roman" w:eastAsia="Calibri" w:hAnsi="Times New Roman" w:cs="Times New Roman"/>
          <w:sz w:val="24"/>
          <w:szCs w:val="24"/>
          <w:lang w:val="en-ZA"/>
        </w:rPr>
        <w:t>were in the form of a letter, whic</w:t>
      </w:r>
      <w:r w:rsidR="00A21219" w:rsidRPr="008D2FF3">
        <w:rPr>
          <w:rFonts w:ascii="Times New Roman" w:eastAsia="Calibri" w:hAnsi="Times New Roman" w:cs="Times New Roman"/>
          <w:sz w:val="24"/>
          <w:szCs w:val="24"/>
          <w:lang w:val="en-ZA"/>
        </w:rPr>
        <w:t>h</w:t>
      </w:r>
      <w:r w:rsidR="00407510" w:rsidRPr="008D2FF3">
        <w:rPr>
          <w:rFonts w:ascii="Times New Roman" w:eastAsia="Calibri" w:hAnsi="Times New Roman" w:cs="Times New Roman"/>
          <w:sz w:val="24"/>
          <w:szCs w:val="24"/>
          <w:lang w:val="en-ZA"/>
        </w:rPr>
        <w:t xml:space="preserve"> bore</w:t>
      </w:r>
      <w:r w:rsidR="00A21219" w:rsidRPr="008D2FF3">
        <w:rPr>
          <w:rFonts w:ascii="Times New Roman" w:eastAsia="Calibri" w:hAnsi="Times New Roman" w:cs="Times New Roman"/>
          <w:sz w:val="24"/>
          <w:szCs w:val="24"/>
          <w:lang w:val="en-ZA"/>
        </w:rPr>
        <w:t xml:space="preserve"> the letter head of the </w:t>
      </w:r>
      <w:r w:rsidR="000E5159" w:rsidRPr="008D2FF3">
        <w:rPr>
          <w:rFonts w:ascii="Times New Roman" w:eastAsia="Calibri" w:hAnsi="Times New Roman" w:cs="Times New Roman"/>
          <w:sz w:val="24"/>
          <w:szCs w:val="24"/>
          <w:lang w:val="en-ZA"/>
        </w:rPr>
        <w:t>Infrastructural Development Bank of Zimbabwe</w:t>
      </w:r>
      <w:r w:rsidR="007E04E8" w:rsidRPr="008D2FF3">
        <w:rPr>
          <w:rFonts w:ascii="Times New Roman" w:eastAsia="Calibri" w:hAnsi="Times New Roman" w:cs="Times New Roman"/>
          <w:sz w:val="24"/>
          <w:szCs w:val="24"/>
          <w:lang w:val="en-ZA"/>
        </w:rPr>
        <w:t>.</w:t>
      </w:r>
      <w:r w:rsidR="00A21219" w:rsidRPr="008D2FF3">
        <w:rPr>
          <w:rFonts w:ascii="Times New Roman" w:eastAsia="Calibri" w:hAnsi="Times New Roman" w:cs="Times New Roman"/>
          <w:sz w:val="24"/>
          <w:szCs w:val="24"/>
          <w:lang w:val="en-ZA"/>
        </w:rPr>
        <w:t xml:space="preserve"> </w:t>
      </w:r>
      <w:r w:rsidR="007E04E8" w:rsidRPr="008D2FF3">
        <w:rPr>
          <w:rFonts w:ascii="Times New Roman" w:eastAsia="Calibri" w:hAnsi="Times New Roman" w:cs="Times New Roman"/>
          <w:sz w:val="24"/>
          <w:szCs w:val="24"/>
          <w:lang w:val="en-ZA"/>
        </w:rPr>
        <w:t>I</w:t>
      </w:r>
      <w:r w:rsidR="000E5159" w:rsidRPr="008D2FF3">
        <w:rPr>
          <w:rFonts w:ascii="Times New Roman" w:eastAsia="Calibri" w:hAnsi="Times New Roman" w:cs="Times New Roman"/>
          <w:sz w:val="24"/>
          <w:szCs w:val="24"/>
          <w:lang w:val="en-ZA"/>
        </w:rPr>
        <w:t xml:space="preserve">t was </w:t>
      </w:r>
      <w:r w:rsidR="00A21219" w:rsidRPr="008D2FF3">
        <w:rPr>
          <w:rFonts w:ascii="Times New Roman" w:eastAsia="Calibri" w:hAnsi="Times New Roman" w:cs="Times New Roman"/>
          <w:sz w:val="24"/>
          <w:szCs w:val="24"/>
          <w:lang w:val="en-ZA"/>
        </w:rPr>
        <w:t>addressed to the respondent and signed by one Francis Mugwara</w:t>
      </w:r>
      <w:r w:rsidR="006E1E72" w:rsidRPr="008D2FF3">
        <w:rPr>
          <w:rFonts w:ascii="Times New Roman" w:eastAsia="Calibri" w:hAnsi="Times New Roman" w:cs="Times New Roman"/>
          <w:sz w:val="24"/>
          <w:szCs w:val="24"/>
          <w:lang w:val="en-ZA"/>
        </w:rPr>
        <w:t xml:space="preserve"> (“Mugwara”)</w:t>
      </w:r>
      <w:r w:rsidR="00A21219" w:rsidRPr="008D2FF3">
        <w:rPr>
          <w:rFonts w:ascii="Times New Roman" w:eastAsia="Calibri" w:hAnsi="Times New Roman" w:cs="Times New Roman"/>
          <w:sz w:val="24"/>
          <w:szCs w:val="24"/>
          <w:lang w:val="en-ZA"/>
        </w:rPr>
        <w:t xml:space="preserve"> the Head o</w:t>
      </w:r>
      <w:r w:rsidR="006E1E72" w:rsidRPr="008D2FF3">
        <w:rPr>
          <w:rFonts w:ascii="Times New Roman" w:eastAsia="Calibri" w:hAnsi="Times New Roman" w:cs="Times New Roman"/>
          <w:sz w:val="24"/>
          <w:szCs w:val="24"/>
          <w:lang w:val="en-ZA"/>
        </w:rPr>
        <w:t>f</w:t>
      </w:r>
      <w:r w:rsidR="00EA7470" w:rsidRPr="008D2FF3">
        <w:rPr>
          <w:rFonts w:ascii="Times New Roman" w:eastAsia="Calibri" w:hAnsi="Times New Roman" w:cs="Times New Roman"/>
          <w:sz w:val="24"/>
          <w:szCs w:val="24"/>
          <w:lang w:val="en-ZA"/>
        </w:rPr>
        <w:t xml:space="preserve"> the</w:t>
      </w:r>
      <w:r w:rsidR="006E1E72" w:rsidRPr="008D2FF3">
        <w:rPr>
          <w:rFonts w:ascii="Times New Roman" w:eastAsia="Calibri" w:hAnsi="Times New Roman" w:cs="Times New Roman"/>
          <w:sz w:val="24"/>
          <w:szCs w:val="24"/>
          <w:lang w:val="en-ZA"/>
        </w:rPr>
        <w:t xml:space="preserve"> Short Term Loans Unit</w:t>
      </w:r>
      <w:r w:rsidR="00A21219" w:rsidRPr="008D2FF3">
        <w:rPr>
          <w:rFonts w:ascii="Times New Roman" w:eastAsia="Calibri" w:hAnsi="Times New Roman" w:cs="Times New Roman"/>
          <w:sz w:val="24"/>
          <w:szCs w:val="24"/>
          <w:lang w:val="en-ZA"/>
        </w:rPr>
        <w:t>. P</w:t>
      </w:r>
      <w:r w:rsidR="009548DB" w:rsidRPr="008D2FF3">
        <w:rPr>
          <w:rFonts w:ascii="Times New Roman" w:eastAsia="Calibri" w:hAnsi="Times New Roman" w:cs="Times New Roman"/>
          <w:sz w:val="24"/>
          <w:szCs w:val="24"/>
          <w:lang w:val="en-ZA"/>
        </w:rPr>
        <w:t>art of the first</w:t>
      </w:r>
      <w:r w:rsidR="00677D61" w:rsidRPr="008D2FF3">
        <w:rPr>
          <w:rFonts w:ascii="Times New Roman" w:eastAsia="Calibri" w:hAnsi="Times New Roman" w:cs="Times New Roman"/>
          <w:sz w:val="24"/>
          <w:szCs w:val="24"/>
          <w:lang w:val="en-ZA"/>
        </w:rPr>
        <w:t xml:space="preserve"> </w:t>
      </w:r>
      <w:r w:rsidR="00A21219" w:rsidRPr="008D2FF3">
        <w:rPr>
          <w:rFonts w:ascii="Times New Roman" w:eastAsia="Calibri" w:hAnsi="Times New Roman" w:cs="Times New Roman"/>
          <w:sz w:val="24"/>
          <w:szCs w:val="24"/>
          <w:lang w:val="en-ZA"/>
        </w:rPr>
        <w:t xml:space="preserve">guarantee </w:t>
      </w:r>
      <w:r w:rsidR="009548DB" w:rsidRPr="008D2FF3">
        <w:rPr>
          <w:rFonts w:ascii="Times New Roman" w:eastAsia="Calibri" w:hAnsi="Times New Roman" w:cs="Times New Roman"/>
          <w:sz w:val="24"/>
          <w:szCs w:val="24"/>
          <w:lang w:val="en-ZA"/>
        </w:rPr>
        <w:t xml:space="preserve">dated 5 November 2010 </w:t>
      </w:r>
      <w:r w:rsidR="00A21219" w:rsidRPr="008D2FF3">
        <w:rPr>
          <w:rFonts w:ascii="Times New Roman" w:eastAsia="Calibri" w:hAnsi="Times New Roman" w:cs="Times New Roman"/>
          <w:sz w:val="24"/>
          <w:szCs w:val="24"/>
          <w:lang w:val="en-ZA"/>
        </w:rPr>
        <w:t>read as follows:</w:t>
      </w:r>
    </w:p>
    <w:p w:rsidR="009548DB" w:rsidRPr="008D2FF3" w:rsidRDefault="00A21219" w:rsidP="00F87943">
      <w:pPr>
        <w:spacing w:after="0" w:line="24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w:t>
      </w:r>
      <w:r w:rsidR="00677D61" w:rsidRPr="008D2FF3">
        <w:rPr>
          <w:rFonts w:ascii="Times New Roman" w:eastAsia="Calibri" w:hAnsi="Times New Roman" w:cs="Times New Roman"/>
          <w:sz w:val="24"/>
          <w:szCs w:val="24"/>
          <w:lang w:val="en-ZA"/>
        </w:rPr>
        <w:t>In consideration of Wedzera Petroleum (Pvt) Ltd …., agreeing to the submission of a guarantee for the supply of fuel products by Engen Petroleum Zimbabwe (Pvt) Ltd. We, Infrastructure Development Bank of Zimbabwe- IDBZ …., do hereby g</w:t>
      </w:r>
      <w:r w:rsidR="00921C1D" w:rsidRPr="008D2FF3">
        <w:rPr>
          <w:rFonts w:ascii="Times New Roman" w:eastAsia="Calibri" w:hAnsi="Times New Roman" w:cs="Times New Roman"/>
          <w:sz w:val="24"/>
          <w:szCs w:val="24"/>
          <w:lang w:val="en-ZA"/>
        </w:rPr>
        <w:t>uarantee full payment of USD500 000.00...</w:t>
      </w:r>
      <w:r w:rsidR="009548DB" w:rsidRPr="008D2FF3">
        <w:rPr>
          <w:rFonts w:ascii="Times New Roman" w:eastAsia="Calibri" w:hAnsi="Times New Roman" w:cs="Times New Roman"/>
          <w:sz w:val="24"/>
          <w:szCs w:val="24"/>
          <w:lang w:val="en-ZA"/>
        </w:rPr>
        <w:t xml:space="preserve"> </w:t>
      </w:r>
      <w:r w:rsidR="00677D61" w:rsidRPr="008D2FF3">
        <w:rPr>
          <w:rFonts w:ascii="Times New Roman" w:eastAsia="Calibri" w:hAnsi="Times New Roman" w:cs="Times New Roman"/>
          <w:sz w:val="24"/>
          <w:szCs w:val="24"/>
          <w:lang w:val="en-ZA"/>
        </w:rPr>
        <w:t xml:space="preserve">being the total amount of the Bank Guarantee to Engen Petroleum Zimbabwe (Pvt) Limited. The payment </w:t>
      </w:r>
      <w:r w:rsidR="009548DB" w:rsidRPr="008D2FF3">
        <w:rPr>
          <w:rFonts w:ascii="Times New Roman" w:eastAsia="Calibri" w:hAnsi="Times New Roman" w:cs="Times New Roman"/>
          <w:sz w:val="24"/>
          <w:szCs w:val="24"/>
          <w:lang w:val="en-ZA"/>
        </w:rPr>
        <w:t>of the USD500 000.00 will be after a period of 10 (ten) da</w:t>
      </w:r>
      <w:r w:rsidR="00EA7470" w:rsidRPr="008D2FF3">
        <w:rPr>
          <w:rFonts w:ascii="Times New Roman" w:eastAsia="Calibri" w:hAnsi="Times New Roman" w:cs="Times New Roman"/>
          <w:sz w:val="24"/>
          <w:szCs w:val="24"/>
          <w:lang w:val="en-ZA"/>
        </w:rPr>
        <w:t>y</w:t>
      </w:r>
      <w:r w:rsidR="009548DB" w:rsidRPr="008D2FF3">
        <w:rPr>
          <w:rFonts w:ascii="Times New Roman" w:eastAsia="Calibri" w:hAnsi="Times New Roman" w:cs="Times New Roman"/>
          <w:sz w:val="24"/>
          <w:szCs w:val="24"/>
          <w:lang w:val="en-ZA"/>
        </w:rPr>
        <w:t>s from the date of fuel drawdown and is on revolving basis…”</w:t>
      </w:r>
    </w:p>
    <w:p w:rsidR="00967ADB" w:rsidRPr="008D2FF3" w:rsidRDefault="00967ADB" w:rsidP="00F87943">
      <w:pPr>
        <w:spacing w:after="0" w:line="240" w:lineRule="auto"/>
        <w:ind w:left="851"/>
        <w:jc w:val="both"/>
        <w:rPr>
          <w:rFonts w:ascii="Times New Roman" w:eastAsia="Calibri" w:hAnsi="Times New Roman" w:cs="Times New Roman"/>
          <w:sz w:val="24"/>
          <w:szCs w:val="24"/>
          <w:lang w:val="en-ZA"/>
        </w:rPr>
      </w:pPr>
    </w:p>
    <w:p w:rsidR="009548DB" w:rsidRPr="008D2FF3" w:rsidRDefault="009548DB" w:rsidP="00967ADB">
      <w:pPr>
        <w:spacing w:before="240" w:after="0" w:line="480" w:lineRule="auto"/>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The second guarantee dated 19 November 2010 read as follows:</w:t>
      </w:r>
    </w:p>
    <w:p w:rsidR="009548DB" w:rsidRPr="008D2FF3" w:rsidRDefault="009548DB" w:rsidP="00967ADB">
      <w:pPr>
        <w:spacing w:after="0" w:line="24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“In consideration of Wedzera Petroleum (Pvt) Ltd …., agreeing to the submission of a guarantee for the supply of fuel products by Engen Petroleum Zimbabwe (Pvt) Ltd. We, Infrastructure Development Bank of Zimbabwe- IDBZ …., do hereby guarantee </w:t>
      </w:r>
      <w:r w:rsidRPr="008D2FF3">
        <w:rPr>
          <w:rFonts w:ascii="Times New Roman" w:eastAsia="Calibri" w:hAnsi="Times New Roman" w:cs="Times New Roman"/>
          <w:sz w:val="24"/>
          <w:szCs w:val="24"/>
          <w:lang w:val="en-ZA"/>
        </w:rPr>
        <w:lastRenderedPageBreak/>
        <w:t>full payment of USD450 000.00</w:t>
      </w:r>
      <w:r w:rsidR="00537A52"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 being the total amount of the Bank Guarantee to Engen Petroleum Zimbabwe (Pvt) Limited. The payment of the USD450 000.00 will be after a period of 10 (ten) da</w:t>
      </w:r>
      <w:r w:rsidR="00EA7470" w:rsidRPr="008D2FF3">
        <w:rPr>
          <w:rFonts w:ascii="Times New Roman" w:eastAsia="Calibri" w:hAnsi="Times New Roman" w:cs="Times New Roman"/>
          <w:sz w:val="24"/>
          <w:szCs w:val="24"/>
          <w:lang w:val="en-ZA"/>
        </w:rPr>
        <w:t>y</w:t>
      </w:r>
      <w:r w:rsidRPr="008D2FF3">
        <w:rPr>
          <w:rFonts w:ascii="Times New Roman" w:eastAsia="Calibri" w:hAnsi="Times New Roman" w:cs="Times New Roman"/>
          <w:sz w:val="24"/>
          <w:szCs w:val="24"/>
          <w:lang w:val="en-ZA"/>
        </w:rPr>
        <w:t>s from the date of fuel drawdown and is on revolving basis</w:t>
      </w:r>
      <w:r w:rsidR="00537A52"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w:t>
      </w:r>
    </w:p>
    <w:p w:rsidR="00B52794" w:rsidRPr="008D2FF3" w:rsidRDefault="00B52794" w:rsidP="00F87943">
      <w:pPr>
        <w:spacing w:after="0" w:line="480" w:lineRule="auto"/>
        <w:ind w:left="720"/>
        <w:jc w:val="both"/>
        <w:rPr>
          <w:rFonts w:ascii="Times New Roman" w:eastAsia="Calibri" w:hAnsi="Times New Roman" w:cs="Times New Roman"/>
          <w:sz w:val="24"/>
          <w:szCs w:val="24"/>
          <w:lang w:val="en-ZA"/>
        </w:rPr>
      </w:pPr>
    </w:p>
    <w:p w:rsidR="00B41760" w:rsidRPr="008D2FF3" w:rsidRDefault="00436B95" w:rsidP="00DD2109">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After the guarantees had been issued,</w:t>
      </w:r>
      <w:r w:rsidR="00927322" w:rsidRPr="008D2FF3">
        <w:rPr>
          <w:rFonts w:ascii="Times New Roman" w:eastAsia="Calibri" w:hAnsi="Times New Roman" w:cs="Times New Roman"/>
          <w:sz w:val="24"/>
          <w:szCs w:val="24"/>
          <w:lang w:val="en-ZA"/>
        </w:rPr>
        <w:t xml:space="preserve"> </w:t>
      </w:r>
      <w:r w:rsidR="002B786A" w:rsidRPr="008D2FF3">
        <w:rPr>
          <w:rFonts w:ascii="Times New Roman" w:eastAsia="Calibri" w:hAnsi="Times New Roman" w:cs="Times New Roman"/>
          <w:sz w:val="24"/>
          <w:szCs w:val="24"/>
          <w:lang w:val="en-ZA"/>
        </w:rPr>
        <w:t xml:space="preserve">Wedzera failed to pay the debts arising from the petroleum products which were </w:t>
      </w:r>
      <w:r w:rsidR="00941164" w:rsidRPr="008D2FF3">
        <w:rPr>
          <w:rFonts w:ascii="Times New Roman" w:eastAsia="Calibri" w:hAnsi="Times New Roman" w:cs="Times New Roman"/>
          <w:sz w:val="24"/>
          <w:szCs w:val="24"/>
          <w:lang w:val="en-ZA"/>
        </w:rPr>
        <w:t>sol</w:t>
      </w:r>
      <w:r w:rsidR="002B786A" w:rsidRPr="008D2FF3">
        <w:rPr>
          <w:rFonts w:ascii="Times New Roman" w:eastAsia="Calibri" w:hAnsi="Times New Roman" w:cs="Times New Roman"/>
          <w:sz w:val="24"/>
          <w:szCs w:val="24"/>
          <w:lang w:val="en-ZA"/>
        </w:rPr>
        <w:t>d to it on credi</w:t>
      </w:r>
      <w:r w:rsidR="00080D70">
        <w:rPr>
          <w:rFonts w:ascii="Times New Roman" w:eastAsia="Calibri" w:hAnsi="Times New Roman" w:cs="Times New Roman"/>
          <w:sz w:val="24"/>
          <w:szCs w:val="24"/>
          <w:lang w:val="en-ZA"/>
        </w:rPr>
        <w:t>t by the respondent. On 8 March </w:t>
      </w:r>
      <w:r w:rsidR="002B786A" w:rsidRPr="008D2FF3">
        <w:rPr>
          <w:rFonts w:ascii="Times New Roman" w:eastAsia="Calibri" w:hAnsi="Times New Roman" w:cs="Times New Roman"/>
          <w:sz w:val="24"/>
          <w:szCs w:val="24"/>
          <w:lang w:val="en-ZA"/>
        </w:rPr>
        <w:t>201</w:t>
      </w:r>
      <w:r w:rsidR="000048BE" w:rsidRPr="008D2FF3">
        <w:rPr>
          <w:rFonts w:ascii="Times New Roman" w:eastAsia="Calibri" w:hAnsi="Times New Roman" w:cs="Times New Roman"/>
          <w:sz w:val="24"/>
          <w:szCs w:val="24"/>
          <w:lang w:val="en-ZA"/>
        </w:rPr>
        <w:t>1</w:t>
      </w:r>
      <w:r w:rsidR="002B786A" w:rsidRPr="008D2FF3">
        <w:rPr>
          <w:rFonts w:ascii="Times New Roman" w:eastAsia="Calibri" w:hAnsi="Times New Roman" w:cs="Times New Roman"/>
          <w:sz w:val="24"/>
          <w:szCs w:val="24"/>
          <w:lang w:val="en-ZA"/>
        </w:rPr>
        <w:t xml:space="preserve"> Wedzera wrote to the respondent informing that it (Wedzera) was experiencing negative cash flows due to the unavailability </w:t>
      </w:r>
      <w:r w:rsidR="00BF661E" w:rsidRPr="008D2FF3">
        <w:rPr>
          <w:rFonts w:ascii="Times New Roman" w:eastAsia="Calibri" w:hAnsi="Times New Roman" w:cs="Times New Roman"/>
          <w:sz w:val="24"/>
          <w:szCs w:val="24"/>
          <w:lang w:val="en-ZA"/>
        </w:rPr>
        <w:t xml:space="preserve">of </w:t>
      </w:r>
      <w:r w:rsidR="002B786A" w:rsidRPr="008D2FF3">
        <w:rPr>
          <w:rFonts w:ascii="Times New Roman" w:eastAsia="Calibri" w:hAnsi="Times New Roman" w:cs="Times New Roman"/>
          <w:sz w:val="24"/>
          <w:szCs w:val="24"/>
          <w:lang w:val="en-ZA"/>
        </w:rPr>
        <w:t xml:space="preserve">fuel during the months of December 2010 and January 2011 and that it was aware of its indebtedness to the respondent. Wedzera further informed the respondent that it would </w:t>
      </w:r>
      <w:r w:rsidR="00DD2109" w:rsidRPr="008D2FF3">
        <w:rPr>
          <w:rFonts w:ascii="Times New Roman" w:eastAsia="Calibri" w:hAnsi="Times New Roman" w:cs="Times New Roman"/>
          <w:sz w:val="24"/>
          <w:szCs w:val="24"/>
          <w:lang w:val="en-ZA"/>
        </w:rPr>
        <w:t>pay</w:t>
      </w:r>
      <w:r w:rsidR="002B786A" w:rsidRPr="008D2FF3">
        <w:rPr>
          <w:rFonts w:ascii="Times New Roman" w:eastAsia="Calibri" w:hAnsi="Times New Roman" w:cs="Times New Roman"/>
          <w:sz w:val="24"/>
          <w:szCs w:val="24"/>
          <w:lang w:val="en-ZA"/>
        </w:rPr>
        <w:t xml:space="preserve"> its ent</w:t>
      </w:r>
      <w:r w:rsidR="00DD2109" w:rsidRPr="008D2FF3">
        <w:rPr>
          <w:rFonts w:ascii="Times New Roman" w:eastAsia="Calibri" w:hAnsi="Times New Roman" w:cs="Times New Roman"/>
          <w:sz w:val="24"/>
          <w:szCs w:val="24"/>
          <w:lang w:val="en-ZA"/>
        </w:rPr>
        <w:t>ire indebtedness within 14 days</w:t>
      </w:r>
      <w:r w:rsidR="00FD21E6" w:rsidRPr="008D2FF3">
        <w:rPr>
          <w:rFonts w:ascii="Times New Roman" w:eastAsia="Calibri" w:hAnsi="Times New Roman" w:cs="Times New Roman"/>
          <w:sz w:val="24"/>
          <w:szCs w:val="24"/>
          <w:lang w:val="en-ZA"/>
        </w:rPr>
        <w:t>.</w:t>
      </w:r>
      <w:r w:rsidR="002B786A" w:rsidRPr="008D2FF3">
        <w:rPr>
          <w:rFonts w:ascii="Times New Roman" w:eastAsia="Calibri" w:hAnsi="Times New Roman" w:cs="Times New Roman"/>
          <w:sz w:val="24"/>
          <w:szCs w:val="24"/>
          <w:lang w:val="en-ZA"/>
        </w:rPr>
        <w:t xml:space="preserve"> Wedzera </w:t>
      </w:r>
      <w:r w:rsidR="00BF661E" w:rsidRPr="008D2FF3">
        <w:rPr>
          <w:rFonts w:ascii="Times New Roman" w:eastAsia="Calibri" w:hAnsi="Times New Roman" w:cs="Times New Roman"/>
          <w:sz w:val="24"/>
          <w:szCs w:val="24"/>
          <w:lang w:val="en-ZA"/>
        </w:rPr>
        <w:t xml:space="preserve">failed to honour </w:t>
      </w:r>
      <w:r w:rsidR="00DD2109" w:rsidRPr="008D2FF3">
        <w:rPr>
          <w:rFonts w:ascii="Times New Roman" w:eastAsia="Calibri" w:hAnsi="Times New Roman" w:cs="Times New Roman"/>
          <w:sz w:val="24"/>
          <w:szCs w:val="24"/>
          <w:lang w:val="en-ZA"/>
        </w:rPr>
        <w:t xml:space="preserve">its indebtedness </w:t>
      </w:r>
      <w:r w:rsidR="00FD21E6" w:rsidRPr="008D2FF3">
        <w:rPr>
          <w:rFonts w:ascii="Times New Roman" w:eastAsia="Calibri" w:hAnsi="Times New Roman" w:cs="Times New Roman"/>
          <w:sz w:val="24"/>
          <w:szCs w:val="24"/>
          <w:lang w:val="en-ZA"/>
        </w:rPr>
        <w:t xml:space="preserve">as </w:t>
      </w:r>
      <w:r w:rsidR="00DD2109" w:rsidRPr="008D2FF3">
        <w:rPr>
          <w:rFonts w:ascii="Times New Roman" w:eastAsia="Calibri" w:hAnsi="Times New Roman" w:cs="Times New Roman"/>
          <w:sz w:val="24"/>
          <w:szCs w:val="24"/>
          <w:lang w:val="en-ZA"/>
        </w:rPr>
        <w:t>promised</w:t>
      </w:r>
      <w:r w:rsidR="002B786A" w:rsidRPr="008D2FF3">
        <w:rPr>
          <w:rFonts w:ascii="Times New Roman" w:eastAsia="Calibri" w:hAnsi="Times New Roman" w:cs="Times New Roman"/>
          <w:sz w:val="24"/>
          <w:szCs w:val="24"/>
          <w:lang w:val="en-ZA"/>
        </w:rPr>
        <w:t>. The respondent wrote to the appellant on 15</w:t>
      </w:r>
      <w:r w:rsidR="0034661E" w:rsidRPr="008D2FF3">
        <w:rPr>
          <w:rFonts w:ascii="Times New Roman" w:eastAsia="Calibri" w:hAnsi="Times New Roman" w:cs="Times New Roman"/>
          <w:sz w:val="24"/>
          <w:szCs w:val="24"/>
          <w:lang w:val="en-ZA"/>
        </w:rPr>
        <w:t> March </w:t>
      </w:r>
      <w:r w:rsidR="00BF661E" w:rsidRPr="008D2FF3">
        <w:rPr>
          <w:rFonts w:ascii="Times New Roman" w:eastAsia="Calibri" w:hAnsi="Times New Roman" w:cs="Times New Roman"/>
          <w:sz w:val="24"/>
          <w:szCs w:val="24"/>
          <w:lang w:val="en-ZA"/>
        </w:rPr>
        <w:t>2011 informing it</w:t>
      </w:r>
      <w:r w:rsidR="002B786A" w:rsidRPr="008D2FF3">
        <w:rPr>
          <w:rFonts w:ascii="Times New Roman" w:eastAsia="Calibri" w:hAnsi="Times New Roman" w:cs="Times New Roman"/>
          <w:sz w:val="24"/>
          <w:szCs w:val="24"/>
          <w:lang w:val="en-ZA"/>
        </w:rPr>
        <w:t xml:space="preserve"> </w:t>
      </w:r>
      <w:r w:rsidR="00B41760" w:rsidRPr="008D2FF3">
        <w:rPr>
          <w:rFonts w:ascii="Times New Roman" w:eastAsia="Calibri" w:hAnsi="Times New Roman" w:cs="Times New Roman"/>
          <w:sz w:val="24"/>
          <w:szCs w:val="24"/>
          <w:lang w:val="en-ZA"/>
        </w:rPr>
        <w:t xml:space="preserve">to liquidate </w:t>
      </w:r>
      <w:r w:rsidR="00DD2109" w:rsidRPr="008D2FF3">
        <w:rPr>
          <w:rFonts w:ascii="Times New Roman" w:eastAsia="Calibri" w:hAnsi="Times New Roman" w:cs="Times New Roman"/>
          <w:sz w:val="24"/>
          <w:szCs w:val="24"/>
          <w:lang w:val="en-ZA"/>
        </w:rPr>
        <w:t xml:space="preserve">Wedzera’s debt in accordance with </w:t>
      </w:r>
      <w:r w:rsidR="00B41760" w:rsidRPr="008D2FF3">
        <w:rPr>
          <w:rFonts w:ascii="Times New Roman" w:eastAsia="Calibri" w:hAnsi="Times New Roman" w:cs="Times New Roman"/>
          <w:sz w:val="24"/>
          <w:szCs w:val="24"/>
          <w:lang w:val="en-ZA"/>
        </w:rPr>
        <w:t>the two g</w:t>
      </w:r>
      <w:r w:rsidR="00BF661E" w:rsidRPr="008D2FF3">
        <w:rPr>
          <w:rFonts w:ascii="Times New Roman" w:eastAsia="Calibri" w:hAnsi="Times New Roman" w:cs="Times New Roman"/>
          <w:sz w:val="24"/>
          <w:szCs w:val="24"/>
          <w:lang w:val="en-ZA"/>
        </w:rPr>
        <w:t>uarantees.</w:t>
      </w:r>
    </w:p>
    <w:p w:rsidR="00F87943" w:rsidRPr="008D2FF3" w:rsidRDefault="00F87943" w:rsidP="00F87943">
      <w:pPr>
        <w:spacing w:before="240" w:after="0" w:line="240" w:lineRule="auto"/>
        <w:ind w:firstLine="1134"/>
        <w:jc w:val="both"/>
        <w:rPr>
          <w:rFonts w:ascii="Times New Roman" w:eastAsia="Calibri" w:hAnsi="Times New Roman" w:cs="Times New Roman"/>
          <w:sz w:val="24"/>
          <w:szCs w:val="24"/>
          <w:lang w:val="en-ZA"/>
        </w:rPr>
      </w:pPr>
    </w:p>
    <w:p w:rsidR="00B41760" w:rsidRPr="008D2FF3" w:rsidRDefault="00027904" w:rsidP="00546A1A">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T</w:t>
      </w:r>
      <w:r w:rsidR="00B41760" w:rsidRPr="008D2FF3">
        <w:rPr>
          <w:rFonts w:ascii="Times New Roman" w:eastAsia="Calibri" w:hAnsi="Times New Roman" w:cs="Times New Roman"/>
          <w:sz w:val="24"/>
          <w:szCs w:val="24"/>
          <w:lang w:val="en-ZA"/>
        </w:rPr>
        <w:t>he appellant through a letter</w:t>
      </w:r>
      <w:r w:rsidRPr="008D2FF3">
        <w:rPr>
          <w:rFonts w:ascii="Times New Roman" w:eastAsia="Calibri" w:hAnsi="Times New Roman" w:cs="Times New Roman"/>
          <w:sz w:val="24"/>
          <w:szCs w:val="24"/>
          <w:lang w:val="en-ZA"/>
        </w:rPr>
        <w:t xml:space="preserve"> dated 31 of March 2011</w:t>
      </w:r>
      <w:r w:rsidR="00B41760" w:rsidRPr="008D2FF3">
        <w:rPr>
          <w:rFonts w:ascii="Times New Roman" w:eastAsia="Calibri" w:hAnsi="Times New Roman" w:cs="Times New Roman"/>
          <w:sz w:val="24"/>
          <w:szCs w:val="24"/>
          <w:lang w:val="en-ZA"/>
        </w:rPr>
        <w:t xml:space="preserve">, informed the respondent that upon checking its records it found that </w:t>
      </w:r>
      <w:r w:rsidR="00925850" w:rsidRPr="008D2FF3">
        <w:rPr>
          <w:rFonts w:ascii="Times New Roman" w:eastAsia="Calibri" w:hAnsi="Times New Roman" w:cs="Times New Roman"/>
          <w:sz w:val="24"/>
          <w:szCs w:val="24"/>
          <w:lang w:val="en-ZA"/>
        </w:rPr>
        <w:t>it had not issued the</w:t>
      </w:r>
      <w:r w:rsidR="00B41760" w:rsidRPr="008D2FF3">
        <w:rPr>
          <w:rFonts w:ascii="Times New Roman" w:eastAsia="Calibri" w:hAnsi="Times New Roman" w:cs="Times New Roman"/>
          <w:sz w:val="24"/>
          <w:szCs w:val="24"/>
          <w:lang w:val="en-ZA"/>
        </w:rPr>
        <w:t xml:space="preserve"> guarantees in favour of the respondent against any debts incurred by Wedzera. The appellant further informed the respondent that it was unsure of the circumstances under which the purported guarantees had be</w:t>
      </w:r>
      <w:r w:rsidR="00EA7470" w:rsidRPr="008D2FF3">
        <w:rPr>
          <w:rFonts w:ascii="Times New Roman" w:eastAsia="Calibri" w:hAnsi="Times New Roman" w:cs="Times New Roman"/>
          <w:sz w:val="24"/>
          <w:szCs w:val="24"/>
          <w:lang w:val="en-ZA"/>
        </w:rPr>
        <w:t>en drafted and issued to the respondent on behalf of Wedzera</w:t>
      </w:r>
      <w:r w:rsidR="00B41760" w:rsidRPr="008D2FF3">
        <w:rPr>
          <w:rFonts w:ascii="Times New Roman" w:eastAsia="Calibri" w:hAnsi="Times New Roman" w:cs="Times New Roman"/>
          <w:sz w:val="24"/>
          <w:szCs w:val="24"/>
          <w:lang w:val="en-ZA"/>
        </w:rPr>
        <w:t xml:space="preserve">. </w:t>
      </w:r>
    </w:p>
    <w:p w:rsidR="00D52487" w:rsidRPr="008D2FF3" w:rsidRDefault="00D52487" w:rsidP="00F87943">
      <w:pPr>
        <w:spacing w:after="0" w:line="240" w:lineRule="auto"/>
        <w:ind w:firstLine="1134"/>
        <w:jc w:val="both"/>
        <w:rPr>
          <w:rFonts w:ascii="Times New Roman" w:eastAsia="Calibri" w:hAnsi="Times New Roman" w:cs="Times New Roman"/>
          <w:sz w:val="24"/>
          <w:szCs w:val="24"/>
          <w:lang w:val="en-ZA"/>
        </w:rPr>
      </w:pPr>
    </w:p>
    <w:p w:rsidR="00694587" w:rsidRPr="008D2FF3" w:rsidRDefault="00B41760" w:rsidP="00750119">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Following the</w:t>
      </w:r>
      <w:r w:rsidR="00EA7470" w:rsidRPr="008D2FF3">
        <w:rPr>
          <w:rFonts w:ascii="Times New Roman" w:eastAsia="Calibri" w:hAnsi="Times New Roman" w:cs="Times New Roman"/>
          <w:sz w:val="24"/>
          <w:szCs w:val="24"/>
          <w:lang w:val="en-ZA"/>
        </w:rPr>
        <w:t xml:space="preserve"> failure by Wedzera to make</w:t>
      </w:r>
      <w:r w:rsidRPr="008D2FF3">
        <w:rPr>
          <w:rFonts w:ascii="Times New Roman" w:eastAsia="Calibri" w:hAnsi="Times New Roman" w:cs="Times New Roman"/>
          <w:sz w:val="24"/>
          <w:szCs w:val="24"/>
          <w:lang w:val="en-ZA"/>
        </w:rPr>
        <w:t xml:space="preserve"> </w:t>
      </w:r>
      <w:r w:rsidR="00750119" w:rsidRPr="008D2FF3">
        <w:rPr>
          <w:rFonts w:ascii="Times New Roman" w:eastAsia="Calibri" w:hAnsi="Times New Roman" w:cs="Times New Roman"/>
          <w:sz w:val="24"/>
          <w:szCs w:val="24"/>
          <w:lang w:val="en-ZA"/>
        </w:rPr>
        <w:t xml:space="preserve">due </w:t>
      </w:r>
      <w:r w:rsidRPr="008D2FF3">
        <w:rPr>
          <w:rFonts w:ascii="Times New Roman" w:eastAsia="Calibri" w:hAnsi="Times New Roman" w:cs="Times New Roman"/>
          <w:sz w:val="24"/>
          <w:szCs w:val="24"/>
          <w:lang w:val="en-ZA"/>
        </w:rPr>
        <w:t xml:space="preserve">payment of the debt and the repudiation of the guarantees by the appellant, the respondent issued summons against </w:t>
      </w:r>
      <w:r w:rsidR="002D22EB" w:rsidRPr="008D2FF3">
        <w:rPr>
          <w:rFonts w:ascii="Times New Roman" w:eastAsia="Calibri" w:hAnsi="Times New Roman" w:cs="Times New Roman"/>
          <w:sz w:val="24"/>
          <w:szCs w:val="24"/>
          <w:lang w:val="en-ZA"/>
        </w:rPr>
        <w:t xml:space="preserve">Wedzera and the appellant for the payment of the sum of US$847 847.65. </w:t>
      </w:r>
    </w:p>
    <w:p w:rsidR="00750119" w:rsidRDefault="00750119" w:rsidP="00750119">
      <w:pPr>
        <w:spacing w:after="0" w:line="480" w:lineRule="auto"/>
        <w:jc w:val="both"/>
        <w:rPr>
          <w:rFonts w:ascii="Times New Roman" w:eastAsia="Calibri" w:hAnsi="Times New Roman" w:cs="Times New Roman"/>
          <w:sz w:val="24"/>
          <w:szCs w:val="24"/>
          <w:lang w:val="en-ZA"/>
        </w:rPr>
      </w:pPr>
    </w:p>
    <w:p w:rsidR="00F7767B" w:rsidRPr="008D2FF3" w:rsidRDefault="00F7767B" w:rsidP="00750119">
      <w:pPr>
        <w:spacing w:after="0" w:line="480" w:lineRule="auto"/>
        <w:jc w:val="both"/>
        <w:rPr>
          <w:rFonts w:ascii="Times New Roman" w:eastAsia="Calibri" w:hAnsi="Times New Roman" w:cs="Times New Roman"/>
          <w:sz w:val="24"/>
          <w:szCs w:val="24"/>
          <w:lang w:val="en-ZA"/>
        </w:rPr>
      </w:pPr>
    </w:p>
    <w:p w:rsidR="00750119" w:rsidRPr="008D2FF3" w:rsidRDefault="00750119" w:rsidP="00750119">
      <w:pPr>
        <w:spacing w:before="240" w:after="0" w:line="480" w:lineRule="auto"/>
        <w:jc w:val="both"/>
        <w:rPr>
          <w:rFonts w:ascii="Times New Roman" w:eastAsia="Calibri" w:hAnsi="Times New Roman" w:cs="Times New Roman"/>
          <w:b/>
          <w:i/>
          <w:sz w:val="24"/>
          <w:szCs w:val="24"/>
          <w:lang w:val="en-ZA"/>
        </w:rPr>
      </w:pPr>
      <w:r w:rsidRPr="008D2FF3">
        <w:rPr>
          <w:rFonts w:ascii="Times New Roman" w:eastAsia="Calibri" w:hAnsi="Times New Roman" w:cs="Times New Roman"/>
          <w:b/>
          <w:sz w:val="24"/>
          <w:szCs w:val="24"/>
          <w:lang w:val="en-ZA"/>
        </w:rPr>
        <w:lastRenderedPageBreak/>
        <w:t xml:space="preserve">PROCEEDINGS BEFORE THE COURT </w:t>
      </w:r>
      <w:r w:rsidRPr="008D2FF3">
        <w:rPr>
          <w:rFonts w:ascii="Times New Roman" w:eastAsia="Calibri" w:hAnsi="Times New Roman" w:cs="Times New Roman"/>
          <w:b/>
          <w:i/>
          <w:sz w:val="24"/>
          <w:szCs w:val="24"/>
          <w:lang w:val="en-ZA"/>
        </w:rPr>
        <w:t>A QUO</w:t>
      </w:r>
    </w:p>
    <w:p w:rsidR="00D6072C" w:rsidRPr="008D2FF3" w:rsidRDefault="0031298E" w:rsidP="00127E15">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In the court </w:t>
      </w:r>
      <w:r w:rsidRPr="008D2FF3">
        <w:rPr>
          <w:rFonts w:ascii="Times New Roman" w:eastAsia="Calibri" w:hAnsi="Times New Roman" w:cs="Times New Roman"/>
          <w:i/>
          <w:sz w:val="24"/>
          <w:szCs w:val="24"/>
          <w:lang w:val="en-ZA"/>
        </w:rPr>
        <w:t>a quo</w:t>
      </w:r>
      <w:r w:rsidR="002D22EB" w:rsidRPr="008D2FF3">
        <w:rPr>
          <w:rFonts w:ascii="Times New Roman" w:eastAsia="Calibri" w:hAnsi="Times New Roman" w:cs="Times New Roman"/>
          <w:sz w:val="24"/>
          <w:szCs w:val="24"/>
          <w:lang w:val="en-ZA"/>
        </w:rPr>
        <w:t xml:space="preserve">, Wedzera in its plea, admitted </w:t>
      </w:r>
      <w:r w:rsidRPr="008D2FF3">
        <w:rPr>
          <w:rFonts w:ascii="Times New Roman" w:eastAsia="Calibri" w:hAnsi="Times New Roman" w:cs="Times New Roman"/>
          <w:sz w:val="24"/>
          <w:szCs w:val="24"/>
          <w:lang w:val="en-ZA"/>
        </w:rPr>
        <w:t>its</w:t>
      </w:r>
      <w:r w:rsidR="002D22EB" w:rsidRPr="008D2FF3">
        <w:rPr>
          <w:rFonts w:ascii="Times New Roman" w:eastAsia="Calibri" w:hAnsi="Times New Roman" w:cs="Times New Roman"/>
          <w:sz w:val="24"/>
          <w:szCs w:val="24"/>
          <w:lang w:val="en-ZA"/>
        </w:rPr>
        <w:t xml:space="preserve"> indebted</w:t>
      </w:r>
      <w:r w:rsidRPr="008D2FF3">
        <w:rPr>
          <w:rFonts w:ascii="Times New Roman" w:eastAsia="Calibri" w:hAnsi="Times New Roman" w:cs="Times New Roman"/>
          <w:sz w:val="24"/>
          <w:szCs w:val="24"/>
          <w:lang w:val="en-ZA"/>
        </w:rPr>
        <w:t>ness</w:t>
      </w:r>
      <w:r w:rsidR="002D22EB" w:rsidRPr="008D2FF3">
        <w:rPr>
          <w:rFonts w:ascii="Times New Roman" w:eastAsia="Calibri" w:hAnsi="Times New Roman" w:cs="Times New Roman"/>
          <w:sz w:val="24"/>
          <w:szCs w:val="24"/>
          <w:lang w:val="en-ZA"/>
        </w:rPr>
        <w:t xml:space="preserve"> to the respondent but denied liability as it argued that liability had passed to the appellant who undertook to settle t</w:t>
      </w:r>
      <w:r w:rsidR="00694587" w:rsidRPr="008D2FF3">
        <w:rPr>
          <w:rFonts w:ascii="Times New Roman" w:eastAsia="Calibri" w:hAnsi="Times New Roman" w:cs="Times New Roman"/>
          <w:sz w:val="24"/>
          <w:szCs w:val="24"/>
          <w:lang w:val="en-ZA"/>
        </w:rPr>
        <w:t xml:space="preserve">he debt </w:t>
      </w:r>
      <w:r w:rsidRPr="008D2FF3">
        <w:rPr>
          <w:rFonts w:ascii="Times New Roman" w:eastAsia="Calibri" w:hAnsi="Times New Roman" w:cs="Times New Roman"/>
          <w:sz w:val="24"/>
          <w:szCs w:val="24"/>
          <w:lang w:val="en-ZA"/>
        </w:rPr>
        <w:t xml:space="preserve">due </w:t>
      </w:r>
      <w:r w:rsidR="008D6CAB" w:rsidRPr="008D2FF3">
        <w:rPr>
          <w:rFonts w:ascii="Times New Roman" w:eastAsia="Calibri" w:hAnsi="Times New Roman" w:cs="Times New Roman"/>
          <w:sz w:val="24"/>
          <w:szCs w:val="24"/>
          <w:lang w:val="en-ZA"/>
        </w:rPr>
        <w:t>in terms of</w:t>
      </w:r>
      <w:r w:rsidRPr="008D2FF3">
        <w:rPr>
          <w:rFonts w:ascii="Times New Roman" w:eastAsia="Calibri" w:hAnsi="Times New Roman" w:cs="Times New Roman"/>
          <w:sz w:val="24"/>
          <w:szCs w:val="24"/>
          <w:lang w:val="en-ZA"/>
        </w:rPr>
        <w:t xml:space="preserve"> the</w:t>
      </w:r>
      <w:r w:rsidR="00BF661E" w:rsidRPr="008D2FF3">
        <w:rPr>
          <w:rFonts w:ascii="Times New Roman" w:eastAsia="Calibri" w:hAnsi="Times New Roman" w:cs="Times New Roman"/>
          <w:sz w:val="24"/>
          <w:szCs w:val="24"/>
          <w:lang w:val="en-ZA"/>
        </w:rPr>
        <w:t xml:space="preserve"> two guarantees</w:t>
      </w:r>
      <w:r w:rsidR="002D22EB" w:rsidRPr="008D2FF3">
        <w:rPr>
          <w:rFonts w:ascii="Times New Roman" w:eastAsia="Calibri" w:hAnsi="Times New Roman" w:cs="Times New Roman"/>
          <w:sz w:val="24"/>
          <w:szCs w:val="24"/>
          <w:lang w:val="en-ZA"/>
        </w:rPr>
        <w:t>.</w:t>
      </w:r>
      <w:r w:rsidR="00144B06" w:rsidRPr="008D2FF3">
        <w:rPr>
          <w:rFonts w:ascii="Times New Roman" w:eastAsia="Calibri" w:hAnsi="Times New Roman" w:cs="Times New Roman"/>
          <w:sz w:val="24"/>
          <w:szCs w:val="24"/>
          <w:lang w:val="en-ZA"/>
        </w:rPr>
        <w:t xml:space="preserve">  </w:t>
      </w:r>
      <w:r w:rsidR="00867C7B">
        <w:rPr>
          <w:rFonts w:ascii="Times New Roman" w:eastAsia="Calibri" w:hAnsi="Times New Roman" w:cs="Times New Roman"/>
          <w:sz w:val="24"/>
          <w:szCs w:val="24"/>
          <w:lang w:val="en-ZA"/>
        </w:rPr>
        <w:t>The a</w:t>
      </w:r>
      <w:r w:rsidR="00144B06" w:rsidRPr="008D2FF3">
        <w:rPr>
          <w:rFonts w:ascii="Times New Roman" w:eastAsia="Calibri" w:hAnsi="Times New Roman" w:cs="Times New Roman"/>
          <w:sz w:val="24"/>
          <w:szCs w:val="24"/>
          <w:lang w:val="en-ZA"/>
        </w:rPr>
        <w:t>ppellant in its plea denied being inde</w:t>
      </w:r>
      <w:r w:rsidR="00D6072C" w:rsidRPr="008D2FF3">
        <w:rPr>
          <w:rFonts w:ascii="Times New Roman" w:eastAsia="Calibri" w:hAnsi="Times New Roman" w:cs="Times New Roman"/>
          <w:sz w:val="24"/>
          <w:szCs w:val="24"/>
          <w:lang w:val="en-ZA"/>
        </w:rPr>
        <w:t>bted to the respondent at all. It indicated that according to their records there was no indication that Wedzera had applied for</w:t>
      </w:r>
      <w:r w:rsidR="008D6CAB" w:rsidRPr="008D2FF3">
        <w:rPr>
          <w:rFonts w:ascii="Times New Roman" w:eastAsia="Calibri" w:hAnsi="Times New Roman" w:cs="Times New Roman"/>
          <w:sz w:val="24"/>
          <w:szCs w:val="24"/>
          <w:lang w:val="en-ZA"/>
        </w:rPr>
        <w:t>,</w:t>
      </w:r>
      <w:r w:rsidR="00D6072C" w:rsidRPr="008D2FF3">
        <w:rPr>
          <w:rFonts w:ascii="Times New Roman" w:eastAsia="Calibri" w:hAnsi="Times New Roman" w:cs="Times New Roman"/>
          <w:sz w:val="24"/>
          <w:szCs w:val="24"/>
          <w:lang w:val="en-ZA"/>
        </w:rPr>
        <w:t xml:space="preserve"> </w:t>
      </w:r>
      <w:r w:rsidR="008D6CAB" w:rsidRPr="008D2FF3">
        <w:rPr>
          <w:rFonts w:ascii="Times New Roman" w:eastAsia="Calibri" w:hAnsi="Times New Roman" w:cs="Times New Roman"/>
          <w:sz w:val="24"/>
          <w:szCs w:val="24"/>
          <w:lang w:val="en-ZA"/>
        </w:rPr>
        <w:t>or</w:t>
      </w:r>
      <w:r w:rsidR="00D6072C" w:rsidRPr="008D2FF3">
        <w:rPr>
          <w:rFonts w:ascii="Times New Roman" w:eastAsia="Calibri" w:hAnsi="Times New Roman" w:cs="Times New Roman"/>
          <w:sz w:val="24"/>
          <w:szCs w:val="24"/>
          <w:lang w:val="en-ZA"/>
        </w:rPr>
        <w:t xml:space="preserve"> had been granted any guarant</w:t>
      </w:r>
      <w:r w:rsidR="008D6CAB" w:rsidRPr="008D2FF3">
        <w:rPr>
          <w:rFonts w:ascii="Times New Roman" w:eastAsia="Calibri" w:hAnsi="Times New Roman" w:cs="Times New Roman"/>
          <w:sz w:val="24"/>
          <w:szCs w:val="24"/>
          <w:lang w:val="en-ZA"/>
        </w:rPr>
        <w:t xml:space="preserve">ees. </w:t>
      </w:r>
      <w:r w:rsidR="00D6072C" w:rsidRPr="008D2FF3">
        <w:rPr>
          <w:rFonts w:ascii="Times New Roman" w:eastAsia="Calibri" w:hAnsi="Times New Roman" w:cs="Times New Roman"/>
          <w:sz w:val="24"/>
          <w:szCs w:val="24"/>
          <w:lang w:val="en-ZA"/>
        </w:rPr>
        <w:t xml:space="preserve">It further alleged that the guarantees had been </w:t>
      </w:r>
      <w:r w:rsidR="00A85686" w:rsidRPr="008D2FF3">
        <w:rPr>
          <w:rFonts w:ascii="Times New Roman" w:eastAsia="Calibri" w:hAnsi="Times New Roman" w:cs="Times New Roman"/>
          <w:sz w:val="24"/>
          <w:szCs w:val="24"/>
          <w:lang w:val="en-ZA"/>
        </w:rPr>
        <w:t>generated</w:t>
      </w:r>
      <w:r w:rsidR="00D6072C" w:rsidRPr="008D2FF3">
        <w:rPr>
          <w:rFonts w:ascii="Times New Roman" w:eastAsia="Calibri" w:hAnsi="Times New Roman" w:cs="Times New Roman"/>
          <w:sz w:val="24"/>
          <w:szCs w:val="24"/>
          <w:lang w:val="en-ZA"/>
        </w:rPr>
        <w:t xml:space="preserve"> through fraud.</w:t>
      </w:r>
    </w:p>
    <w:p w:rsidR="00D6072C" w:rsidRPr="008D2FF3" w:rsidRDefault="00D6072C" w:rsidP="00D6072C">
      <w:pPr>
        <w:pStyle w:val="ListParagraph"/>
        <w:spacing w:before="240" w:after="0" w:line="480" w:lineRule="auto"/>
        <w:ind w:left="851"/>
        <w:jc w:val="both"/>
        <w:rPr>
          <w:rFonts w:ascii="Times New Roman" w:eastAsia="Calibri" w:hAnsi="Times New Roman" w:cs="Times New Roman"/>
          <w:sz w:val="24"/>
          <w:szCs w:val="24"/>
          <w:lang w:val="en-ZA"/>
        </w:rPr>
      </w:pPr>
    </w:p>
    <w:p w:rsidR="00381863" w:rsidRPr="008D2FF3" w:rsidRDefault="002D22EB" w:rsidP="00EC7AC3">
      <w:pPr>
        <w:pStyle w:val="ListParagraph"/>
        <w:numPr>
          <w:ilvl w:val="0"/>
          <w:numId w:val="16"/>
        </w:numPr>
        <w:spacing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At the pre-trial conference the main issue </w:t>
      </w:r>
      <w:r w:rsidR="0031298E" w:rsidRPr="008D2FF3">
        <w:rPr>
          <w:rFonts w:ascii="Times New Roman" w:eastAsia="Calibri" w:hAnsi="Times New Roman" w:cs="Times New Roman"/>
          <w:sz w:val="24"/>
          <w:szCs w:val="24"/>
          <w:lang w:val="en-ZA"/>
        </w:rPr>
        <w:t xml:space="preserve">which was referred to trial </w:t>
      </w:r>
      <w:r w:rsidRPr="008D2FF3">
        <w:rPr>
          <w:rFonts w:ascii="Times New Roman" w:eastAsia="Calibri" w:hAnsi="Times New Roman" w:cs="Times New Roman"/>
          <w:sz w:val="24"/>
          <w:szCs w:val="24"/>
          <w:lang w:val="en-ZA"/>
        </w:rPr>
        <w:t xml:space="preserve">was: whether or not the appellant was liable to pay Wedzera’s debt on the basis of the two guarantees. </w:t>
      </w:r>
      <w:r w:rsidR="00385F2B" w:rsidRPr="008D2FF3">
        <w:rPr>
          <w:rFonts w:ascii="Times New Roman" w:eastAsia="Calibri" w:hAnsi="Times New Roman" w:cs="Times New Roman"/>
          <w:sz w:val="24"/>
          <w:szCs w:val="24"/>
          <w:lang w:val="en-ZA"/>
        </w:rPr>
        <w:t xml:space="preserve"> </w:t>
      </w:r>
    </w:p>
    <w:p w:rsidR="002952DB" w:rsidRPr="00AE74BD" w:rsidRDefault="002952DB" w:rsidP="00AE74BD">
      <w:pPr>
        <w:spacing w:after="0" w:line="240" w:lineRule="auto"/>
        <w:jc w:val="both"/>
        <w:rPr>
          <w:rFonts w:ascii="Times New Roman" w:eastAsia="Calibri" w:hAnsi="Times New Roman" w:cs="Times New Roman"/>
          <w:sz w:val="24"/>
          <w:szCs w:val="24"/>
          <w:lang w:val="en-ZA"/>
        </w:rPr>
      </w:pPr>
    </w:p>
    <w:p w:rsidR="00381863" w:rsidRPr="008D2FF3" w:rsidRDefault="001B40CF" w:rsidP="002952DB">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At the trial, Wedzera was in default. 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upon application from the respondent</w:t>
      </w:r>
      <w:r w:rsidR="00C12C80" w:rsidRPr="008D2FF3">
        <w:rPr>
          <w:rFonts w:ascii="Times New Roman" w:eastAsia="Calibri" w:hAnsi="Times New Roman" w:cs="Times New Roman"/>
          <w:sz w:val="24"/>
          <w:szCs w:val="24"/>
          <w:lang w:val="en-ZA"/>
        </w:rPr>
        <w:t>,</w:t>
      </w:r>
      <w:r w:rsidRPr="008D2FF3">
        <w:rPr>
          <w:rFonts w:ascii="Times New Roman" w:eastAsia="Calibri" w:hAnsi="Times New Roman" w:cs="Times New Roman"/>
          <w:sz w:val="24"/>
          <w:szCs w:val="24"/>
          <w:lang w:val="en-ZA"/>
        </w:rPr>
        <w:t xml:space="preserve"> granted default judgment against Wedzera in favour of the responde</w:t>
      </w:r>
      <w:r w:rsidR="00BF661E" w:rsidRPr="008D2FF3">
        <w:rPr>
          <w:rFonts w:ascii="Times New Roman" w:eastAsia="Calibri" w:hAnsi="Times New Roman" w:cs="Times New Roman"/>
          <w:sz w:val="24"/>
          <w:szCs w:val="24"/>
          <w:lang w:val="en-ZA"/>
        </w:rPr>
        <w:t>nt for the sum of US$847</w:t>
      </w:r>
      <w:r w:rsidR="000075D9" w:rsidRPr="008D2FF3">
        <w:rPr>
          <w:rFonts w:ascii="Times New Roman" w:eastAsia="Calibri" w:hAnsi="Times New Roman" w:cs="Times New Roman"/>
          <w:sz w:val="24"/>
          <w:szCs w:val="24"/>
          <w:lang w:val="en-ZA"/>
        </w:rPr>
        <w:t> </w:t>
      </w:r>
      <w:r w:rsidR="00BF661E" w:rsidRPr="008D2FF3">
        <w:rPr>
          <w:rFonts w:ascii="Times New Roman" w:eastAsia="Calibri" w:hAnsi="Times New Roman" w:cs="Times New Roman"/>
          <w:sz w:val="24"/>
          <w:szCs w:val="24"/>
          <w:lang w:val="en-ZA"/>
        </w:rPr>
        <w:t>847.65</w:t>
      </w:r>
      <w:r w:rsidR="00F521AC" w:rsidRPr="008D2FF3">
        <w:rPr>
          <w:rFonts w:ascii="Times New Roman" w:eastAsia="Calibri" w:hAnsi="Times New Roman" w:cs="Times New Roman"/>
          <w:sz w:val="24"/>
          <w:szCs w:val="24"/>
          <w:lang w:val="en-ZA"/>
        </w:rPr>
        <w:t xml:space="preserve"> </w:t>
      </w:r>
      <w:r w:rsidR="00842D13" w:rsidRPr="008D2FF3">
        <w:rPr>
          <w:rFonts w:ascii="Times New Roman" w:eastAsia="Calibri" w:hAnsi="Times New Roman" w:cs="Times New Roman"/>
          <w:sz w:val="24"/>
          <w:szCs w:val="24"/>
          <w:lang w:val="en-ZA"/>
        </w:rPr>
        <w:t xml:space="preserve">together with costs </w:t>
      </w:r>
      <w:r w:rsidR="0034021A" w:rsidRPr="008D2FF3">
        <w:rPr>
          <w:rFonts w:ascii="Times New Roman" w:eastAsia="Calibri" w:hAnsi="Times New Roman" w:cs="Times New Roman"/>
          <w:sz w:val="24"/>
          <w:szCs w:val="24"/>
          <w:lang w:val="en-ZA"/>
        </w:rPr>
        <w:t>of suit and interest at the prescribed rate</w:t>
      </w:r>
      <w:r w:rsidR="00F521AC" w:rsidRPr="008D2FF3">
        <w:rPr>
          <w:rFonts w:ascii="Times New Roman" w:eastAsia="Calibri" w:hAnsi="Times New Roman" w:cs="Times New Roman"/>
          <w:sz w:val="24"/>
          <w:szCs w:val="24"/>
          <w:lang w:val="en-ZA"/>
        </w:rPr>
        <w:t>.</w:t>
      </w:r>
      <w:r w:rsidR="00A72189" w:rsidRPr="008D2FF3">
        <w:rPr>
          <w:rFonts w:ascii="Times New Roman" w:eastAsia="Calibri" w:hAnsi="Times New Roman" w:cs="Times New Roman"/>
          <w:sz w:val="24"/>
          <w:szCs w:val="24"/>
          <w:lang w:val="en-ZA"/>
        </w:rPr>
        <w:t xml:space="preserve">  The trial proceeded against the appellant.</w:t>
      </w:r>
    </w:p>
    <w:p w:rsidR="002952DB" w:rsidRPr="008D2FF3" w:rsidRDefault="002952DB" w:rsidP="002952DB">
      <w:pPr>
        <w:pStyle w:val="ListParagraph"/>
        <w:spacing w:before="240" w:after="0" w:line="480" w:lineRule="auto"/>
        <w:ind w:left="851"/>
        <w:jc w:val="both"/>
        <w:rPr>
          <w:rFonts w:ascii="Times New Roman" w:eastAsia="Calibri" w:hAnsi="Times New Roman" w:cs="Times New Roman"/>
          <w:sz w:val="24"/>
          <w:szCs w:val="24"/>
          <w:lang w:val="en-ZA"/>
        </w:rPr>
      </w:pPr>
    </w:p>
    <w:p w:rsidR="0034021A" w:rsidRPr="008D2FF3" w:rsidRDefault="00212AC6" w:rsidP="00A81B9B">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In analysing closing submissions made by counsel, the court </w:t>
      </w:r>
      <w:r w:rsidR="00694587" w:rsidRPr="008D2FF3">
        <w:rPr>
          <w:rFonts w:ascii="Times New Roman" w:eastAsia="Calibri" w:hAnsi="Times New Roman" w:cs="Times New Roman"/>
          <w:i/>
          <w:sz w:val="24"/>
          <w:szCs w:val="24"/>
          <w:lang w:val="en-ZA"/>
        </w:rPr>
        <w:t>a quo</w:t>
      </w:r>
      <w:r w:rsidR="00694587"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 xml:space="preserve">noted that the appellant’s counsel sought to </w:t>
      </w:r>
      <w:r w:rsidR="00BD1373" w:rsidRPr="008D2FF3">
        <w:rPr>
          <w:rFonts w:ascii="Times New Roman" w:eastAsia="Calibri" w:hAnsi="Times New Roman" w:cs="Times New Roman"/>
          <w:sz w:val="24"/>
          <w:szCs w:val="24"/>
          <w:lang w:val="en-ZA"/>
        </w:rPr>
        <w:t>introduce</w:t>
      </w:r>
      <w:r w:rsidRPr="008D2FF3">
        <w:rPr>
          <w:rFonts w:ascii="Times New Roman" w:eastAsia="Calibri" w:hAnsi="Times New Roman" w:cs="Times New Roman"/>
          <w:sz w:val="24"/>
          <w:szCs w:val="24"/>
          <w:lang w:val="en-ZA"/>
        </w:rPr>
        <w:t xml:space="preserve"> a new argument which had not been pleaded. The </w:t>
      </w:r>
      <w:r w:rsidR="008F7040" w:rsidRPr="008D2FF3">
        <w:rPr>
          <w:rFonts w:ascii="Times New Roman" w:eastAsia="Calibri" w:hAnsi="Times New Roman" w:cs="Times New Roman"/>
          <w:sz w:val="24"/>
          <w:szCs w:val="24"/>
          <w:lang w:val="en-ZA"/>
        </w:rPr>
        <w:t>argument was based on the fact that the appellant was a statutory co</w:t>
      </w:r>
      <w:r w:rsidR="001D3CFE" w:rsidRPr="008D2FF3">
        <w:rPr>
          <w:rFonts w:ascii="Times New Roman" w:eastAsia="Calibri" w:hAnsi="Times New Roman" w:cs="Times New Roman"/>
          <w:sz w:val="24"/>
          <w:szCs w:val="24"/>
          <w:lang w:val="en-ZA"/>
        </w:rPr>
        <w:t>r</w:t>
      </w:r>
      <w:r w:rsidR="008F7040" w:rsidRPr="008D2FF3">
        <w:rPr>
          <w:rFonts w:ascii="Times New Roman" w:eastAsia="Calibri" w:hAnsi="Times New Roman" w:cs="Times New Roman"/>
          <w:sz w:val="24"/>
          <w:szCs w:val="24"/>
          <w:lang w:val="en-ZA"/>
        </w:rPr>
        <w:t>p</w:t>
      </w:r>
      <w:r w:rsidR="001D3CFE" w:rsidRPr="008D2FF3">
        <w:rPr>
          <w:rFonts w:ascii="Times New Roman" w:eastAsia="Calibri" w:hAnsi="Times New Roman" w:cs="Times New Roman"/>
          <w:sz w:val="24"/>
          <w:szCs w:val="24"/>
          <w:lang w:val="en-ZA"/>
        </w:rPr>
        <w:t>o</w:t>
      </w:r>
      <w:r w:rsidR="008F7040" w:rsidRPr="008D2FF3">
        <w:rPr>
          <w:rFonts w:ascii="Times New Roman" w:eastAsia="Calibri" w:hAnsi="Times New Roman" w:cs="Times New Roman"/>
          <w:sz w:val="24"/>
          <w:szCs w:val="24"/>
          <w:lang w:val="en-ZA"/>
        </w:rPr>
        <w:t>ration which derived</w:t>
      </w:r>
      <w:r w:rsidR="00694587" w:rsidRPr="008D2FF3">
        <w:rPr>
          <w:rFonts w:ascii="Times New Roman" w:eastAsia="Calibri" w:hAnsi="Times New Roman" w:cs="Times New Roman"/>
          <w:sz w:val="24"/>
          <w:szCs w:val="24"/>
          <w:lang w:val="en-ZA"/>
        </w:rPr>
        <w:t xml:space="preserve"> its powers from the IDBZ Act and </w:t>
      </w:r>
      <w:r w:rsidR="008F7040" w:rsidRPr="008D2FF3">
        <w:rPr>
          <w:rFonts w:ascii="Times New Roman" w:eastAsia="Calibri" w:hAnsi="Times New Roman" w:cs="Times New Roman"/>
          <w:sz w:val="24"/>
          <w:szCs w:val="24"/>
          <w:lang w:val="en-ZA"/>
        </w:rPr>
        <w:t>that the provisions of the Companies Act [</w:t>
      </w:r>
      <w:r w:rsidR="008F7040" w:rsidRPr="008D2FF3">
        <w:rPr>
          <w:rFonts w:ascii="Times New Roman" w:eastAsia="Calibri" w:hAnsi="Times New Roman" w:cs="Times New Roman"/>
          <w:i/>
          <w:sz w:val="24"/>
          <w:szCs w:val="24"/>
          <w:lang w:val="en-ZA"/>
        </w:rPr>
        <w:t>Chapter</w:t>
      </w:r>
      <w:r w:rsidR="008965DE" w:rsidRPr="008D2FF3">
        <w:rPr>
          <w:rFonts w:ascii="Times New Roman" w:eastAsia="Calibri" w:hAnsi="Times New Roman" w:cs="Times New Roman"/>
          <w:i/>
          <w:sz w:val="24"/>
          <w:szCs w:val="24"/>
          <w:lang w:val="en-ZA"/>
        </w:rPr>
        <w:t> </w:t>
      </w:r>
      <w:r w:rsidR="00546325" w:rsidRPr="008D2FF3">
        <w:rPr>
          <w:rFonts w:ascii="Times New Roman" w:eastAsia="Calibri" w:hAnsi="Times New Roman" w:cs="Times New Roman"/>
          <w:i/>
          <w:sz w:val="24"/>
          <w:szCs w:val="24"/>
          <w:lang w:val="en-ZA"/>
        </w:rPr>
        <w:t>24:03</w:t>
      </w:r>
      <w:r w:rsidR="008F7040" w:rsidRPr="008D2FF3">
        <w:rPr>
          <w:rFonts w:ascii="Times New Roman" w:eastAsia="Calibri" w:hAnsi="Times New Roman" w:cs="Times New Roman"/>
          <w:sz w:val="24"/>
          <w:szCs w:val="24"/>
          <w:lang w:val="en-ZA"/>
        </w:rPr>
        <w:t>]</w:t>
      </w:r>
      <w:r w:rsidR="00546325" w:rsidRPr="008D2FF3">
        <w:rPr>
          <w:rFonts w:ascii="Times New Roman" w:eastAsia="Calibri" w:hAnsi="Times New Roman" w:cs="Times New Roman"/>
          <w:sz w:val="24"/>
          <w:szCs w:val="24"/>
          <w:lang w:val="en-ZA"/>
        </w:rPr>
        <w:t xml:space="preserve"> (“the Companies Act”)</w:t>
      </w:r>
      <w:r w:rsidR="005753CF" w:rsidRPr="008D2FF3">
        <w:rPr>
          <w:rFonts w:ascii="Times New Roman" w:eastAsia="Calibri" w:hAnsi="Times New Roman" w:cs="Times New Roman"/>
          <w:sz w:val="24"/>
          <w:szCs w:val="24"/>
          <w:lang w:val="en-ZA"/>
        </w:rPr>
        <w:t xml:space="preserve"> </w:t>
      </w:r>
      <w:r w:rsidR="00F521AC" w:rsidRPr="008D2FF3">
        <w:rPr>
          <w:rFonts w:ascii="Times New Roman" w:eastAsia="Calibri" w:hAnsi="Times New Roman" w:cs="Times New Roman"/>
          <w:sz w:val="24"/>
          <w:szCs w:val="24"/>
          <w:lang w:val="en-ZA"/>
        </w:rPr>
        <w:t xml:space="preserve">which codified the </w:t>
      </w:r>
      <w:r w:rsidR="00381863" w:rsidRPr="008D2FF3">
        <w:rPr>
          <w:rFonts w:ascii="Times New Roman" w:eastAsia="Calibri" w:hAnsi="Times New Roman" w:cs="Times New Roman"/>
          <w:sz w:val="24"/>
          <w:szCs w:val="24"/>
          <w:lang w:val="en-ZA"/>
        </w:rPr>
        <w:t>t</w:t>
      </w:r>
      <w:r w:rsidR="00717E9B" w:rsidRPr="008D2FF3">
        <w:rPr>
          <w:rFonts w:ascii="Times New Roman" w:eastAsia="Calibri" w:hAnsi="Times New Roman" w:cs="Times New Roman"/>
          <w:sz w:val="24"/>
          <w:szCs w:val="24"/>
          <w:lang w:val="en-ZA"/>
        </w:rPr>
        <w:t>u</w:t>
      </w:r>
      <w:r w:rsidR="00381863" w:rsidRPr="008D2FF3">
        <w:rPr>
          <w:rFonts w:ascii="Times New Roman" w:eastAsia="Calibri" w:hAnsi="Times New Roman" w:cs="Times New Roman"/>
          <w:sz w:val="24"/>
          <w:szCs w:val="24"/>
          <w:lang w:val="en-ZA"/>
        </w:rPr>
        <w:t>rqu</w:t>
      </w:r>
      <w:r w:rsidR="000E3632" w:rsidRPr="008D2FF3">
        <w:rPr>
          <w:rFonts w:ascii="Times New Roman" w:eastAsia="Calibri" w:hAnsi="Times New Roman" w:cs="Times New Roman"/>
          <w:sz w:val="24"/>
          <w:szCs w:val="24"/>
          <w:lang w:val="en-ZA"/>
        </w:rPr>
        <w:t>an</w:t>
      </w:r>
      <w:r w:rsidR="00381863" w:rsidRPr="008D2FF3">
        <w:rPr>
          <w:rFonts w:ascii="Times New Roman" w:eastAsia="Calibri" w:hAnsi="Times New Roman" w:cs="Times New Roman"/>
          <w:sz w:val="24"/>
          <w:szCs w:val="24"/>
          <w:lang w:val="en-ZA"/>
        </w:rPr>
        <w:t>d</w:t>
      </w:r>
      <w:r w:rsidR="00F521AC" w:rsidRPr="008D2FF3">
        <w:rPr>
          <w:rFonts w:ascii="Times New Roman" w:eastAsia="Calibri" w:hAnsi="Times New Roman" w:cs="Times New Roman"/>
          <w:sz w:val="24"/>
          <w:szCs w:val="24"/>
          <w:lang w:val="en-ZA"/>
        </w:rPr>
        <w:t xml:space="preserve"> rule</w:t>
      </w:r>
      <w:r w:rsidR="008F7040" w:rsidRPr="008D2FF3">
        <w:rPr>
          <w:rFonts w:ascii="Times New Roman" w:eastAsia="Calibri" w:hAnsi="Times New Roman" w:cs="Times New Roman"/>
          <w:sz w:val="24"/>
          <w:szCs w:val="24"/>
          <w:lang w:val="en-ZA"/>
        </w:rPr>
        <w:t xml:space="preserve"> could not be </w:t>
      </w:r>
      <w:r w:rsidR="00301C6D" w:rsidRPr="008D2FF3">
        <w:rPr>
          <w:rFonts w:ascii="Times New Roman" w:eastAsia="Calibri" w:hAnsi="Times New Roman" w:cs="Times New Roman"/>
          <w:sz w:val="24"/>
          <w:szCs w:val="24"/>
          <w:lang w:val="en-ZA"/>
        </w:rPr>
        <w:t>applied</w:t>
      </w:r>
      <w:r w:rsidR="008F7040" w:rsidRPr="008D2FF3">
        <w:rPr>
          <w:rFonts w:ascii="Times New Roman" w:eastAsia="Calibri" w:hAnsi="Times New Roman" w:cs="Times New Roman"/>
          <w:sz w:val="24"/>
          <w:szCs w:val="24"/>
          <w:lang w:val="en-ZA"/>
        </w:rPr>
        <w:t xml:space="preserve"> against the </w:t>
      </w:r>
      <w:r w:rsidR="008106A5" w:rsidRPr="008D2FF3">
        <w:rPr>
          <w:rFonts w:ascii="Times New Roman" w:eastAsia="Calibri" w:hAnsi="Times New Roman" w:cs="Times New Roman"/>
          <w:sz w:val="24"/>
          <w:szCs w:val="24"/>
          <w:lang w:val="en-ZA"/>
        </w:rPr>
        <w:t>appellant</w:t>
      </w:r>
      <w:r w:rsidR="00537A52" w:rsidRPr="008D2FF3">
        <w:rPr>
          <w:rFonts w:ascii="Times New Roman" w:eastAsia="Calibri" w:hAnsi="Times New Roman" w:cs="Times New Roman"/>
          <w:sz w:val="24"/>
          <w:szCs w:val="24"/>
          <w:lang w:val="en-ZA"/>
        </w:rPr>
        <w:t xml:space="preserve"> in terms of s </w:t>
      </w:r>
      <w:r w:rsidR="00F521AC" w:rsidRPr="008D2FF3">
        <w:rPr>
          <w:rFonts w:ascii="Times New Roman" w:eastAsia="Calibri" w:hAnsi="Times New Roman" w:cs="Times New Roman"/>
          <w:sz w:val="24"/>
          <w:szCs w:val="24"/>
          <w:lang w:val="en-ZA"/>
        </w:rPr>
        <w:t>30 of the IDBZ Act</w:t>
      </w:r>
      <w:r w:rsidR="008106A5" w:rsidRPr="008D2FF3">
        <w:rPr>
          <w:rFonts w:ascii="Times New Roman" w:eastAsia="Calibri" w:hAnsi="Times New Roman" w:cs="Times New Roman"/>
          <w:sz w:val="24"/>
          <w:szCs w:val="24"/>
          <w:lang w:val="en-ZA"/>
        </w:rPr>
        <w:t xml:space="preserve">. </w:t>
      </w:r>
    </w:p>
    <w:p w:rsidR="00381863" w:rsidRPr="008D2FF3" w:rsidRDefault="00381863" w:rsidP="00F87943">
      <w:pPr>
        <w:spacing w:after="0" w:line="240" w:lineRule="auto"/>
        <w:ind w:firstLine="1134"/>
        <w:jc w:val="both"/>
        <w:rPr>
          <w:rFonts w:ascii="Times New Roman" w:eastAsia="Calibri" w:hAnsi="Times New Roman" w:cs="Times New Roman"/>
          <w:sz w:val="24"/>
          <w:szCs w:val="24"/>
          <w:lang w:val="en-ZA"/>
        </w:rPr>
      </w:pPr>
    </w:p>
    <w:p w:rsidR="005753CF" w:rsidRPr="008D2FF3" w:rsidRDefault="00546325" w:rsidP="00E2112A">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court held that </w:t>
      </w:r>
      <w:r w:rsidR="00F67682" w:rsidRPr="008D2FF3">
        <w:rPr>
          <w:rFonts w:ascii="Times New Roman" w:eastAsia="Calibri" w:hAnsi="Times New Roman" w:cs="Times New Roman"/>
          <w:sz w:val="24"/>
          <w:szCs w:val="24"/>
          <w:lang w:val="en-ZA"/>
        </w:rPr>
        <w:t>in spite</w:t>
      </w:r>
      <w:r w:rsidR="006D3D05" w:rsidRPr="008D2FF3">
        <w:rPr>
          <w:rFonts w:ascii="Times New Roman" w:eastAsia="Calibri" w:hAnsi="Times New Roman" w:cs="Times New Roman"/>
          <w:sz w:val="24"/>
          <w:szCs w:val="24"/>
          <w:lang w:val="en-ZA"/>
        </w:rPr>
        <w:t xml:space="preserve"> of the provisions of s </w:t>
      </w:r>
      <w:r w:rsidR="00F521AC" w:rsidRPr="008D2FF3">
        <w:rPr>
          <w:rFonts w:ascii="Times New Roman" w:eastAsia="Calibri" w:hAnsi="Times New Roman" w:cs="Times New Roman"/>
          <w:sz w:val="24"/>
          <w:szCs w:val="24"/>
          <w:lang w:val="en-ZA"/>
        </w:rPr>
        <w:t>30</w:t>
      </w:r>
      <w:r w:rsidR="006D3D05" w:rsidRPr="008D2FF3">
        <w:rPr>
          <w:rFonts w:ascii="Times New Roman" w:eastAsia="Calibri" w:hAnsi="Times New Roman" w:cs="Times New Roman"/>
          <w:sz w:val="24"/>
          <w:szCs w:val="24"/>
          <w:lang w:val="en-ZA"/>
        </w:rPr>
        <w:t> </w:t>
      </w:r>
      <w:r w:rsidR="0041311A" w:rsidRPr="008D2FF3">
        <w:rPr>
          <w:rFonts w:ascii="Times New Roman" w:eastAsia="Calibri" w:hAnsi="Times New Roman" w:cs="Times New Roman"/>
          <w:sz w:val="24"/>
          <w:szCs w:val="24"/>
          <w:lang w:val="en-ZA"/>
        </w:rPr>
        <w:t xml:space="preserve">of the </w:t>
      </w:r>
      <w:r w:rsidRPr="008D2FF3">
        <w:rPr>
          <w:rFonts w:ascii="Times New Roman" w:eastAsia="Calibri" w:hAnsi="Times New Roman" w:cs="Times New Roman"/>
          <w:sz w:val="24"/>
          <w:szCs w:val="24"/>
          <w:lang w:val="en-ZA"/>
        </w:rPr>
        <w:t xml:space="preserve">IDBZ Act </w:t>
      </w:r>
      <w:r w:rsidR="00F521AC" w:rsidRPr="008D2FF3">
        <w:rPr>
          <w:rFonts w:ascii="Times New Roman" w:eastAsia="Calibri" w:hAnsi="Times New Roman" w:cs="Times New Roman"/>
          <w:sz w:val="24"/>
          <w:szCs w:val="24"/>
          <w:lang w:val="en-ZA"/>
        </w:rPr>
        <w:t>which made</w:t>
      </w:r>
      <w:r w:rsidRPr="008D2FF3">
        <w:rPr>
          <w:rFonts w:ascii="Times New Roman" w:eastAsia="Calibri" w:hAnsi="Times New Roman" w:cs="Times New Roman"/>
          <w:sz w:val="24"/>
          <w:szCs w:val="24"/>
          <w:lang w:val="en-ZA"/>
        </w:rPr>
        <w:t xml:space="preserve"> the appellant immune to the provisions of the Compa</w:t>
      </w:r>
      <w:r w:rsidR="00694587" w:rsidRPr="008D2FF3">
        <w:rPr>
          <w:rFonts w:ascii="Times New Roman" w:eastAsia="Calibri" w:hAnsi="Times New Roman" w:cs="Times New Roman"/>
          <w:sz w:val="24"/>
          <w:szCs w:val="24"/>
          <w:lang w:val="en-ZA"/>
        </w:rPr>
        <w:t>nies Act, the actions of</w:t>
      </w:r>
      <w:r w:rsidRPr="008D2FF3">
        <w:rPr>
          <w:rFonts w:ascii="Times New Roman" w:eastAsia="Calibri" w:hAnsi="Times New Roman" w:cs="Times New Roman"/>
          <w:sz w:val="24"/>
          <w:szCs w:val="24"/>
          <w:lang w:val="en-ZA"/>
        </w:rPr>
        <w:t xml:space="preserve"> Mugwara </w:t>
      </w:r>
      <w:r w:rsidRPr="008D2FF3">
        <w:rPr>
          <w:rFonts w:ascii="Times New Roman" w:eastAsia="Calibri" w:hAnsi="Times New Roman" w:cs="Times New Roman"/>
          <w:sz w:val="24"/>
          <w:szCs w:val="24"/>
          <w:lang w:val="en-ZA"/>
        </w:rPr>
        <w:lastRenderedPageBreak/>
        <w:t>fell squarely within the scope of the presumptions of ostensible authority</w:t>
      </w:r>
      <w:r w:rsidR="00F521AC" w:rsidRPr="008D2FF3">
        <w:rPr>
          <w:rFonts w:ascii="Times New Roman" w:eastAsia="Calibri" w:hAnsi="Times New Roman" w:cs="Times New Roman"/>
          <w:sz w:val="24"/>
          <w:szCs w:val="24"/>
          <w:lang w:val="en-ZA"/>
        </w:rPr>
        <w:t xml:space="preserve">. </w:t>
      </w:r>
      <w:r w:rsidR="005753CF" w:rsidRPr="008D2FF3">
        <w:rPr>
          <w:rFonts w:ascii="Times New Roman" w:eastAsia="Calibri" w:hAnsi="Times New Roman" w:cs="Times New Roman"/>
          <w:sz w:val="24"/>
          <w:szCs w:val="24"/>
          <w:lang w:val="en-ZA"/>
        </w:rPr>
        <w:t>The court foun</w:t>
      </w:r>
      <w:r w:rsidR="006E1E72" w:rsidRPr="008D2FF3">
        <w:rPr>
          <w:rFonts w:ascii="Times New Roman" w:eastAsia="Calibri" w:hAnsi="Times New Roman" w:cs="Times New Roman"/>
          <w:sz w:val="24"/>
          <w:szCs w:val="24"/>
          <w:lang w:val="en-ZA"/>
        </w:rPr>
        <w:t xml:space="preserve">d that </w:t>
      </w:r>
      <w:r w:rsidR="00F521AC" w:rsidRPr="008D2FF3">
        <w:rPr>
          <w:rFonts w:ascii="Times New Roman" w:eastAsia="Calibri" w:hAnsi="Times New Roman" w:cs="Times New Roman"/>
          <w:sz w:val="24"/>
          <w:szCs w:val="24"/>
          <w:lang w:val="en-ZA"/>
        </w:rPr>
        <w:t>Mu</w:t>
      </w:r>
      <w:r w:rsidR="005753CF" w:rsidRPr="008D2FF3">
        <w:rPr>
          <w:rFonts w:ascii="Times New Roman" w:eastAsia="Calibri" w:hAnsi="Times New Roman" w:cs="Times New Roman"/>
          <w:sz w:val="24"/>
          <w:szCs w:val="24"/>
          <w:lang w:val="en-ZA"/>
        </w:rPr>
        <w:t>gwara h</w:t>
      </w:r>
      <w:r w:rsidR="0041311A" w:rsidRPr="008D2FF3">
        <w:rPr>
          <w:rFonts w:ascii="Times New Roman" w:eastAsia="Calibri" w:hAnsi="Times New Roman" w:cs="Times New Roman"/>
          <w:sz w:val="24"/>
          <w:szCs w:val="24"/>
          <w:lang w:val="en-ZA"/>
        </w:rPr>
        <w:t>e</w:t>
      </w:r>
      <w:r w:rsidR="005B243B" w:rsidRPr="008D2FF3">
        <w:rPr>
          <w:rFonts w:ascii="Times New Roman" w:eastAsia="Calibri" w:hAnsi="Times New Roman" w:cs="Times New Roman"/>
          <w:sz w:val="24"/>
          <w:szCs w:val="24"/>
          <w:lang w:val="en-ZA"/>
        </w:rPr>
        <w:t>l</w:t>
      </w:r>
      <w:r w:rsidR="005753CF" w:rsidRPr="008D2FF3">
        <w:rPr>
          <w:rFonts w:ascii="Times New Roman" w:eastAsia="Calibri" w:hAnsi="Times New Roman" w:cs="Times New Roman"/>
          <w:sz w:val="24"/>
          <w:szCs w:val="24"/>
          <w:lang w:val="en-ZA"/>
        </w:rPr>
        <w:t>d a s</w:t>
      </w:r>
      <w:r w:rsidR="00F521AC" w:rsidRPr="008D2FF3">
        <w:rPr>
          <w:rFonts w:ascii="Times New Roman" w:eastAsia="Calibri" w:hAnsi="Times New Roman" w:cs="Times New Roman"/>
          <w:sz w:val="24"/>
          <w:szCs w:val="24"/>
          <w:lang w:val="en-ZA"/>
        </w:rPr>
        <w:t xml:space="preserve">enior position in the </w:t>
      </w:r>
      <w:r w:rsidR="005753CF" w:rsidRPr="008D2FF3">
        <w:rPr>
          <w:rFonts w:ascii="Times New Roman" w:eastAsia="Calibri" w:hAnsi="Times New Roman" w:cs="Times New Roman"/>
          <w:sz w:val="24"/>
          <w:szCs w:val="24"/>
          <w:lang w:val="en-ZA"/>
        </w:rPr>
        <w:t>Bank, that he had</w:t>
      </w:r>
      <w:r w:rsidR="00F521AC" w:rsidRPr="008D2FF3">
        <w:rPr>
          <w:rFonts w:ascii="Times New Roman" w:eastAsia="Calibri" w:hAnsi="Times New Roman" w:cs="Times New Roman"/>
          <w:sz w:val="24"/>
          <w:szCs w:val="24"/>
          <w:lang w:val="en-ZA"/>
        </w:rPr>
        <w:t xml:space="preserve"> subordinate st</w:t>
      </w:r>
      <w:r w:rsidR="00A81B9B" w:rsidRPr="008D2FF3">
        <w:rPr>
          <w:rFonts w:ascii="Times New Roman" w:eastAsia="Calibri" w:hAnsi="Times New Roman" w:cs="Times New Roman"/>
          <w:sz w:val="24"/>
          <w:szCs w:val="24"/>
          <w:lang w:val="en-ZA"/>
        </w:rPr>
        <w:t>a</w:t>
      </w:r>
      <w:r w:rsidR="00F521AC" w:rsidRPr="008D2FF3">
        <w:rPr>
          <w:rFonts w:ascii="Times New Roman" w:eastAsia="Calibri" w:hAnsi="Times New Roman" w:cs="Times New Roman"/>
          <w:sz w:val="24"/>
          <w:szCs w:val="24"/>
          <w:lang w:val="en-ZA"/>
        </w:rPr>
        <w:t xml:space="preserve">ff under him, he had access </w:t>
      </w:r>
      <w:r w:rsidR="0041311A" w:rsidRPr="008D2FF3">
        <w:rPr>
          <w:rFonts w:ascii="Times New Roman" w:eastAsia="Calibri" w:hAnsi="Times New Roman" w:cs="Times New Roman"/>
          <w:sz w:val="24"/>
          <w:szCs w:val="24"/>
          <w:lang w:val="en-ZA"/>
        </w:rPr>
        <w:t xml:space="preserve">to </w:t>
      </w:r>
      <w:r w:rsidR="00F521AC" w:rsidRPr="008D2FF3">
        <w:rPr>
          <w:rFonts w:ascii="Times New Roman" w:eastAsia="Calibri" w:hAnsi="Times New Roman" w:cs="Times New Roman"/>
          <w:sz w:val="24"/>
          <w:szCs w:val="24"/>
          <w:lang w:val="en-ZA"/>
        </w:rPr>
        <w:t xml:space="preserve">and used the </w:t>
      </w:r>
      <w:r w:rsidR="005753CF" w:rsidRPr="008D2FF3">
        <w:rPr>
          <w:rFonts w:ascii="Times New Roman" w:eastAsia="Calibri" w:hAnsi="Times New Roman" w:cs="Times New Roman"/>
          <w:sz w:val="24"/>
          <w:szCs w:val="24"/>
          <w:lang w:val="en-ZA"/>
        </w:rPr>
        <w:t>appellant’s stationery</w:t>
      </w:r>
      <w:r w:rsidR="005B243B" w:rsidRPr="008D2FF3">
        <w:rPr>
          <w:rFonts w:ascii="Times New Roman" w:eastAsia="Calibri" w:hAnsi="Times New Roman" w:cs="Times New Roman"/>
          <w:sz w:val="24"/>
          <w:szCs w:val="24"/>
          <w:lang w:val="en-ZA"/>
        </w:rPr>
        <w:t>.  He</w:t>
      </w:r>
      <w:r w:rsidR="005753CF" w:rsidRPr="008D2FF3">
        <w:rPr>
          <w:rFonts w:ascii="Times New Roman" w:eastAsia="Calibri" w:hAnsi="Times New Roman" w:cs="Times New Roman"/>
          <w:sz w:val="24"/>
          <w:szCs w:val="24"/>
          <w:lang w:val="en-ZA"/>
        </w:rPr>
        <w:t xml:space="preserve"> was t</w:t>
      </w:r>
      <w:r w:rsidR="00F521AC" w:rsidRPr="008D2FF3">
        <w:rPr>
          <w:rFonts w:ascii="Times New Roman" w:eastAsia="Calibri" w:hAnsi="Times New Roman" w:cs="Times New Roman"/>
          <w:sz w:val="24"/>
          <w:szCs w:val="24"/>
          <w:lang w:val="en-ZA"/>
        </w:rPr>
        <w:t>he Head of the Short Term Loans</w:t>
      </w:r>
      <w:r w:rsidR="005753CF" w:rsidRPr="008D2FF3">
        <w:rPr>
          <w:rFonts w:ascii="Times New Roman" w:eastAsia="Calibri" w:hAnsi="Times New Roman" w:cs="Times New Roman"/>
          <w:sz w:val="24"/>
          <w:szCs w:val="24"/>
          <w:lang w:val="en-ZA"/>
        </w:rPr>
        <w:t xml:space="preserve"> Unit which U</w:t>
      </w:r>
      <w:r w:rsidR="00F521AC" w:rsidRPr="008D2FF3">
        <w:rPr>
          <w:rFonts w:ascii="Times New Roman" w:eastAsia="Calibri" w:hAnsi="Times New Roman" w:cs="Times New Roman"/>
          <w:sz w:val="24"/>
          <w:szCs w:val="24"/>
          <w:lang w:val="en-ZA"/>
        </w:rPr>
        <w:t>nit had amongst other</w:t>
      </w:r>
      <w:r w:rsidR="00EA7470" w:rsidRPr="008D2FF3">
        <w:rPr>
          <w:rFonts w:ascii="Times New Roman" w:eastAsia="Calibri" w:hAnsi="Times New Roman" w:cs="Times New Roman"/>
          <w:sz w:val="24"/>
          <w:szCs w:val="24"/>
          <w:lang w:val="en-ZA"/>
        </w:rPr>
        <w:t>s</w:t>
      </w:r>
      <w:r w:rsidR="00A25A87" w:rsidRPr="008D2FF3">
        <w:rPr>
          <w:rFonts w:ascii="Times New Roman" w:eastAsia="Calibri" w:hAnsi="Times New Roman" w:cs="Times New Roman"/>
          <w:sz w:val="24"/>
          <w:szCs w:val="24"/>
          <w:lang w:val="en-ZA"/>
        </w:rPr>
        <w:t xml:space="preserve"> </w:t>
      </w:r>
      <w:r w:rsidR="005753CF" w:rsidRPr="008D2FF3">
        <w:rPr>
          <w:rFonts w:ascii="Times New Roman" w:eastAsia="Calibri" w:hAnsi="Times New Roman" w:cs="Times New Roman"/>
          <w:sz w:val="24"/>
          <w:szCs w:val="24"/>
          <w:lang w:val="en-ZA"/>
        </w:rPr>
        <w:t>a mandate to issue guarantees. The c</w:t>
      </w:r>
      <w:r w:rsidR="006E1E72" w:rsidRPr="008D2FF3">
        <w:rPr>
          <w:rFonts w:ascii="Times New Roman" w:eastAsia="Calibri" w:hAnsi="Times New Roman" w:cs="Times New Roman"/>
          <w:sz w:val="24"/>
          <w:szCs w:val="24"/>
          <w:lang w:val="en-ZA"/>
        </w:rPr>
        <w:t xml:space="preserve">ourt further found that </w:t>
      </w:r>
      <w:r w:rsidR="005753CF" w:rsidRPr="008D2FF3">
        <w:rPr>
          <w:rFonts w:ascii="Times New Roman" w:eastAsia="Calibri" w:hAnsi="Times New Roman" w:cs="Times New Roman"/>
          <w:sz w:val="24"/>
          <w:szCs w:val="24"/>
          <w:lang w:val="en-ZA"/>
        </w:rPr>
        <w:t>Mugwara’s job description empowered him:</w:t>
      </w:r>
    </w:p>
    <w:p w:rsidR="005753CF" w:rsidRPr="008D2FF3" w:rsidRDefault="005753CF" w:rsidP="00356CED">
      <w:pPr>
        <w:spacing w:before="240" w:after="0" w:line="24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w:t>
      </w:r>
      <w:r w:rsidR="00F521AC" w:rsidRPr="008D2FF3">
        <w:rPr>
          <w:rFonts w:ascii="Times New Roman" w:eastAsia="Calibri" w:hAnsi="Times New Roman" w:cs="Times New Roman"/>
          <w:sz w:val="24"/>
          <w:szCs w:val="24"/>
          <w:lang w:val="en-ZA"/>
        </w:rPr>
        <w:t>…</w:t>
      </w:r>
      <w:r w:rsidRPr="008D2FF3">
        <w:rPr>
          <w:rFonts w:ascii="Times New Roman" w:eastAsia="Calibri" w:hAnsi="Times New Roman" w:cs="Times New Roman"/>
          <w:sz w:val="24"/>
          <w:szCs w:val="24"/>
          <w:lang w:val="en-ZA"/>
        </w:rPr>
        <w:t>to generate, manage and control the bank’s short term lending portfolio as well as [to] supervis[e] … Regional Offices”</w:t>
      </w:r>
    </w:p>
    <w:p w:rsidR="00C87DA4" w:rsidRPr="008D2FF3" w:rsidRDefault="00C87DA4" w:rsidP="00F87943">
      <w:pPr>
        <w:spacing w:before="240" w:after="0" w:line="480" w:lineRule="auto"/>
        <w:jc w:val="both"/>
        <w:rPr>
          <w:rFonts w:ascii="Times New Roman" w:eastAsia="Calibri" w:hAnsi="Times New Roman" w:cs="Times New Roman"/>
          <w:sz w:val="24"/>
          <w:szCs w:val="24"/>
          <w:lang w:val="en-ZA"/>
        </w:rPr>
      </w:pPr>
    </w:p>
    <w:p w:rsidR="005753CF" w:rsidRPr="008D2FF3" w:rsidRDefault="00F521AC" w:rsidP="00A10C83">
      <w:pPr>
        <w:spacing w:before="240" w:after="0" w:line="48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Further</w:t>
      </w:r>
      <w:r w:rsidR="000E3632" w:rsidRPr="008D2FF3">
        <w:rPr>
          <w:rFonts w:ascii="Times New Roman" w:eastAsia="Calibri" w:hAnsi="Times New Roman" w:cs="Times New Roman"/>
          <w:sz w:val="24"/>
          <w:szCs w:val="24"/>
          <w:lang w:val="en-ZA"/>
        </w:rPr>
        <w:t>,</w:t>
      </w:r>
      <w:r w:rsidRPr="008D2FF3">
        <w:rPr>
          <w:rFonts w:ascii="Times New Roman" w:eastAsia="Calibri" w:hAnsi="Times New Roman" w:cs="Times New Roman"/>
          <w:sz w:val="24"/>
          <w:szCs w:val="24"/>
          <w:lang w:val="en-ZA"/>
        </w:rPr>
        <w:t xml:space="preserve"> that</w:t>
      </w:r>
      <w:r w:rsidR="005753CF" w:rsidRPr="008D2FF3">
        <w:rPr>
          <w:rFonts w:ascii="Times New Roman" w:eastAsia="Calibri" w:hAnsi="Times New Roman" w:cs="Times New Roman"/>
          <w:sz w:val="24"/>
          <w:szCs w:val="24"/>
          <w:lang w:val="en-ZA"/>
        </w:rPr>
        <w:t xml:space="preserve"> his key</w:t>
      </w:r>
      <w:r w:rsidRPr="008D2FF3">
        <w:rPr>
          <w:rFonts w:ascii="Times New Roman" w:eastAsia="Calibri" w:hAnsi="Times New Roman" w:cs="Times New Roman"/>
          <w:sz w:val="24"/>
          <w:szCs w:val="24"/>
          <w:lang w:val="en-ZA"/>
        </w:rPr>
        <w:t xml:space="preserve"> duties</w:t>
      </w:r>
      <w:r w:rsidR="005753CF"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 xml:space="preserve">included </w:t>
      </w:r>
      <w:r w:rsidR="005753CF" w:rsidRPr="008D2FF3">
        <w:rPr>
          <w:rFonts w:ascii="Times New Roman" w:eastAsia="Calibri" w:hAnsi="Times New Roman" w:cs="Times New Roman"/>
          <w:sz w:val="24"/>
          <w:szCs w:val="24"/>
          <w:lang w:val="en-ZA"/>
        </w:rPr>
        <w:t>decis</w:t>
      </w:r>
      <w:r w:rsidRPr="008D2FF3">
        <w:rPr>
          <w:rFonts w:ascii="Times New Roman" w:eastAsia="Calibri" w:hAnsi="Times New Roman" w:cs="Times New Roman"/>
          <w:sz w:val="24"/>
          <w:szCs w:val="24"/>
          <w:lang w:val="en-ZA"/>
        </w:rPr>
        <w:t>ion making authority,</w:t>
      </w:r>
      <w:r w:rsidR="00556932" w:rsidRPr="008D2FF3">
        <w:rPr>
          <w:rFonts w:ascii="Times New Roman" w:eastAsia="Calibri" w:hAnsi="Times New Roman" w:cs="Times New Roman"/>
          <w:sz w:val="24"/>
          <w:szCs w:val="24"/>
          <w:lang w:val="en-ZA"/>
        </w:rPr>
        <w:t xml:space="preserve"> authority to approve departmental expenses and the budgets for the Unit and the Regional Offices. The court found that </w:t>
      </w:r>
      <w:r w:rsidR="004F25E2" w:rsidRPr="008D2FF3">
        <w:rPr>
          <w:rFonts w:ascii="Times New Roman" w:eastAsia="Calibri" w:hAnsi="Times New Roman" w:cs="Times New Roman"/>
          <w:sz w:val="24"/>
          <w:szCs w:val="24"/>
          <w:lang w:val="en-ZA"/>
        </w:rPr>
        <w:t xml:space="preserve">the </w:t>
      </w:r>
      <w:r w:rsidR="00556932" w:rsidRPr="00B9619B">
        <w:rPr>
          <w:rFonts w:ascii="Times New Roman" w:eastAsia="Calibri" w:hAnsi="Times New Roman" w:cs="Times New Roman"/>
          <w:sz w:val="24"/>
          <w:szCs w:val="24"/>
          <w:lang w:val="en-ZA"/>
        </w:rPr>
        <w:t>onus</w:t>
      </w:r>
      <w:r w:rsidR="00556932" w:rsidRPr="008D2FF3">
        <w:rPr>
          <w:rFonts w:ascii="Times New Roman" w:eastAsia="Calibri" w:hAnsi="Times New Roman" w:cs="Times New Roman"/>
          <w:sz w:val="24"/>
          <w:szCs w:val="24"/>
          <w:lang w:val="en-ZA"/>
        </w:rPr>
        <w:t xml:space="preserve"> was on the ap</w:t>
      </w:r>
      <w:r w:rsidR="006E1E72" w:rsidRPr="008D2FF3">
        <w:rPr>
          <w:rFonts w:ascii="Times New Roman" w:eastAsia="Calibri" w:hAnsi="Times New Roman" w:cs="Times New Roman"/>
          <w:sz w:val="24"/>
          <w:szCs w:val="24"/>
          <w:lang w:val="en-ZA"/>
        </w:rPr>
        <w:t xml:space="preserve">pellant to prove that </w:t>
      </w:r>
      <w:r w:rsidRPr="008D2FF3">
        <w:rPr>
          <w:rFonts w:ascii="Times New Roman" w:eastAsia="Calibri" w:hAnsi="Times New Roman" w:cs="Times New Roman"/>
          <w:sz w:val="24"/>
          <w:szCs w:val="24"/>
          <w:lang w:val="en-ZA"/>
        </w:rPr>
        <w:t>Mu</w:t>
      </w:r>
      <w:r w:rsidR="00556932" w:rsidRPr="008D2FF3">
        <w:rPr>
          <w:rFonts w:ascii="Times New Roman" w:eastAsia="Calibri" w:hAnsi="Times New Roman" w:cs="Times New Roman"/>
          <w:sz w:val="24"/>
          <w:szCs w:val="24"/>
          <w:lang w:val="en-ZA"/>
        </w:rPr>
        <w:t>gwara did not have any form of auth</w:t>
      </w:r>
      <w:r w:rsidR="00145F79" w:rsidRPr="008D2FF3">
        <w:rPr>
          <w:rFonts w:ascii="Times New Roman" w:eastAsia="Calibri" w:hAnsi="Times New Roman" w:cs="Times New Roman"/>
          <w:sz w:val="24"/>
          <w:szCs w:val="24"/>
          <w:lang w:val="en-ZA"/>
        </w:rPr>
        <w:t xml:space="preserve">ority to facilitate guarantees and </w:t>
      </w:r>
      <w:r w:rsidR="00694587" w:rsidRPr="008D2FF3">
        <w:rPr>
          <w:rFonts w:ascii="Times New Roman" w:eastAsia="Calibri" w:hAnsi="Times New Roman" w:cs="Times New Roman"/>
          <w:sz w:val="24"/>
          <w:szCs w:val="24"/>
          <w:lang w:val="en-ZA"/>
        </w:rPr>
        <w:t xml:space="preserve">to prove </w:t>
      </w:r>
      <w:r w:rsidR="00145F79" w:rsidRPr="008D2FF3">
        <w:rPr>
          <w:rFonts w:ascii="Times New Roman" w:eastAsia="Calibri" w:hAnsi="Times New Roman" w:cs="Times New Roman"/>
          <w:sz w:val="24"/>
          <w:szCs w:val="24"/>
          <w:lang w:val="en-ZA"/>
        </w:rPr>
        <w:t>any form of fraud and bribery</w:t>
      </w:r>
      <w:r w:rsidRPr="008D2FF3">
        <w:rPr>
          <w:rFonts w:ascii="Times New Roman" w:eastAsia="Calibri" w:hAnsi="Times New Roman" w:cs="Times New Roman"/>
          <w:sz w:val="24"/>
          <w:szCs w:val="24"/>
          <w:lang w:val="en-ZA"/>
        </w:rPr>
        <w:t xml:space="preserve"> on his part</w:t>
      </w:r>
      <w:r w:rsidR="00145F79" w:rsidRPr="008D2FF3">
        <w:rPr>
          <w:rFonts w:ascii="Times New Roman" w:eastAsia="Calibri" w:hAnsi="Times New Roman" w:cs="Times New Roman"/>
          <w:sz w:val="24"/>
          <w:szCs w:val="24"/>
          <w:lang w:val="en-ZA"/>
        </w:rPr>
        <w:t>.</w:t>
      </w:r>
    </w:p>
    <w:p w:rsidR="00091BCE" w:rsidRPr="008D2FF3" w:rsidRDefault="00091BCE" w:rsidP="00F87943">
      <w:pPr>
        <w:spacing w:after="0" w:line="240" w:lineRule="auto"/>
        <w:ind w:firstLine="1134"/>
        <w:jc w:val="both"/>
        <w:rPr>
          <w:rFonts w:ascii="Times New Roman" w:eastAsia="Calibri" w:hAnsi="Times New Roman" w:cs="Times New Roman"/>
          <w:sz w:val="24"/>
          <w:szCs w:val="24"/>
          <w:lang w:val="en-ZA"/>
        </w:rPr>
      </w:pPr>
    </w:p>
    <w:p w:rsidR="00145F79" w:rsidRPr="008D2FF3" w:rsidRDefault="00A10C83" w:rsidP="00EA7066">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T</w:t>
      </w:r>
      <w:r w:rsidR="00145F79" w:rsidRPr="008D2FF3">
        <w:rPr>
          <w:rFonts w:ascii="Times New Roman" w:eastAsia="Calibri" w:hAnsi="Times New Roman" w:cs="Times New Roman"/>
          <w:sz w:val="24"/>
          <w:szCs w:val="24"/>
          <w:lang w:val="en-ZA"/>
        </w:rPr>
        <w:t>he court found the appellant liable to the respondent for the guarante</w:t>
      </w:r>
      <w:r w:rsidR="006E1E72" w:rsidRPr="008D2FF3">
        <w:rPr>
          <w:rFonts w:ascii="Times New Roman" w:eastAsia="Calibri" w:hAnsi="Times New Roman" w:cs="Times New Roman"/>
          <w:sz w:val="24"/>
          <w:szCs w:val="24"/>
          <w:lang w:val="en-ZA"/>
        </w:rPr>
        <w:t xml:space="preserve">es which were issued by </w:t>
      </w:r>
      <w:r w:rsidR="00145F79" w:rsidRPr="008D2FF3">
        <w:rPr>
          <w:rFonts w:ascii="Times New Roman" w:eastAsia="Calibri" w:hAnsi="Times New Roman" w:cs="Times New Roman"/>
          <w:sz w:val="24"/>
          <w:szCs w:val="24"/>
          <w:lang w:val="en-ZA"/>
        </w:rPr>
        <w:t>Mugwara in respect of Wedzera’s indebtedness. The appellant was thus ordered</w:t>
      </w:r>
      <w:r w:rsidR="00F521AC" w:rsidRPr="008D2FF3">
        <w:rPr>
          <w:rFonts w:ascii="Times New Roman" w:eastAsia="Calibri" w:hAnsi="Times New Roman" w:cs="Times New Roman"/>
          <w:sz w:val="24"/>
          <w:szCs w:val="24"/>
          <w:lang w:val="en-ZA"/>
        </w:rPr>
        <w:t xml:space="preserve"> to pay the respondent the sum of</w:t>
      </w:r>
      <w:r w:rsidR="00145F79" w:rsidRPr="008D2FF3">
        <w:rPr>
          <w:rFonts w:ascii="Times New Roman" w:eastAsia="Calibri" w:hAnsi="Times New Roman" w:cs="Times New Roman"/>
          <w:sz w:val="24"/>
          <w:szCs w:val="24"/>
          <w:lang w:val="en-ZA"/>
        </w:rPr>
        <w:t xml:space="preserve"> US$847 847.65, or the r</w:t>
      </w:r>
      <w:r w:rsidR="00F521AC" w:rsidRPr="008D2FF3">
        <w:rPr>
          <w:rFonts w:ascii="Times New Roman" w:eastAsia="Calibri" w:hAnsi="Times New Roman" w:cs="Times New Roman"/>
          <w:sz w:val="24"/>
          <w:szCs w:val="24"/>
          <w:lang w:val="en-ZA"/>
        </w:rPr>
        <w:t>emaining amount after payment was</w:t>
      </w:r>
      <w:r w:rsidR="00145F79" w:rsidRPr="008D2FF3">
        <w:rPr>
          <w:rFonts w:ascii="Times New Roman" w:eastAsia="Calibri" w:hAnsi="Times New Roman" w:cs="Times New Roman"/>
          <w:sz w:val="24"/>
          <w:szCs w:val="24"/>
          <w:lang w:val="en-ZA"/>
        </w:rPr>
        <w:t xml:space="preserve"> made by Wedzera, together with costs of suit and interest at the prescribed rate from the date of the granting of the judgment to the date of payment. </w:t>
      </w:r>
    </w:p>
    <w:p w:rsidR="00091BCE" w:rsidRPr="008D2FF3" w:rsidRDefault="00091BCE" w:rsidP="00F87943">
      <w:pPr>
        <w:spacing w:after="0" w:line="240" w:lineRule="auto"/>
        <w:ind w:firstLine="1134"/>
        <w:jc w:val="both"/>
        <w:rPr>
          <w:rFonts w:ascii="Times New Roman" w:eastAsia="Calibri" w:hAnsi="Times New Roman" w:cs="Times New Roman"/>
          <w:sz w:val="24"/>
          <w:szCs w:val="24"/>
          <w:lang w:val="en-ZA"/>
        </w:rPr>
      </w:pPr>
    </w:p>
    <w:p w:rsidR="00D56B70" w:rsidRPr="008D2FF3" w:rsidRDefault="00D56B70" w:rsidP="00D56B70">
      <w:pPr>
        <w:spacing w:before="240" w:after="0" w:line="480" w:lineRule="auto"/>
        <w:jc w:val="both"/>
        <w:rPr>
          <w:rFonts w:ascii="Times New Roman" w:eastAsia="Calibri" w:hAnsi="Times New Roman" w:cs="Times New Roman"/>
          <w:b/>
          <w:sz w:val="24"/>
          <w:szCs w:val="24"/>
          <w:lang w:val="en-ZA"/>
        </w:rPr>
      </w:pPr>
      <w:r w:rsidRPr="008D2FF3">
        <w:rPr>
          <w:rFonts w:ascii="Times New Roman" w:eastAsia="Calibri" w:hAnsi="Times New Roman" w:cs="Times New Roman"/>
          <w:b/>
          <w:sz w:val="24"/>
          <w:szCs w:val="24"/>
          <w:lang w:val="en-ZA"/>
        </w:rPr>
        <w:t xml:space="preserve">PROCEEDINGS </w:t>
      </w:r>
      <w:r w:rsidR="001562BD" w:rsidRPr="008D2FF3">
        <w:rPr>
          <w:rFonts w:ascii="Times New Roman" w:eastAsia="Calibri" w:hAnsi="Times New Roman" w:cs="Times New Roman"/>
          <w:b/>
          <w:sz w:val="24"/>
          <w:szCs w:val="24"/>
          <w:lang w:val="en-ZA"/>
        </w:rPr>
        <w:t>O</w:t>
      </w:r>
      <w:r w:rsidRPr="008D2FF3">
        <w:rPr>
          <w:rFonts w:ascii="Times New Roman" w:eastAsia="Calibri" w:hAnsi="Times New Roman" w:cs="Times New Roman"/>
          <w:b/>
          <w:sz w:val="24"/>
          <w:szCs w:val="24"/>
          <w:lang w:val="en-ZA"/>
        </w:rPr>
        <w:t>N APPEAL</w:t>
      </w:r>
    </w:p>
    <w:p w:rsidR="008C2D38" w:rsidRPr="008D2FF3" w:rsidRDefault="00795FD2" w:rsidP="00DE3A47">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Aggrieved by the findings of 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the appellant not</w:t>
      </w:r>
      <w:r w:rsidR="008C2D38" w:rsidRPr="008D2FF3">
        <w:rPr>
          <w:rFonts w:ascii="Times New Roman" w:eastAsia="Calibri" w:hAnsi="Times New Roman" w:cs="Times New Roman"/>
          <w:sz w:val="24"/>
          <w:szCs w:val="24"/>
          <w:lang w:val="en-ZA"/>
        </w:rPr>
        <w:t xml:space="preserve">ed this appeal on the basis of the following grounds of appeal: </w:t>
      </w:r>
    </w:p>
    <w:p w:rsidR="008C2D38" w:rsidRPr="008D2FF3" w:rsidRDefault="008C2D38" w:rsidP="001562BD">
      <w:pPr>
        <w:pStyle w:val="ListParagraph"/>
        <w:numPr>
          <w:ilvl w:val="0"/>
          <w:numId w:val="13"/>
        </w:numPr>
        <w:spacing w:after="0" w:line="480" w:lineRule="auto"/>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Having found as it did that there was no conclusive evidence to establish that one Francis Mugwara had authority to issue the two guarantees relied upon by the </w:t>
      </w:r>
      <w:r w:rsidR="00AA5B07" w:rsidRPr="008D2FF3">
        <w:rPr>
          <w:rFonts w:ascii="Times New Roman" w:eastAsia="Calibri" w:hAnsi="Times New Roman" w:cs="Times New Roman"/>
          <w:sz w:val="24"/>
          <w:szCs w:val="24"/>
          <w:lang w:val="en-ZA"/>
        </w:rPr>
        <w:lastRenderedPageBreak/>
        <w:t>r</w:t>
      </w:r>
      <w:r w:rsidRPr="008D2FF3">
        <w:rPr>
          <w:rFonts w:ascii="Times New Roman" w:eastAsia="Calibri" w:hAnsi="Times New Roman" w:cs="Times New Roman"/>
          <w:sz w:val="24"/>
          <w:szCs w:val="24"/>
          <w:lang w:val="en-ZA"/>
        </w:rPr>
        <w:t>espondent on his si</w:t>
      </w:r>
      <w:r w:rsidR="004E2362" w:rsidRPr="008D2FF3">
        <w:rPr>
          <w:rFonts w:ascii="Times New Roman" w:eastAsia="Calibri" w:hAnsi="Times New Roman" w:cs="Times New Roman"/>
          <w:sz w:val="24"/>
          <w:szCs w:val="24"/>
          <w:lang w:val="en-ZA"/>
        </w:rPr>
        <w:t>n</w:t>
      </w:r>
      <w:r w:rsidRPr="008D2FF3">
        <w:rPr>
          <w:rFonts w:ascii="Times New Roman" w:eastAsia="Calibri" w:hAnsi="Times New Roman" w:cs="Times New Roman"/>
          <w:sz w:val="24"/>
          <w:szCs w:val="24"/>
          <w:lang w:val="en-ZA"/>
        </w:rPr>
        <w:t xml:space="preserve">gle signature, 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erred in law in placing a further</w:t>
      </w:r>
      <w:r w:rsidR="00537A52" w:rsidRPr="008D2FF3">
        <w:rPr>
          <w:rFonts w:ascii="Times New Roman" w:eastAsia="Calibri" w:hAnsi="Times New Roman" w:cs="Times New Roman"/>
          <w:sz w:val="24"/>
          <w:szCs w:val="24"/>
          <w:lang w:val="en-ZA"/>
        </w:rPr>
        <w:t xml:space="preserve"> negative onus of proof on the a</w:t>
      </w:r>
      <w:r w:rsidRPr="008D2FF3">
        <w:rPr>
          <w:rFonts w:ascii="Times New Roman" w:eastAsia="Calibri" w:hAnsi="Times New Roman" w:cs="Times New Roman"/>
          <w:sz w:val="24"/>
          <w:szCs w:val="24"/>
          <w:lang w:val="en-ZA"/>
        </w:rPr>
        <w:t xml:space="preserve">ppellant </w:t>
      </w:r>
      <w:r w:rsidR="00184FED" w:rsidRPr="008D2FF3">
        <w:rPr>
          <w:rFonts w:ascii="Times New Roman" w:eastAsia="Calibri" w:hAnsi="Times New Roman" w:cs="Times New Roman"/>
          <w:sz w:val="24"/>
          <w:szCs w:val="24"/>
          <w:lang w:val="en-ZA"/>
        </w:rPr>
        <w:t>to establish that one Francis Mugwara had no such authority.</w:t>
      </w:r>
    </w:p>
    <w:p w:rsidR="00184FED" w:rsidRPr="008D2FF3" w:rsidRDefault="00184FED" w:rsidP="00F87943">
      <w:pPr>
        <w:pStyle w:val="ListParagraph"/>
        <w:numPr>
          <w:ilvl w:val="0"/>
          <w:numId w:val="13"/>
        </w:numPr>
        <w:spacing w:after="0" w:line="480" w:lineRule="auto"/>
        <w:ind w:hanging="357"/>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Having found as it did that there was no conclusive evidence to establish that one Francis Mugwara had authority to issue the two guarantees relied upon by the </w:t>
      </w:r>
      <w:r w:rsidR="00AA5B07" w:rsidRPr="008D2FF3">
        <w:rPr>
          <w:rFonts w:ascii="Times New Roman" w:eastAsia="Calibri" w:hAnsi="Times New Roman" w:cs="Times New Roman"/>
          <w:sz w:val="24"/>
          <w:szCs w:val="24"/>
          <w:lang w:val="en-ZA"/>
        </w:rPr>
        <w:t>r</w:t>
      </w:r>
      <w:r w:rsidRPr="008D2FF3">
        <w:rPr>
          <w:rFonts w:ascii="Times New Roman" w:eastAsia="Calibri" w:hAnsi="Times New Roman" w:cs="Times New Roman"/>
          <w:sz w:val="24"/>
          <w:szCs w:val="24"/>
          <w:lang w:val="en-ZA"/>
        </w:rPr>
        <w:t xml:space="preserve">espondent on his single signature, 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erred and misdirected itself on the facts and in law in finding as it did that Francis Mugwara had actual and/or implied authority to issue the two guarantees relied upon </w:t>
      </w:r>
      <w:r w:rsidR="004E2362" w:rsidRPr="008D2FF3">
        <w:rPr>
          <w:rFonts w:ascii="Times New Roman" w:eastAsia="Calibri" w:hAnsi="Times New Roman" w:cs="Times New Roman"/>
          <w:sz w:val="24"/>
          <w:szCs w:val="24"/>
          <w:lang w:val="en-ZA"/>
        </w:rPr>
        <w:t>b</w:t>
      </w:r>
      <w:r w:rsidR="00537A52" w:rsidRPr="008D2FF3">
        <w:rPr>
          <w:rFonts w:ascii="Times New Roman" w:eastAsia="Calibri" w:hAnsi="Times New Roman" w:cs="Times New Roman"/>
          <w:sz w:val="24"/>
          <w:szCs w:val="24"/>
          <w:lang w:val="en-ZA"/>
        </w:rPr>
        <w:t>y the r</w:t>
      </w:r>
      <w:r w:rsidRPr="008D2FF3">
        <w:rPr>
          <w:rFonts w:ascii="Times New Roman" w:eastAsia="Calibri" w:hAnsi="Times New Roman" w:cs="Times New Roman"/>
          <w:sz w:val="24"/>
          <w:szCs w:val="24"/>
          <w:lang w:val="en-ZA"/>
        </w:rPr>
        <w:t xml:space="preserve">espondent in its cause of action. </w:t>
      </w:r>
    </w:p>
    <w:p w:rsidR="00184FED" w:rsidRPr="008D2FF3" w:rsidRDefault="00184FED" w:rsidP="00F87943">
      <w:pPr>
        <w:pStyle w:val="ListParagraph"/>
        <w:numPr>
          <w:ilvl w:val="0"/>
          <w:numId w:val="13"/>
        </w:numPr>
        <w:spacing w:after="0" w:line="480" w:lineRule="auto"/>
        <w:ind w:hanging="357"/>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erred and misdirected itself in law in finding the </w:t>
      </w:r>
      <w:r w:rsidR="00AA5B07" w:rsidRPr="008D2FF3">
        <w:rPr>
          <w:rFonts w:ascii="Times New Roman" w:eastAsia="Calibri" w:hAnsi="Times New Roman" w:cs="Times New Roman"/>
          <w:sz w:val="24"/>
          <w:szCs w:val="24"/>
          <w:lang w:val="en-ZA"/>
        </w:rPr>
        <w:t>a</w:t>
      </w:r>
      <w:r w:rsidRPr="008D2FF3">
        <w:rPr>
          <w:rFonts w:ascii="Times New Roman" w:eastAsia="Calibri" w:hAnsi="Times New Roman" w:cs="Times New Roman"/>
          <w:sz w:val="24"/>
          <w:szCs w:val="24"/>
          <w:lang w:val="en-ZA"/>
        </w:rPr>
        <w:t xml:space="preserve">ppellant liable to the </w:t>
      </w:r>
      <w:r w:rsidR="00AA5B07" w:rsidRPr="008D2FF3">
        <w:rPr>
          <w:rFonts w:ascii="Times New Roman" w:eastAsia="Calibri" w:hAnsi="Times New Roman" w:cs="Times New Roman"/>
          <w:sz w:val="24"/>
          <w:szCs w:val="24"/>
          <w:lang w:val="en-ZA"/>
        </w:rPr>
        <w:t>r</w:t>
      </w:r>
      <w:r w:rsidRPr="008D2FF3">
        <w:rPr>
          <w:rFonts w:ascii="Times New Roman" w:eastAsia="Calibri" w:hAnsi="Times New Roman" w:cs="Times New Roman"/>
          <w:sz w:val="24"/>
          <w:szCs w:val="24"/>
          <w:lang w:val="en-ZA"/>
        </w:rPr>
        <w:t>espondent on the basis of ostensible a</w:t>
      </w:r>
      <w:r w:rsidR="00537A52" w:rsidRPr="008D2FF3">
        <w:rPr>
          <w:rFonts w:ascii="Times New Roman" w:eastAsia="Calibri" w:hAnsi="Times New Roman" w:cs="Times New Roman"/>
          <w:sz w:val="24"/>
          <w:szCs w:val="24"/>
          <w:lang w:val="en-ZA"/>
        </w:rPr>
        <w:t>uthority when such was not plea</w:t>
      </w:r>
      <w:r w:rsidR="007C3D28" w:rsidRPr="008D2FF3">
        <w:rPr>
          <w:rFonts w:ascii="Times New Roman" w:eastAsia="Calibri" w:hAnsi="Times New Roman" w:cs="Times New Roman"/>
          <w:sz w:val="24"/>
          <w:szCs w:val="24"/>
          <w:lang w:val="en-ZA"/>
        </w:rPr>
        <w:t>d</w:t>
      </w:r>
      <w:r w:rsidR="00537A52" w:rsidRPr="008D2FF3">
        <w:rPr>
          <w:rFonts w:ascii="Times New Roman" w:eastAsia="Calibri" w:hAnsi="Times New Roman" w:cs="Times New Roman"/>
          <w:sz w:val="24"/>
          <w:szCs w:val="24"/>
          <w:lang w:val="en-ZA"/>
        </w:rPr>
        <w:t>ed by the r</w:t>
      </w:r>
      <w:r w:rsidRPr="008D2FF3">
        <w:rPr>
          <w:rFonts w:ascii="Times New Roman" w:eastAsia="Calibri" w:hAnsi="Times New Roman" w:cs="Times New Roman"/>
          <w:sz w:val="24"/>
          <w:szCs w:val="24"/>
          <w:lang w:val="en-ZA"/>
        </w:rPr>
        <w:t xml:space="preserve">espondent in the Summons and Declaration. </w:t>
      </w:r>
    </w:p>
    <w:p w:rsidR="00184FED" w:rsidRPr="008D2FF3" w:rsidRDefault="00184FED" w:rsidP="00F87943">
      <w:pPr>
        <w:pStyle w:val="ListParagraph"/>
        <w:numPr>
          <w:ilvl w:val="0"/>
          <w:numId w:val="13"/>
        </w:numPr>
        <w:spacing w:after="0" w:line="480" w:lineRule="auto"/>
        <w:ind w:hanging="357"/>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grossly erred and misdirected itself on the facts in finding as it did or must be taken to have done that </w:t>
      </w:r>
      <w:r w:rsidR="00AA5B07" w:rsidRPr="008D2FF3">
        <w:rPr>
          <w:rFonts w:ascii="Times New Roman" w:eastAsia="Calibri" w:hAnsi="Times New Roman" w:cs="Times New Roman"/>
          <w:sz w:val="24"/>
          <w:szCs w:val="24"/>
          <w:lang w:val="en-ZA"/>
        </w:rPr>
        <w:t>a</w:t>
      </w:r>
      <w:r w:rsidRPr="008D2FF3">
        <w:rPr>
          <w:rFonts w:ascii="Times New Roman" w:eastAsia="Calibri" w:hAnsi="Times New Roman" w:cs="Times New Roman"/>
          <w:sz w:val="24"/>
          <w:szCs w:val="24"/>
          <w:lang w:val="en-ZA"/>
        </w:rPr>
        <w:t xml:space="preserve">ppellant represented to third parties in particular to the </w:t>
      </w:r>
      <w:r w:rsidR="00AA5B07" w:rsidRPr="008D2FF3">
        <w:rPr>
          <w:rFonts w:ascii="Times New Roman" w:eastAsia="Calibri" w:hAnsi="Times New Roman" w:cs="Times New Roman"/>
          <w:sz w:val="24"/>
          <w:szCs w:val="24"/>
          <w:lang w:val="en-ZA"/>
        </w:rPr>
        <w:t>r</w:t>
      </w:r>
      <w:r w:rsidRPr="008D2FF3">
        <w:rPr>
          <w:rFonts w:ascii="Times New Roman" w:eastAsia="Calibri" w:hAnsi="Times New Roman" w:cs="Times New Roman"/>
          <w:sz w:val="24"/>
          <w:szCs w:val="24"/>
          <w:lang w:val="en-ZA"/>
        </w:rPr>
        <w:t>espondent that one Francis Mugwara had a</w:t>
      </w:r>
      <w:r w:rsidR="00EA7470" w:rsidRPr="008D2FF3">
        <w:rPr>
          <w:rFonts w:ascii="Times New Roman" w:eastAsia="Calibri" w:hAnsi="Times New Roman" w:cs="Times New Roman"/>
          <w:sz w:val="24"/>
          <w:szCs w:val="24"/>
          <w:lang w:val="en-ZA"/>
        </w:rPr>
        <w:t>uthority to issue the guarantees</w:t>
      </w:r>
      <w:r w:rsidR="00537A52" w:rsidRPr="008D2FF3">
        <w:rPr>
          <w:rFonts w:ascii="Times New Roman" w:eastAsia="Calibri" w:hAnsi="Times New Roman" w:cs="Times New Roman"/>
          <w:sz w:val="24"/>
          <w:szCs w:val="24"/>
          <w:lang w:val="en-ZA"/>
        </w:rPr>
        <w:t xml:space="preserve"> relied upon by the r</w:t>
      </w:r>
      <w:r w:rsidRPr="008D2FF3">
        <w:rPr>
          <w:rFonts w:ascii="Times New Roman" w:eastAsia="Calibri" w:hAnsi="Times New Roman" w:cs="Times New Roman"/>
          <w:sz w:val="24"/>
          <w:szCs w:val="24"/>
          <w:lang w:val="en-ZA"/>
        </w:rPr>
        <w:t xml:space="preserve">espondent in its cause of action. </w:t>
      </w:r>
    </w:p>
    <w:p w:rsidR="00184FED" w:rsidRPr="008D2FF3" w:rsidRDefault="00184FED" w:rsidP="00F87943">
      <w:pPr>
        <w:pStyle w:val="ListParagraph"/>
        <w:numPr>
          <w:ilvl w:val="0"/>
          <w:numId w:val="13"/>
        </w:numPr>
        <w:spacing w:after="0" w:line="480" w:lineRule="auto"/>
        <w:ind w:hanging="357"/>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erred in law in failing to find that the two guarantees relied upon by the </w:t>
      </w:r>
      <w:r w:rsidR="00AA5B07" w:rsidRPr="008D2FF3">
        <w:rPr>
          <w:rFonts w:ascii="Times New Roman" w:eastAsia="Calibri" w:hAnsi="Times New Roman" w:cs="Times New Roman"/>
          <w:sz w:val="24"/>
          <w:szCs w:val="24"/>
          <w:lang w:val="en-ZA"/>
        </w:rPr>
        <w:t>r</w:t>
      </w:r>
      <w:r w:rsidRPr="008D2FF3">
        <w:rPr>
          <w:rFonts w:ascii="Times New Roman" w:eastAsia="Calibri" w:hAnsi="Times New Roman" w:cs="Times New Roman"/>
          <w:sz w:val="24"/>
          <w:szCs w:val="24"/>
          <w:lang w:val="en-ZA"/>
        </w:rPr>
        <w:t xml:space="preserve">espondent were fraudulently procured and thereafter tendered to the </w:t>
      </w:r>
      <w:r w:rsidR="00AA5B07" w:rsidRPr="008D2FF3">
        <w:rPr>
          <w:rFonts w:ascii="Times New Roman" w:eastAsia="Calibri" w:hAnsi="Times New Roman" w:cs="Times New Roman"/>
          <w:sz w:val="24"/>
          <w:szCs w:val="24"/>
          <w:lang w:val="en-ZA"/>
        </w:rPr>
        <w:t>r</w:t>
      </w:r>
      <w:r w:rsidRPr="008D2FF3">
        <w:rPr>
          <w:rFonts w:ascii="Times New Roman" w:eastAsia="Calibri" w:hAnsi="Times New Roman" w:cs="Times New Roman"/>
          <w:sz w:val="24"/>
          <w:szCs w:val="24"/>
          <w:lang w:val="en-ZA"/>
        </w:rPr>
        <w:t>espondent by Wedzera Petroleum (Private) Limited and as such no liability could flow from such fraudulent instruments.</w:t>
      </w:r>
    </w:p>
    <w:p w:rsidR="00184FED" w:rsidRPr="008D2FF3" w:rsidRDefault="00184FED" w:rsidP="00F87943">
      <w:pPr>
        <w:pStyle w:val="ListParagraph"/>
        <w:numPr>
          <w:ilvl w:val="0"/>
          <w:numId w:val="13"/>
        </w:numPr>
        <w:spacing w:after="0" w:line="480" w:lineRule="auto"/>
        <w:ind w:hanging="357"/>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erred on the facts and in law in finding as it did that the </w:t>
      </w:r>
      <w:r w:rsidR="00AA5B07" w:rsidRPr="008D2FF3">
        <w:rPr>
          <w:rFonts w:ascii="Times New Roman" w:eastAsia="Calibri" w:hAnsi="Times New Roman" w:cs="Times New Roman"/>
          <w:sz w:val="24"/>
          <w:szCs w:val="24"/>
          <w:lang w:val="en-ZA"/>
        </w:rPr>
        <w:t>r</w:t>
      </w:r>
      <w:r w:rsidRPr="008D2FF3">
        <w:rPr>
          <w:rFonts w:ascii="Times New Roman" w:eastAsia="Calibri" w:hAnsi="Times New Roman" w:cs="Times New Roman"/>
          <w:sz w:val="24"/>
          <w:szCs w:val="24"/>
          <w:lang w:val="en-ZA"/>
        </w:rPr>
        <w:t xml:space="preserve">espondent had acted diligently in accepting the two guarantees tendered to it by Wedzera Petroleum (Private) Limited in the absence, inter alia, of any facility between the </w:t>
      </w:r>
      <w:r w:rsidR="00AA5B07" w:rsidRPr="008D2FF3">
        <w:rPr>
          <w:rFonts w:ascii="Times New Roman" w:eastAsia="Calibri" w:hAnsi="Times New Roman" w:cs="Times New Roman"/>
          <w:sz w:val="24"/>
          <w:szCs w:val="24"/>
          <w:lang w:val="en-ZA"/>
        </w:rPr>
        <w:t>a</w:t>
      </w:r>
      <w:r w:rsidRPr="008D2FF3">
        <w:rPr>
          <w:rFonts w:ascii="Times New Roman" w:eastAsia="Calibri" w:hAnsi="Times New Roman" w:cs="Times New Roman"/>
          <w:sz w:val="24"/>
          <w:szCs w:val="24"/>
          <w:lang w:val="en-ZA"/>
        </w:rPr>
        <w:t>ppellant and Wedzera Petroleum (Pvt) Ltd.</w:t>
      </w:r>
    </w:p>
    <w:p w:rsidR="00F912CF" w:rsidRPr="008D2FF3" w:rsidRDefault="00F912CF" w:rsidP="00F87943">
      <w:pPr>
        <w:pStyle w:val="ListParagraph"/>
        <w:numPr>
          <w:ilvl w:val="0"/>
          <w:numId w:val="13"/>
        </w:numPr>
        <w:spacing w:after="0" w:line="480" w:lineRule="auto"/>
        <w:ind w:hanging="357"/>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lastRenderedPageBreak/>
        <w:t xml:space="preserve">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erred on the facts and in law in failing to find that the conduct of Francis Mugwara in </w:t>
      </w:r>
      <w:r w:rsidR="002D4974" w:rsidRPr="008D2FF3">
        <w:rPr>
          <w:rFonts w:ascii="Times New Roman" w:eastAsia="Calibri" w:hAnsi="Times New Roman" w:cs="Times New Roman"/>
          <w:sz w:val="24"/>
          <w:szCs w:val="24"/>
          <w:lang w:val="en-ZA"/>
        </w:rPr>
        <w:t>purporting</w:t>
      </w:r>
      <w:r w:rsidRPr="008D2FF3">
        <w:rPr>
          <w:rFonts w:ascii="Times New Roman" w:eastAsia="Calibri" w:hAnsi="Times New Roman" w:cs="Times New Roman"/>
          <w:sz w:val="24"/>
          <w:szCs w:val="24"/>
          <w:lang w:val="en-ZA"/>
        </w:rPr>
        <w:t xml:space="preserve"> to issue the two guarantees in the absence, inter alia, of any facility agreement between the </w:t>
      </w:r>
      <w:r w:rsidR="00AA5B07" w:rsidRPr="008D2FF3">
        <w:rPr>
          <w:rFonts w:ascii="Times New Roman" w:eastAsia="Calibri" w:hAnsi="Times New Roman" w:cs="Times New Roman"/>
          <w:sz w:val="24"/>
          <w:szCs w:val="24"/>
          <w:lang w:val="en-ZA"/>
        </w:rPr>
        <w:t>a</w:t>
      </w:r>
      <w:r w:rsidRPr="008D2FF3">
        <w:rPr>
          <w:rFonts w:ascii="Times New Roman" w:eastAsia="Calibri" w:hAnsi="Times New Roman" w:cs="Times New Roman"/>
          <w:sz w:val="24"/>
          <w:szCs w:val="24"/>
          <w:lang w:val="en-ZA"/>
        </w:rPr>
        <w:t xml:space="preserve">ppellant and Wedzera Petroleum (Pvt) Ltd and/or the </w:t>
      </w:r>
      <w:r w:rsidR="00AA5B07" w:rsidRPr="008D2FF3">
        <w:rPr>
          <w:rFonts w:ascii="Times New Roman" w:eastAsia="Calibri" w:hAnsi="Times New Roman" w:cs="Times New Roman"/>
          <w:sz w:val="24"/>
          <w:szCs w:val="24"/>
          <w:lang w:val="en-ZA"/>
        </w:rPr>
        <w:t>r</w:t>
      </w:r>
      <w:r w:rsidRPr="008D2FF3">
        <w:rPr>
          <w:rFonts w:ascii="Times New Roman" w:eastAsia="Calibri" w:hAnsi="Times New Roman" w:cs="Times New Roman"/>
          <w:sz w:val="24"/>
          <w:szCs w:val="24"/>
          <w:lang w:val="en-ZA"/>
        </w:rPr>
        <w:t xml:space="preserve">espondent not only offended the internal processes of the </w:t>
      </w:r>
      <w:r w:rsidR="00AA5B07" w:rsidRPr="008D2FF3">
        <w:rPr>
          <w:rFonts w:ascii="Times New Roman" w:eastAsia="Calibri" w:hAnsi="Times New Roman" w:cs="Times New Roman"/>
          <w:sz w:val="24"/>
          <w:szCs w:val="24"/>
          <w:lang w:val="en-ZA"/>
        </w:rPr>
        <w:t>a</w:t>
      </w:r>
      <w:r w:rsidRPr="008D2FF3">
        <w:rPr>
          <w:rFonts w:ascii="Times New Roman" w:eastAsia="Calibri" w:hAnsi="Times New Roman" w:cs="Times New Roman"/>
          <w:sz w:val="24"/>
          <w:szCs w:val="24"/>
          <w:lang w:val="en-ZA"/>
        </w:rPr>
        <w:t>ppellant but also the procedure set out in the Infrastructure Development Bank of Zimbabwe Act [</w:t>
      </w:r>
      <w:r w:rsidRPr="008D2FF3">
        <w:rPr>
          <w:rFonts w:ascii="Times New Roman" w:eastAsia="Calibri" w:hAnsi="Times New Roman" w:cs="Times New Roman"/>
          <w:i/>
          <w:sz w:val="24"/>
          <w:szCs w:val="24"/>
          <w:lang w:val="en-ZA"/>
        </w:rPr>
        <w:t>Chapter 24:14</w:t>
      </w:r>
      <w:r w:rsidRPr="008D2FF3">
        <w:rPr>
          <w:rFonts w:ascii="Times New Roman" w:eastAsia="Calibri" w:hAnsi="Times New Roman" w:cs="Times New Roman"/>
          <w:sz w:val="24"/>
          <w:szCs w:val="24"/>
          <w:lang w:val="en-ZA"/>
        </w:rPr>
        <w:t xml:space="preserve">]. Consequently, 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ought to have found that his conduct was a legal nullity and no liability attached to the </w:t>
      </w:r>
      <w:r w:rsidR="00AA5B07" w:rsidRPr="008D2FF3">
        <w:rPr>
          <w:rFonts w:ascii="Times New Roman" w:eastAsia="Calibri" w:hAnsi="Times New Roman" w:cs="Times New Roman"/>
          <w:sz w:val="24"/>
          <w:szCs w:val="24"/>
          <w:lang w:val="en-ZA"/>
        </w:rPr>
        <w:t>a</w:t>
      </w:r>
      <w:r w:rsidRPr="008D2FF3">
        <w:rPr>
          <w:rFonts w:ascii="Times New Roman" w:eastAsia="Calibri" w:hAnsi="Times New Roman" w:cs="Times New Roman"/>
          <w:sz w:val="24"/>
          <w:szCs w:val="24"/>
          <w:lang w:val="en-ZA"/>
        </w:rPr>
        <w:t>ppellant.</w:t>
      </w:r>
    </w:p>
    <w:p w:rsidR="00C87DA4" w:rsidRPr="008D2FF3" w:rsidRDefault="00F912CF" w:rsidP="00F87943">
      <w:pPr>
        <w:pStyle w:val="ListParagraph"/>
        <w:numPr>
          <w:ilvl w:val="0"/>
          <w:numId w:val="13"/>
        </w:numPr>
        <w:spacing w:after="0" w:line="480" w:lineRule="auto"/>
        <w:ind w:hanging="357"/>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court </w:t>
      </w:r>
      <w:r w:rsidRPr="008D2FF3">
        <w:rPr>
          <w:rFonts w:ascii="Times New Roman" w:eastAsia="Calibri" w:hAnsi="Times New Roman" w:cs="Times New Roman"/>
          <w:i/>
          <w:sz w:val="24"/>
          <w:szCs w:val="24"/>
          <w:lang w:val="en-ZA"/>
        </w:rPr>
        <w:t xml:space="preserve">a quo </w:t>
      </w:r>
      <w:r w:rsidRPr="008D2FF3">
        <w:rPr>
          <w:rFonts w:ascii="Times New Roman" w:eastAsia="Calibri" w:hAnsi="Times New Roman" w:cs="Times New Roman"/>
          <w:sz w:val="24"/>
          <w:szCs w:val="24"/>
          <w:lang w:val="en-ZA"/>
        </w:rPr>
        <w:t xml:space="preserve">erred in law in effectively finding the </w:t>
      </w:r>
      <w:r w:rsidR="00AA5B07" w:rsidRPr="008D2FF3">
        <w:rPr>
          <w:rFonts w:ascii="Times New Roman" w:eastAsia="Calibri" w:hAnsi="Times New Roman" w:cs="Times New Roman"/>
          <w:sz w:val="24"/>
          <w:szCs w:val="24"/>
          <w:lang w:val="en-ZA"/>
        </w:rPr>
        <w:t>a</w:t>
      </w:r>
      <w:r w:rsidRPr="008D2FF3">
        <w:rPr>
          <w:rFonts w:ascii="Times New Roman" w:eastAsia="Calibri" w:hAnsi="Times New Roman" w:cs="Times New Roman"/>
          <w:sz w:val="24"/>
          <w:szCs w:val="24"/>
          <w:lang w:val="en-ZA"/>
        </w:rPr>
        <w:t>ppellant liable on the two guarantees on the basis of the Turquand Rule when the application of such rule is specifically ousted by the provisions of s 30 of the Infrastructure Development Bank of Zimbabwe Act.</w:t>
      </w:r>
    </w:p>
    <w:p w:rsidR="00F87943" w:rsidRPr="008D2FF3" w:rsidRDefault="00F87943" w:rsidP="00F87943">
      <w:pPr>
        <w:pStyle w:val="ListParagraph"/>
        <w:spacing w:after="0" w:line="240" w:lineRule="auto"/>
        <w:ind w:left="786"/>
        <w:jc w:val="both"/>
        <w:rPr>
          <w:rFonts w:ascii="Times New Roman" w:eastAsia="Calibri" w:hAnsi="Times New Roman" w:cs="Times New Roman"/>
          <w:sz w:val="24"/>
          <w:szCs w:val="24"/>
          <w:lang w:val="en-ZA"/>
        </w:rPr>
      </w:pPr>
    </w:p>
    <w:p w:rsidR="00C87DA4" w:rsidRPr="008D2FF3" w:rsidRDefault="00C87DA4" w:rsidP="001562BD">
      <w:pPr>
        <w:spacing w:before="240" w:after="0" w:line="480" w:lineRule="auto"/>
        <w:jc w:val="both"/>
        <w:rPr>
          <w:rFonts w:ascii="Times New Roman" w:hAnsi="Times New Roman" w:cs="Times New Roman"/>
          <w:sz w:val="24"/>
          <w:szCs w:val="24"/>
        </w:rPr>
      </w:pPr>
      <w:r w:rsidRPr="008D2FF3">
        <w:rPr>
          <w:rFonts w:ascii="Times New Roman" w:hAnsi="Times New Roman" w:cs="Times New Roman"/>
          <w:sz w:val="24"/>
          <w:szCs w:val="24"/>
        </w:rPr>
        <w:t>In my view it is apparent from the appell</w:t>
      </w:r>
      <w:r w:rsidR="00F521AC" w:rsidRPr="008D2FF3">
        <w:rPr>
          <w:rFonts w:ascii="Times New Roman" w:hAnsi="Times New Roman" w:cs="Times New Roman"/>
          <w:sz w:val="24"/>
          <w:szCs w:val="24"/>
        </w:rPr>
        <w:t>ant’s grounds of appeal that three</w:t>
      </w:r>
      <w:r w:rsidRPr="008D2FF3">
        <w:rPr>
          <w:rFonts w:ascii="Times New Roman" w:hAnsi="Times New Roman" w:cs="Times New Roman"/>
          <w:sz w:val="24"/>
          <w:szCs w:val="24"/>
        </w:rPr>
        <w:t xml:space="preserve"> issues arise for determination.  These are the following:</w:t>
      </w:r>
    </w:p>
    <w:p w:rsidR="00795FD2" w:rsidRPr="008D2FF3" w:rsidRDefault="00795FD2" w:rsidP="003B15F4">
      <w:pPr>
        <w:pStyle w:val="ListParagraph"/>
        <w:numPr>
          <w:ilvl w:val="0"/>
          <w:numId w:val="14"/>
        </w:numPr>
        <w:spacing w:after="0" w:line="480" w:lineRule="auto"/>
        <w:ind w:left="850" w:hanging="424"/>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Whether or not the court </w:t>
      </w:r>
      <w:r w:rsidRPr="008D2FF3">
        <w:rPr>
          <w:rFonts w:ascii="Times New Roman" w:eastAsia="Calibri" w:hAnsi="Times New Roman" w:cs="Times New Roman"/>
          <w:i/>
          <w:sz w:val="24"/>
          <w:szCs w:val="24"/>
          <w:lang w:val="en-ZA"/>
        </w:rPr>
        <w:t>a quo</w:t>
      </w:r>
      <w:r w:rsidR="006E1E72" w:rsidRPr="008D2FF3">
        <w:rPr>
          <w:rFonts w:ascii="Times New Roman" w:eastAsia="Calibri" w:hAnsi="Times New Roman" w:cs="Times New Roman"/>
          <w:sz w:val="24"/>
          <w:szCs w:val="24"/>
          <w:lang w:val="en-ZA"/>
        </w:rPr>
        <w:t xml:space="preserve"> erred in finding that </w:t>
      </w:r>
      <w:r w:rsidRPr="008D2FF3">
        <w:rPr>
          <w:rFonts w:ascii="Times New Roman" w:eastAsia="Calibri" w:hAnsi="Times New Roman" w:cs="Times New Roman"/>
          <w:sz w:val="24"/>
          <w:szCs w:val="24"/>
          <w:lang w:val="en-ZA"/>
        </w:rPr>
        <w:t xml:space="preserve">Mugwara had authority </w:t>
      </w:r>
      <w:r w:rsidR="008C2D38" w:rsidRPr="008D2FF3">
        <w:rPr>
          <w:rFonts w:ascii="Times New Roman" w:eastAsia="Calibri" w:hAnsi="Times New Roman" w:cs="Times New Roman"/>
          <w:sz w:val="24"/>
          <w:szCs w:val="24"/>
          <w:lang w:val="en-ZA"/>
        </w:rPr>
        <w:t>to issue the two guarantees relied upon by the respondent.</w:t>
      </w:r>
    </w:p>
    <w:p w:rsidR="008C2D38" w:rsidRPr="008D2FF3" w:rsidRDefault="008C2D38" w:rsidP="003B15F4">
      <w:pPr>
        <w:pStyle w:val="ListParagraph"/>
        <w:numPr>
          <w:ilvl w:val="0"/>
          <w:numId w:val="14"/>
        </w:numPr>
        <w:spacing w:after="0" w:line="480" w:lineRule="auto"/>
        <w:ind w:left="850" w:hanging="424"/>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Whether or not </w:t>
      </w:r>
      <w:r w:rsidR="004E2362" w:rsidRPr="008D2FF3">
        <w:rPr>
          <w:rFonts w:ascii="Times New Roman" w:eastAsia="Calibri" w:hAnsi="Times New Roman" w:cs="Times New Roman"/>
          <w:sz w:val="24"/>
          <w:szCs w:val="24"/>
          <w:lang w:val="en-ZA"/>
        </w:rPr>
        <w:t xml:space="preserve">the court </w:t>
      </w:r>
      <w:r w:rsidR="004E2362" w:rsidRPr="008D2FF3">
        <w:rPr>
          <w:rFonts w:ascii="Times New Roman" w:eastAsia="Calibri" w:hAnsi="Times New Roman" w:cs="Times New Roman"/>
          <w:i/>
          <w:sz w:val="24"/>
          <w:szCs w:val="24"/>
          <w:lang w:val="en-ZA"/>
        </w:rPr>
        <w:t>a quo</w:t>
      </w:r>
      <w:r w:rsidR="004E2362"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 xml:space="preserve">erred in finding the appellant liable to </w:t>
      </w:r>
      <w:r w:rsidR="00145F79" w:rsidRPr="008D2FF3">
        <w:rPr>
          <w:rFonts w:ascii="Times New Roman" w:eastAsia="Calibri" w:hAnsi="Times New Roman" w:cs="Times New Roman"/>
          <w:sz w:val="24"/>
          <w:szCs w:val="24"/>
          <w:lang w:val="en-ZA"/>
        </w:rPr>
        <w:t xml:space="preserve">pay </w:t>
      </w:r>
      <w:r w:rsidRPr="008D2FF3">
        <w:rPr>
          <w:rFonts w:ascii="Times New Roman" w:eastAsia="Calibri" w:hAnsi="Times New Roman" w:cs="Times New Roman"/>
          <w:sz w:val="24"/>
          <w:szCs w:val="24"/>
          <w:lang w:val="en-ZA"/>
        </w:rPr>
        <w:t>the respondent on the basis of ostens</w:t>
      </w:r>
      <w:r w:rsidR="002D4974" w:rsidRPr="008D2FF3">
        <w:rPr>
          <w:rFonts w:ascii="Times New Roman" w:eastAsia="Calibri" w:hAnsi="Times New Roman" w:cs="Times New Roman"/>
          <w:sz w:val="24"/>
          <w:szCs w:val="24"/>
          <w:lang w:val="en-ZA"/>
        </w:rPr>
        <w:t>ible authority</w:t>
      </w:r>
      <w:r w:rsidR="00C87DA4" w:rsidRPr="008D2FF3">
        <w:rPr>
          <w:rFonts w:ascii="Times New Roman" w:eastAsia="Calibri" w:hAnsi="Times New Roman" w:cs="Times New Roman"/>
          <w:sz w:val="24"/>
          <w:szCs w:val="24"/>
          <w:lang w:val="en-ZA"/>
        </w:rPr>
        <w:t>.</w:t>
      </w:r>
      <w:r w:rsidR="002D4974" w:rsidRPr="008D2FF3">
        <w:rPr>
          <w:rFonts w:ascii="Times New Roman" w:eastAsia="Calibri" w:hAnsi="Times New Roman" w:cs="Times New Roman"/>
          <w:sz w:val="24"/>
          <w:szCs w:val="24"/>
          <w:lang w:val="en-ZA"/>
        </w:rPr>
        <w:t xml:space="preserve"> </w:t>
      </w:r>
    </w:p>
    <w:p w:rsidR="003561F2" w:rsidRPr="008D2FF3" w:rsidRDefault="008C2D38" w:rsidP="003B15F4">
      <w:pPr>
        <w:pStyle w:val="ListParagraph"/>
        <w:numPr>
          <w:ilvl w:val="0"/>
          <w:numId w:val="14"/>
        </w:numPr>
        <w:spacing w:after="0" w:line="480" w:lineRule="auto"/>
        <w:ind w:left="850" w:hanging="424"/>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Whether or not the appellant was liable to pay the respondent on</w:t>
      </w:r>
      <w:r w:rsidR="00C87DA4" w:rsidRPr="008D2FF3">
        <w:rPr>
          <w:rFonts w:ascii="Times New Roman" w:eastAsia="Calibri" w:hAnsi="Times New Roman" w:cs="Times New Roman"/>
          <w:sz w:val="24"/>
          <w:szCs w:val="24"/>
          <w:lang w:val="en-ZA"/>
        </w:rPr>
        <w:t xml:space="preserve"> the basis of the Turquand Rule when such was never pleaded by the respondent in its summons and declaration.</w:t>
      </w:r>
      <w:r w:rsidRPr="008D2FF3">
        <w:rPr>
          <w:rFonts w:ascii="Times New Roman" w:eastAsia="Calibri" w:hAnsi="Times New Roman" w:cs="Times New Roman"/>
          <w:sz w:val="24"/>
          <w:szCs w:val="24"/>
          <w:lang w:val="en-ZA"/>
        </w:rPr>
        <w:t xml:space="preserve"> </w:t>
      </w:r>
    </w:p>
    <w:p w:rsidR="00F87943" w:rsidRPr="008D2FF3" w:rsidRDefault="00F87943" w:rsidP="00F87943">
      <w:pPr>
        <w:pStyle w:val="ListParagraph"/>
        <w:spacing w:after="0" w:line="480" w:lineRule="auto"/>
        <w:ind w:left="850"/>
        <w:jc w:val="both"/>
        <w:rPr>
          <w:rFonts w:ascii="Times New Roman" w:eastAsia="Calibri" w:hAnsi="Times New Roman" w:cs="Times New Roman"/>
          <w:sz w:val="24"/>
          <w:szCs w:val="24"/>
          <w:lang w:val="en-ZA"/>
        </w:rPr>
      </w:pPr>
    </w:p>
    <w:p w:rsidR="00C87DA4" w:rsidRPr="008D2FF3" w:rsidRDefault="00EA7470" w:rsidP="002F0612">
      <w:pPr>
        <w:spacing w:before="240" w:after="0" w:line="480" w:lineRule="auto"/>
        <w:ind w:firstLine="851"/>
        <w:jc w:val="both"/>
        <w:rPr>
          <w:rFonts w:ascii="Times New Roman" w:hAnsi="Times New Roman" w:cs="Times New Roman"/>
          <w:sz w:val="24"/>
          <w:szCs w:val="24"/>
        </w:rPr>
      </w:pPr>
      <w:r w:rsidRPr="008D2FF3">
        <w:rPr>
          <w:rFonts w:ascii="Times New Roman" w:hAnsi="Times New Roman" w:cs="Times New Roman"/>
          <w:sz w:val="24"/>
          <w:szCs w:val="24"/>
        </w:rPr>
        <w:t>I will proceed to deal with each of these issues</w:t>
      </w:r>
      <w:r w:rsidR="00C87DA4" w:rsidRPr="008D2FF3">
        <w:rPr>
          <w:rFonts w:ascii="Times New Roman" w:hAnsi="Times New Roman" w:cs="Times New Roman"/>
          <w:sz w:val="24"/>
          <w:szCs w:val="24"/>
        </w:rPr>
        <w:t>.</w:t>
      </w:r>
    </w:p>
    <w:p w:rsidR="00A3467D" w:rsidRPr="008D2FF3" w:rsidRDefault="00C87DA4" w:rsidP="002F0612">
      <w:pPr>
        <w:spacing w:before="240" w:after="0" w:line="480" w:lineRule="auto"/>
        <w:jc w:val="both"/>
        <w:rPr>
          <w:rFonts w:ascii="Times New Roman" w:eastAsia="Calibri" w:hAnsi="Times New Roman" w:cs="Times New Roman"/>
          <w:b/>
          <w:sz w:val="24"/>
          <w:szCs w:val="24"/>
          <w:lang w:val="en-ZA"/>
        </w:rPr>
      </w:pPr>
      <w:r w:rsidRPr="008D2FF3">
        <w:rPr>
          <w:rFonts w:ascii="Times New Roman" w:eastAsia="Calibri" w:hAnsi="Times New Roman" w:cs="Times New Roman"/>
          <w:b/>
          <w:sz w:val="24"/>
          <w:szCs w:val="24"/>
          <w:lang w:val="en-ZA"/>
        </w:rPr>
        <w:lastRenderedPageBreak/>
        <w:t xml:space="preserve">Whether or not the court </w:t>
      </w:r>
      <w:r w:rsidRPr="008D2FF3">
        <w:rPr>
          <w:rFonts w:ascii="Times New Roman" w:eastAsia="Calibri" w:hAnsi="Times New Roman" w:cs="Times New Roman"/>
          <w:b/>
          <w:i/>
          <w:sz w:val="24"/>
          <w:szCs w:val="24"/>
          <w:lang w:val="en-ZA"/>
        </w:rPr>
        <w:t>a quo</w:t>
      </w:r>
      <w:r w:rsidR="006E1E72" w:rsidRPr="008D2FF3">
        <w:rPr>
          <w:rFonts w:ascii="Times New Roman" w:eastAsia="Calibri" w:hAnsi="Times New Roman" w:cs="Times New Roman"/>
          <w:b/>
          <w:sz w:val="24"/>
          <w:szCs w:val="24"/>
          <w:lang w:val="en-ZA"/>
        </w:rPr>
        <w:t xml:space="preserve"> erred in finding that </w:t>
      </w:r>
      <w:r w:rsidRPr="008D2FF3">
        <w:rPr>
          <w:rFonts w:ascii="Times New Roman" w:eastAsia="Calibri" w:hAnsi="Times New Roman" w:cs="Times New Roman"/>
          <w:b/>
          <w:sz w:val="24"/>
          <w:szCs w:val="24"/>
          <w:lang w:val="en-ZA"/>
        </w:rPr>
        <w:t>Mugwara had authority to issue the two guarantees relied upon by the respondent.</w:t>
      </w:r>
    </w:p>
    <w:p w:rsidR="005A1A10" w:rsidRPr="008D2FF3" w:rsidRDefault="009F0380" w:rsidP="002F0612">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w:t>
      </w:r>
      <w:r w:rsidR="006E1E72" w:rsidRPr="008D2FF3">
        <w:rPr>
          <w:rFonts w:ascii="Times New Roman" w:eastAsia="Calibri" w:hAnsi="Times New Roman" w:cs="Times New Roman"/>
          <w:sz w:val="24"/>
          <w:szCs w:val="24"/>
          <w:lang w:val="en-ZA"/>
        </w:rPr>
        <w:t xml:space="preserve">appellant argued that </w:t>
      </w:r>
      <w:r w:rsidR="00F521AC" w:rsidRPr="008D2FF3">
        <w:rPr>
          <w:rFonts w:ascii="Times New Roman" w:eastAsia="Calibri" w:hAnsi="Times New Roman" w:cs="Times New Roman"/>
          <w:sz w:val="24"/>
          <w:szCs w:val="24"/>
          <w:lang w:val="en-ZA"/>
        </w:rPr>
        <w:t>Mu</w:t>
      </w:r>
      <w:r w:rsidRPr="008D2FF3">
        <w:rPr>
          <w:rFonts w:ascii="Times New Roman" w:eastAsia="Calibri" w:hAnsi="Times New Roman" w:cs="Times New Roman"/>
          <w:sz w:val="24"/>
          <w:szCs w:val="24"/>
          <w:lang w:val="en-ZA"/>
        </w:rPr>
        <w:t xml:space="preserve">gwara’s contract of employment did not give him authority to act on behalf of the Bank. </w:t>
      </w:r>
      <w:r w:rsidR="00736216" w:rsidRPr="008D2FF3">
        <w:rPr>
          <w:rFonts w:ascii="Times New Roman" w:eastAsia="Calibri" w:hAnsi="Times New Roman" w:cs="Times New Roman"/>
          <w:sz w:val="24"/>
          <w:szCs w:val="24"/>
          <w:lang w:val="en-ZA"/>
        </w:rPr>
        <w:t>It also submitted</w:t>
      </w:r>
      <w:r w:rsidRPr="008D2FF3">
        <w:rPr>
          <w:rFonts w:ascii="Times New Roman" w:eastAsia="Calibri" w:hAnsi="Times New Roman" w:cs="Times New Roman"/>
          <w:sz w:val="24"/>
          <w:szCs w:val="24"/>
          <w:lang w:val="en-ZA"/>
        </w:rPr>
        <w:t xml:space="preserve">, that 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erred in its factual findings to </w:t>
      </w:r>
      <w:r w:rsidR="005A1A10" w:rsidRPr="008D2FF3">
        <w:rPr>
          <w:rFonts w:ascii="Times New Roman" w:eastAsia="Calibri" w:hAnsi="Times New Roman" w:cs="Times New Roman"/>
          <w:sz w:val="24"/>
          <w:szCs w:val="24"/>
          <w:lang w:val="en-ZA"/>
        </w:rPr>
        <w:t xml:space="preserve">the effect that he </w:t>
      </w:r>
      <w:r w:rsidRPr="008D2FF3">
        <w:rPr>
          <w:rFonts w:ascii="Times New Roman" w:eastAsia="Calibri" w:hAnsi="Times New Roman" w:cs="Times New Roman"/>
          <w:sz w:val="24"/>
          <w:szCs w:val="24"/>
          <w:lang w:val="en-ZA"/>
        </w:rPr>
        <w:t>had implied authority to act on behalf of the appel</w:t>
      </w:r>
      <w:r w:rsidR="005A1A10" w:rsidRPr="008D2FF3">
        <w:rPr>
          <w:rFonts w:ascii="Times New Roman" w:eastAsia="Calibri" w:hAnsi="Times New Roman" w:cs="Times New Roman"/>
          <w:sz w:val="24"/>
          <w:szCs w:val="24"/>
          <w:lang w:val="en-ZA"/>
        </w:rPr>
        <w:t>lant.</w:t>
      </w:r>
    </w:p>
    <w:p w:rsidR="00F87943" w:rsidRPr="008D2FF3" w:rsidRDefault="00F87943" w:rsidP="00F87943">
      <w:pPr>
        <w:spacing w:before="240" w:after="0" w:line="240" w:lineRule="auto"/>
        <w:ind w:firstLine="1134"/>
        <w:jc w:val="both"/>
        <w:rPr>
          <w:rFonts w:ascii="Times New Roman" w:eastAsia="Calibri" w:hAnsi="Times New Roman" w:cs="Times New Roman"/>
          <w:sz w:val="24"/>
          <w:szCs w:val="24"/>
          <w:lang w:val="en-ZA"/>
        </w:rPr>
      </w:pPr>
    </w:p>
    <w:p w:rsidR="009F0380" w:rsidRPr="008D2FF3" w:rsidRDefault="00736216" w:rsidP="00736216">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In order t</w:t>
      </w:r>
      <w:r w:rsidR="009F0380" w:rsidRPr="008D2FF3">
        <w:rPr>
          <w:rFonts w:ascii="Times New Roman" w:eastAsia="Calibri" w:hAnsi="Times New Roman" w:cs="Times New Roman"/>
          <w:sz w:val="24"/>
          <w:szCs w:val="24"/>
          <w:lang w:val="en-ZA"/>
        </w:rPr>
        <w:t>o fully und</w:t>
      </w:r>
      <w:r w:rsidR="005A1A10" w:rsidRPr="008D2FF3">
        <w:rPr>
          <w:rFonts w:ascii="Times New Roman" w:eastAsia="Calibri" w:hAnsi="Times New Roman" w:cs="Times New Roman"/>
          <w:sz w:val="24"/>
          <w:szCs w:val="24"/>
          <w:lang w:val="en-ZA"/>
        </w:rPr>
        <w:t>erstand the authority Mu</w:t>
      </w:r>
      <w:r w:rsidR="009F0380" w:rsidRPr="008D2FF3">
        <w:rPr>
          <w:rFonts w:ascii="Times New Roman" w:eastAsia="Calibri" w:hAnsi="Times New Roman" w:cs="Times New Roman"/>
          <w:sz w:val="24"/>
          <w:szCs w:val="24"/>
          <w:lang w:val="en-ZA"/>
        </w:rPr>
        <w:t>gwara</w:t>
      </w:r>
      <w:r w:rsidR="005A1A10" w:rsidRPr="008D2FF3">
        <w:rPr>
          <w:rFonts w:ascii="Times New Roman" w:eastAsia="Calibri" w:hAnsi="Times New Roman" w:cs="Times New Roman"/>
          <w:sz w:val="24"/>
          <w:szCs w:val="24"/>
          <w:lang w:val="en-ZA"/>
        </w:rPr>
        <w:t xml:space="preserve"> possessed there is need to</w:t>
      </w:r>
      <w:r w:rsidR="009F0380" w:rsidRPr="008D2FF3">
        <w:rPr>
          <w:rFonts w:ascii="Times New Roman" w:eastAsia="Calibri" w:hAnsi="Times New Roman" w:cs="Times New Roman"/>
          <w:sz w:val="24"/>
          <w:szCs w:val="24"/>
          <w:lang w:val="en-ZA"/>
        </w:rPr>
        <w:t xml:space="preserve"> make reference to his key duties in the Bank. </w:t>
      </w:r>
      <w:r w:rsidR="005A1A10" w:rsidRPr="008D2FF3">
        <w:rPr>
          <w:rFonts w:ascii="Times New Roman" w:eastAsia="Calibri" w:hAnsi="Times New Roman" w:cs="Times New Roman"/>
          <w:sz w:val="24"/>
          <w:szCs w:val="24"/>
          <w:lang w:val="en-ZA"/>
        </w:rPr>
        <w:t>Mugwara</w:t>
      </w:r>
      <w:r w:rsidR="0024743B" w:rsidRPr="008D2FF3">
        <w:rPr>
          <w:rFonts w:ascii="Times New Roman" w:eastAsia="Calibri" w:hAnsi="Times New Roman" w:cs="Times New Roman"/>
          <w:sz w:val="24"/>
          <w:szCs w:val="24"/>
          <w:lang w:val="en-ZA"/>
        </w:rPr>
        <w:t xml:space="preserve"> held the title of the </w:t>
      </w:r>
      <w:r w:rsidR="005A1A10" w:rsidRPr="008D2FF3">
        <w:rPr>
          <w:rFonts w:ascii="Times New Roman" w:eastAsia="Calibri" w:hAnsi="Times New Roman" w:cs="Times New Roman"/>
          <w:sz w:val="24"/>
          <w:szCs w:val="24"/>
          <w:lang w:val="en-ZA"/>
        </w:rPr>
        <w:t>‘</w:t>
      </w:r>
      <w:r w:rsidR="0024743B" w:rsidRPr="008D2FF3">
        <w:rPr>
          <w:rFonts w:ascii="Times New Roman" w:eastAsia="Calibri" w:hAnsi="Times New Roman" w:cs="Times New Roman"/>
          <w:sz w:val="24"/>
          <w:szCs w:val="24"/>
          <w:lang w:val="en-ZA"/>
        </w:rPr>
        <w:t>Head of Short Term Loans</w:t>
      </w:r>
      <w:r w:rsidR="005A1A10" w:rsidRPr="008D2FF3">
        <w:rPr>
          <w:rFonts w:ascii="Times New Roman" w:eastAsia="Calibri" w:hAnsi="Times New Roman" w:cs="Times New Roman"/>
          <w:sz w:val="24"/>
          <w:szCs w:val="24"/>
          <w:lang w:val="en-ZA"/>
        </w:rPr>
        <w:t>’</w:t>
      </w:r>
      <w:r w:rsidR="0024743B" w:rsidRPr="008D2FF3">
        <w:rPr>
          <w:rFonts w:ascii="Times New Roman" w:eastAsia="Calibri" w:hAnsi="Times New Roman" w:cs="Times New Roman"/>
          <w:sz w:val="24"/>
          <w:szCs w:val="24"/>
          <w:lang w:val="en-ZA"/>
        </w:rPr>
        <w:t>. Under this title he was the second in charge after the office of the Director of Private Sector Projects as shown from the organogram of the Short Term Loans Unit. A summary of Magwara’</w:t>
      </w:r>
      <w:r w:rsidR="00805868" w:rsidRPr="008D2FF3">
        <w:rPr>
          <w:rFonts w:ascii="Times New Roman" w:eastAsia="Calibri" w:hAnsi="Times New Roman" w:cs="Times New Roman"/>
          <w:sz w:val="24"/>
          <w:szCs w:val="24"/>
          <w:lang w:val="en-ZA"/>
        </w:rPr>
        <w:t>s job was stated</w:t>
      </w:r>
      <w:r w:rsidR="0024743B" w:rsidRPr="008D2FF3">
        <w:rPr>
          <w:rFonts w:ascii="Times New Roman" w:eastAsia="Calibri" w:hAnsi="Times New Roman" w:cs="Times New Roman"/>
          <w:sz w:val="24"/>
          <w:szCs w:val="24"/>
          <w:lang w:val="en-ZA"/>
        </w:rPr>
        <w:t xml:space="preserve"> as:</w:t>
      </w:r>
    </w:p>
    <w:p w:rsidR="0024743B" w:rsidRPr="008D2FF3" w:rsidRDefault="0024743B" w:rsidP="000D13E3">
      <w:pPr>
        <w:spacing w:after="0" w:line="24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“To generate, manage and control the bank’s short term lending portfolio as well as supervision of Regional Offices.”</w:t>
      </w:r>
    </w:p>
    <w:p w:rsidR="005A1A10" w:rsidRPr="008D2FF3" w:rsidRDefault="005A1A10" w:rsidP="00F87943">
      <w:pPr>
        <w:spacing w:after="0" w:line="480" w:lineRule="auto"/>
        <w:jc w:val="both"/>
        <w:rPr>
          <w:rFonts w:ascii="Times New Roman" w:eastAsia="Calibri" w:hAnsi="Times New Roman" w:cs="Times New Roman"/>
          <w:sz w:val="24"/>
          <w:szCs w:val="24"/>
          <w:lang w:val="en-ZA"/>
        </w:rPr>
      </w:pPr>
    </w:p>
    <w:p w:rsidR="00694587" w:rsidRPr="008D2FF3" w:rsidRDefault="0024743B" w:rsidP="00F537B5">
      <w:pPr>
        <w:spacing w:before="240" w:after="0" w:line="48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Among </w:t>
      </w:r>
      <w:r w:rsidR="00383290" w:rsidRPr="008D2FF3">
        <w:rPr>
          <w:rFonts w:ascii="Times New Roman" w:eastAsia="Calibri" w:hAnsi="Times New Roman" w:cs="Times New Roman"/>
          <w:sz w:val="24"/>
          <w:szCs w:val="24"/>
          <w:lang w:val="en-ZA"/>
        </w:rPr>
        <w:t>his</w:t>
      </w:r>
      <w:r w:rsidRPr="008D2FF3">
        <w:rPr>
          <w:rFonts w:ascii="Times New Roman" w:eastAsia="Calibri" w:hAnsi="Times New Roman" w:cs="Times New Roman"/>
          <w:sz w:val="24"/>
          <w:szCs w:val="24"/>
          <w:lang w:val="en-ZA"/>
        </w:rPr>
        <w:t xml:space="preserve"> key task</w:t>
      </w:r>
      <w:r w:rsidR="005A1A10" w:rsidRPr="008D2FF3">
        <w:rPr>
          <w:rFonts w:ascii="Times New Roman" w:eastAsia="Calibri" w:hAnsi="Times New Roman" w:cs="Times New Roman"/>
          <w:sz w:val="24"/>
          <w:szCs w:val="24"/>
          <w:lang w:val="en-ZA"/>
        </w:rPr>
        <w:t>s</w:t>
      </w:r>
      <w:r w:rsidRPr="008D2FF3">
        <w:rPr>
          <w:rFonts w:ascii="Times New Roman" w:eastAsia="Calibri" w:hAnsi="Times New Roman" w:cs="Times New Roman"/>
          <w:sz w:val="24"/>
          <w:szCs w:val="24"/>
          <w:lang w:val="en-ZA"/>
        </w:rPr>
        <w:t xml:space="preserve"> was, </w:t>
      </w:r>
      <w:r w:rsidR="00383290" w:rsidRPr="008D2FF3">
        <w:rPr>
          <w:rFonts w:ascii="Times New Roman" w:eastAsia="Calibri" w:hAnsi="Times New Roman" w:cs="Times New Roman"/>
          <w:sz w:val="24"/>
          <w:szCs w:val="24"/>
          <w:lang w:val="en-ZA"/>
        </w:rPr>
        <w:t>‘</w:t>
      </w:r>
      <w:r w:rsidRPr="008D2FF3">
        <w:rPr>
          <w:rFonts w:ascii="Times New Roman" w:eastAsia="Calibri" w:hAnsi="Times New Roman" w:cs="Times New Roman"/>
          <w:sz w:val="24"/>
          <w:szCs w:val="24"/>
          <w:lang w:val="en-ZA"/>
        </w:rPr>
        <w:t>marketing of bank products to achieve bankable portfolio of clients, disbursements of funds on approved facilities</w:t>
      </w:r>
      <w:r w:rsidR="004D2D7C" w:rsidRPr="008D2FF3">
        <w:rPr>
          <w:rFonts w:ascii="Times New Roman" w:eastAsia="Calibri" w:hAnsi="Times New Roman" w:cs="Times New Roman"/>
          <w:sz w:val="24"/>
          <w:szCs w:val="24"/>
          <w:lang w:val="en-ZA"/>
        </w:rPr>
        <w:t xml:space="preserve"> and</w:t>
      </w:r>
      <w:r w:rsidRPr="008D2FF3">
        <w:rPr>
          <w:rFonts w:ascii="Times New Roman" w:eastAsia="Calibri" w:hAnsi="Times New Roman" w:cs="Times New Roman"/>
          <w:sz w:val="24"/>
          <w:szCs w:val="24"/>
          <w:lang w:val="en-ZA"/>
        </w:rPr>
        <w:t xml:space="preserve"> making presentations to the Private </w:t>
      </w:r>
      <w:r w:rsidR="004D2D7C" w:rsidRPr="008D2FF3">
        <w:rPr>
          <w:rFonts w:ascii="Times New Roman" w:eastAsia="Calibri" w:hAnsi="Times New Roman" w:cs="Times New Roman"/>
          <w:sz w:val="24"/>
          <w:szCs w:val="24"/>
          <w:lang w:val="en-ZA"/>
        </w:rPr>
        <w:t>Sector Projects Committee (PSPC) on projects for approval</w:t>
      </w:r>
      <w:r w:rsidR="00383290" w:rsidRPr="008D2FF3">
        <w:rPr>
          <w:rFonts w:ascii="Times New Roman" w:eastAsia="Calibri" w:hAnsi="Times New Roman" w:cs="Times New Roman"/>
          <w:sz w:val="24"/>
          <w:szCs w:val="24"/>
          <w:lang w:val="en-ZA"/>
        </w:rPr>
        <w:t>’</w:t>
      </w:r>
      <w:r w:rsidR="004D2D7C" w:rsidRPr="008D2FF3">
        <w:rPr>
          <w:rFonts w:ascii="Times New Roman" w:eastAsia="Calibri" w:hAnsi="Times New Roman" w:cs="Times New Roman"/>
          <w:sz w:val="24"/>
          <w:szCs w:val="24"/>
          <w:lang w:val="en-ZA"/>
        </w:rPr>
        <w:t xml:space="preserve">. </w:t>
      </w:r>
    </w:p>
    <w:p w:rsidR="000E37B8" w:rsidRPr="008D2FF3" w:rsidRDefault="000E37B8" w:rsidP="00F87943">
      <w:pPr>
        <w:spacing w:after="0" w:line="240" w:lineRule="auto"/>
        <w:ind w:firstLine="1134"/>
        <w:jc w:val="both"/>
        <w:rPr>
          <w:rFonts w:ascii="Times New Roman" w:eastAsia="Calibri" w:hAnsi="Times New Roman" w:cs="Times New Roman"/>
          <w:sz w:val="24"/>
          <w:szCs w:val="24"/>
          <w:lang w:val="en-ZA"/>
        </w:rPr>
      </w:pPr>
    </w:p>
    <w:p w:rsidR="005D2B41" w:rsidRPr="008D2FF3" w:rsidRDefault="00945531" w:rsidP="00945531">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In addition </w:t>
      </w:r>
      <w:r w:rsidR="00694587" w:rsidRPr="008D2FF3">
        <w:rPr>
          <w:rFonts w:ascii="Times New Roman" w:eastAsia="Calibri" w:hAnsi="Times New Roman" w:cs="Times New Roman"/>
          <w:sz w:val="24"/>
          <w:szCs w:val="24"/>
          <w:lang w:val="en-ZA"/>
        </w:rPr>
        <w:t>Mugwara’s</w:t>
      </w:r>
      <w:r w:rsidR="005D2B41" w:rsidRPr="008D2FF3">
        <w:rPr>
          <w:rFonts w:ascii="Times New Roman" w:eastAsia="Calibri" w:hAnsi="Times New Roman" w:cs="Times New Roman"/>
          <w:sz w:val="24"/>
          <w:szCs w:val="24"/>
          <w:lang w:val="en-ZA"/>
        </w:rPr>
        <w:t xml:space="preserve"> job description had an incidental clause on error of judgment and the consequences which would affect the Bank if the Head of Short Term Loans made a wrong decision. The clause stated as follows:</w:t>
      </w:r>
    </w:p>
    <w:p w:rsidR="005A1A10" w:rsidRPr="008D2FF3" w:rsidRDefault="000861F5" w:rsidP="00732318">
      <w:pPr>
        <w:pStyle w:val="NoSpacing"/>
        <w:ind w:left="851"/>
        <w:rPr>
          <w:rFonts w:ascii="Times New Roman" w:hAnsi="Times New Roman" w:cs="Times New Roman"/>
          <w:sz w:val="24"/>
          <w:szCs w:val="24"/>
          <w:lang w:val="en-ZA"/>
        </w:rPr>
      </w:pPr>
      <w:r w:rsidRPr="008D2FF3">
        <w:rPr>
          <w:rFonts w:ascii="Times New Roman" w:hAnsi="Times New Roman" w:cs="Times New Roman"/>
          <w:sz w:val="24"/>
          <w:szCs w:val="24"/>
          <w:lang w:val="en-ZA"/>
        </w:rPr>
        <w:t>“</w:t>
      </w:r>
      <w:r w:rsidR="005D2B41" w:rsidRPr="008D2FF3">
        <w:rPr>
          <w:rFonts w:ascii="Times New Roman" w:hAnsi="Times New Roman" w:cs="Times New Roman"/>
          <w:sz w:val="24"/>
          <w:szCs w:val="24"/>
          <w:lang w:val="en-ZA"/>
        </w:rPr>
        <w:t>Catastrophic a</w:t>
      </w:r>
      <w:r w:rsidR="007C3D28" w:rsidRPr="008D2FF3">
        <w:rPr>
          <w:rFonts w:ascii="Times New Roman" w:hAnsi="Times New Roman" w:cs="Times New Roman"/>
          <w:sz w:val="24"/>
          <w:szCs w:val="24"/>
          <w:lang w:val="en-ZA"/>
        </w:rPr>
        <w:t xml:space="preserve">s bad decisions can lead to the </w:t>
      </w:r>
      <w:r w:rsidR="005D2B41" w:rsidRPr="008D2FF3">
        <w:rPr>
          <w:rFonts w:ascii="Times New Roman" w:hAnsi="Times New Roman" w:cs="Times New Roman"/>
          <w:sz w:val="24"/>
          <w:szCs w:val="24"/>
          <w:lang w:val="en-ZA"/>
        </w:rPr>
        <w:t>insolvency of the bank through the creation of a bad Loan portfolio.</w:t>
      </w:r>
      <w:r w:rsidR="000B46A5" w:rsidRPr="008D2FF3">
        <w:rPr>
          <w:rFonts w:ascii="Times New Roman" w:hAnsi="Times New Roman" w:cs="Times New Roman"/>
          <w:sz w:val="24"/>
          <w:szCs w:val="24"/>
          <w:lang w:val="en-ZA"/>
        </w:rPr>
        <w:t xml:space="preserve">  </w:t>
      </w:r>
      <w:r w:rsidR="005D2B41" w:rsidRPr="008D2FF3">
        <w:rPr>
          <w:rFonts w:ascii="Times New Roman" w:hAnsi="Times New Roman" w:cs="Times New Roman"/>
          <w:sz w:val="24"/>
          <w:szCs w:val="24"/>
          <w:lang w:val="en-ZA"/>
        </w:rPr>
        <w:t>Repu</w:t>
      </w:r>
      <w:r w:rsidR="007C3D28" w:rsidRPr="008D2FF3">
        <w:rPr>
          <w:rFonts w:ascii="Times New Roman" w:hAnsi="Times New Roman" w:cs="Times New Roman"/>
          <w:sz w:val="24"/>
          <w:szCs w:val="24"/>
          <w:lang w:val="en-ZA"/>
        </w:rPr>
        <w:t>t</w:t>
      </w:r>
      <w:r w:rsidR="005D2B41" w:rsidRPr="008D2FF3">
        <w:rPr>
          <w:rFonts w:ascii="Times New Roman" w:hAnsi="Times New Roman" w:cs="Times New Roman"/>
          <w:sz w:val="24"/>
          <w:szCs w:val="24"/>
          <w:lang w:val="en-ZA"/>
        </w:rPr>
        <w:t>ation of the bank can be on the line if prompt and correct decisions are not made.</w:t>
      </w:r>
      <w:r w:rsidRPr="008D2FF3">
        <w:rPr>
          <w:rFonts w:ascii="Times New Roman" w:hAnsi="Times New Roman" w:cs="Times New Roman"/>
          <w:sz w:val="24"/>
          <w:szCs w:val="24"/>
          <w:lang w:val="en-ZA"/>
        </w:rPr>
        <w:t>”</w:t>
      </w:r>
    </w:p>
    <w:p w:rsidR="00100CF0" w:rsidRPr="008D2FF3" w:rsidRDefault="00100CF0" w:rsidP="00F87943">
      <w:pPr>
        <w:pStyle w:val="NoSpacing"/>
        <w:ind w:left="567"/>
        <w:rPr>
          <w:rFonts w:ascii="Times New Roman" w:hAnsi="Times New Roman" w:cs="Times New Roman"/>
          <w:sz w:val="24"/>
          <w:szCs w:val="24"/>
          <w:lang w:val="en-ZA"/>
        </w:rPr>
      </w:pPr>
    </w:p>
    <w:p w:rsidR="000B46A5" w:rsidRPr="008D2FF3" w:rsidRDefault="000B46A5" w:rsidP="00F87943">
      <w:pPr>
        <w:pStyle w:val="NoSpacing"/>
        <w:ind w:left="720" w:firstLine="131"/>
        <w:rPr>
          <w:rFonts w:ascii="Times New Roman" w:hAnsi="Times New Roman" w:cs="Times New Roman"/>
          <w:sz w:val="24"/>
          <w:szCs w:val="24"/>
          <w:lang w:val="en-ZA"/>
        </w:rPr>
      </w:pPr>
    </w:p>
    <w:p w:rsidR="005D2B41" w:rsidRPr="008D2FF3" w:rsidRDefault="005D2B41" w:rsidP="006227F7">
      <w:pPr>
        <w:spacing w:before="240" w:after="0" w:line="48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lastRenderedPageBreak/>
        <w:t xml:space="preserve">The court </w:t>
      </w:r>
      <w:r w:rsidR="0008399B" w:rsidRPr="008D2FF3">
        <w:rPr>
          <w:rFonts w:ascii="Times New Roman" w:eastAsia="Calibri" w:hAnsi="Times New Roman" w:cs="Times New Roman"/>
          <w:sz w:val="24"/>
          <w:szCs w:val="24"/>
          <w:lang w:val="en-ZA"/>
        </w:rPr>
        <w:t xml:space="preserve">made factual findings </w:t>
      </w:r>
      <w:r w:rsidR="005A1A10" w:rsidRPr="008D2FF3">
        <w:rPr>
          <w:rFonts w:ascii="Times New Roman" w:eastAsia="Calibri" w:hAnsi="Times New Roman" w:cs="Times New Roman"/>
          <w:sz w:val="24"/>
          <w:szCs w:val="24"/>
          <w:lang w:val="en-ZA"/>
        </w:rPr>
        <w:t>that Mu</w:t>
      </w:r>
      <w:r w:rsidR="00C42B39" w:rsidRPr="008D2FF3">
        <w:rPr>
          <w:rFonts w:ascii="Times New Roman" w:eastAsia="Calibri" w:hAnsi="Times New Roman" w:cs="Times New Roman"/>
          <w:sz w:val="24"/>
          <w:szCs w:val="24"/>
          <w:lang w:val="en-ZA"/>
        </w:rPr>
        <w:t xml:space="preserve">gwara had authority to act on behalf of the appellant. The court </w:t>
      </w:r>
      <w:r w:rsidR="00C15B71" w:rsidRPr="008D2FF3">
        <w:rPr>
          <w:rFonts w:ascii="Times New Roman" w:eastAsia="Calibri" w:hAnsi="Times New Roman" w:cs="Times New Roman"/>
          <w:i/>
          <w:sz w:val="24"/>
          <w:szCs w:val="24"/>
          <w:lang w:val="en-ZA"/>
        </w:rPr>
        <w:t xml:space="preserve">a quo </w:t>
      </w:r>
      <w:r w:rsidR="00C42B39" w:rsidRPr="008D2FF3">
        <w:rPr>
          <w:rFonts w:ascii="Times New Roman" w:eastAsia="Calibri" w:hAnsi="Times New Roman" w:cs="Times New Roman"/>
          <w:sz w:val="24"/>
          <w:szCs w:val="24"/>
          <w:lang w:val="en-ZA"/>
        </w:rPr>
        <w:t>noted the following:</w:t>
      </w:r>
    </w:p>
    <w:p w:rsidR="00C42B39" w:rsidRPr="008D2FF3" w:rsidRDefault="00C42B39" w:rsidP="006227F7">
      <w:pPr>
        <w:spacing w:after="0" w:line="24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notwithstanding the Bank’s argument that Mugwara’s power might have been limited, I find that as much as</w:t>
      </w:r>
      <w:r w:rsidR="005A1A10" w:rsidRPr="008D2FF3">
        <w:rPr>
          <w:rFonts w:ascii="Times New Roman" w:eastAsia="Calibri" w:hAnsi="Times New Roman" w:cs="Times New Roman"/>
          <w:sz w:val="24"/>
          <w:szCs w:val="24"/>
          <w:lang w:val="en-ZA"/>
        </w:rPr>
        <w:t xml:space="preserve"> between himself and the Bank Mu</w:t>
      </w:r>
      <w:r w:rsidRPr="008D2FF3">
        <w:rPr>
          <w:rFonts w:ascii="Times New Roman" w:eastAsia="Calibri" w:hAnsi="Times New Roman" w:cs="Times New Roman"/>
          <w:sz w:val="24"/>
          <w:szCs w:val="24"/>
          <w:lang w:val="en-ZA"/>
        </w:rPr>
        <w:t>gwara had actual or implied authority to issue those guarantees. I find that as between Engen and the Bank, Mug</w:t>
      </w:r>
      <w:r w:rsidR="005A1A10" w:rsidRPr="008D2FF3">
        <w:rPr>
          <w:rFonts w:ascii="Times New Roman" w:eastAsia="Calibri" w:hAnsi="Times New Roman" w:cs="Times New Roman"/>
          <w:sz w:val="24"/>
          <w:szCs w:val="24"/>
          <w:lang w:val="en-ZA"/>
        </w:rPr>
        <w:t>w</w:t>
      </w:r>
      <w:r w:rsidRPr="008D2FF3">
        <w:rPr>
          <w:rFonts w:ascii="Times New Roman" w:eastAsia="Calibri" w:hAnsi="Times New Roman" w:cs="Times New Roman"/>
          <w:sz w:val="24"/>
          <w:szCs w:val="24"/>
          <w:lang w:val="en-ZA"/>
        </w:rPr>
        <w:t>ara had ostensible authority to issue the guarantee and to bind the Bank to third party recipients.”</w:t>
      </w:r>
    </w:p>
    <w:p w:rsidR="005C2397" w:rsidRPr="008D2FF3" w:rsidRDefault="005C2397" w:rsidP="00B321C3">
      <w:pPr>
        <w:spacing w:after="0" w:line="240" w:lineRule="auto"/>
        <w:jc w:val="both"/>
        <w:rPr>
          <w:rFonts w:ascii="Times New Roman" w:eastAsia="Calibri" w:hAnsi="Times New Roman" w:cs="Times New Roman"/>
          <w:sz w:val="24"/>
          <w:szCs w:val="24"/>
          <w:lang w:val="en-ZA"/>
        </w:rPr>
      </w:pPr>
    </w:p>
    <w:p w:rsidR="00C42B39" w:rsidRPr="008D2FF3" w:rsidRDefault="005C2397" w:rsidP="008300C2">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A clear reading of Mugwara’s key tasks shows that he worked under a Unit which controlled the manner in which guarantees were issued. He was </w:t>
      </w:r>
      <w:r w:rsidR="00B321C3" w:rsidRPr="008D2FF3">
        <w:rPr>
          <w:rFonts w:ascii="Times New Roman" w:eastAsia="Calibri" w:hAnsi="Times New Roman" w:cs="Times New Roman"/>
          <w:sz w:val="24"/>
          <w:szCs w:val="24"/>
          <w:lang w:val="en-ZA"/>
        </w:rPr>
        <w:t xml:space="preserve">the </w:t>
      </w:r>
      <w:r w:rsidRPr="008D2FF3">
        <w:rPr>
          <w:rFonts w:ascii="Times New Roman" w:eastAsia="Calibri" w:hAnsi="Times New Roman" w:cs="Times New Roman"/>
          <w:sz w:val="24"/>
          <w:szCs w:val="24"/>
          <w:lang w:val="en-ZA"/>
        </w:rPr>
        <w:t xml:space="preserve">senior personnel in the Bank as he was second in command from the Director of the Unit. He had access and control of the appellant’s stationery to an extent that he had business cards to identify himself. He had </w:t>
      </w:r>
      <w:r w:rsidR="00460D73" w:rsidRPr="008D2FF3">
        <w:rPr>
          <w:rFonts w:ascii="Times New Roman" w:eastAsia="Calibri" w:hAnsi="Times New Roman" w:cs="Times New Roman"/>
          <w:sz w:val="24"/>
          <w:szCs w:val="24"/>
          <w:lang w:val="en-ZA"/>
        </w:rPr>
        <w:t>the</w:t>
      </w:r>
      <w:r w:rsidRPr="008D2FF3">
        <w:rPr>
          <w:rFonts w:ascii="Times New Roman" w:eastAsia="Calibri" w:hAnsi="Times New Roman" w:cs="Times New Roman"/>
          <w:sz w:val="24"/>
          <w:szCs w:val="24"/>
          <w:lang w:val="en-ZA"/>
        </w:rPr>
        <w:t xml:space="preserve"> task of marketing bank products and disbursements of funds on approved loan facilit</w:t>
      </w:r>
      <w:r w:rsidR="00DD7623" w:rsidRPr="008D2FF3">
        <w:rPr>
          <w:rFonts w:ascii="Times New Roman" w:eastAsia="Calibri" w:hAnsi="Times New Roman" w:cs="Times New Roman"/>
          <w:sz w:val="24"/>
          <w:szCs w:val="24"/>
          <w:lang w:val="en-ZA"/>
        </w:rPr>
        <w:t>i</w:t>
      </w:r>
      <w:r w:rsidRPr="008D2FF3">
        <w:rPr>
          <w:rFonts w:ascii="Times New Roman" w:eastAsia="Calibri" w:hAnsi="Times New Roman" w:cs="Times New Roman"/>
          <w:sz w:val="24"/>
          <w:szCs w:val="24"/>
          <w:lang w:val="en-ZA"/>
        </w:rPr>
        <w:t xml:space="preserve">es. The court </w:t>
      </w:r>
      <w:r w:rsidRPr="008D2FF3">
        <w:rPr>
          <w:rFonts w:ascii="Times New Roman" w:eastAsia="Calibri" w:hAnsi="Times New Roman" w:cs="Times New Roman"/>
          <w:i/>
          <w:sz w:val="24"/>
          <w:szCs w:val="24"/>
          <w:lang w:val="en-ZA"/>
        </w:rPr>
        <w:t xml:space="preserve">a quo </w:t>
      </w:r>
      <w:r w:rsidRPr="008D2FF3">
        <w:rPr>
          <w:rFonts w:ascii="Times New Roman" w:eastAsia="Calibri" w:hAnsi="Times New Roman" w:cs="Times New Roman"/>
          <w:sz w:val="24"/>
          <w:szCs w:val="24"/>
          <w:lang w:val="en-ZA"/>
        </w:rPr>
        <w:t xml:space="preserve">found that </w:t>
      </w:r>
      <w:r w:rsidR="00460D73" w:rsidRPr="008D2FF3">
        <w:rPr>
          <w:rFonts w:ascii="Times New Roman" w:eastAsia="Calibri" w:hAnsi="Times New Roman" w:cs="Times New Roman"/>
          <w:sz w:val="24"/>
          <w:szCs w:val="24"/>
          <w:lang w:val="en-ZA"/>
        </w:rPr>
        <w:t xml:space="preserve">on </w:t>
      </w:r>
      <w:r w:rsidRPr="008D2FF3">
        <w:rPr>
          <w:rFonts w:ascii="Times New Roman" w:eastAsia="Calibri" w:hAnsi="Times New Roman" w:cs="Times New Roman"/>
          <w:sz w:val="24"/>
          <w:szCs w:val="24"/>
          <w:lang w:val="en-ZA"/>
        </w:rPr>
        <w:t xml:space="preserve">these factual findings the key tasks done by Mugwara were enough evidence to show that he had authority to act on behalf of the appellant. </w:t>
      </w:r>
    </w:p>
    <w:p w:rsidR="00694587" w:rsidRPr="008D2FF3" w:rsidRDefault="00694587" w:rsidP="00F87943">
      <w:pPr>
        <w:spacing w:after="0" w:line="480" w:lineRule="auto"/>
        <w:jc w:val="both"/>
        <w:rPr>
          <w:rFonts w:ascii="Times New Roman" w:eastAsia="Calibri" w:hAnsi="Times New Roman" w:cs="Times New Roman"/>
          <w:sz w:val="24"/>
          <w:szCs w:val="24"/>
          <w:lang w:val="en-ZA"/>
        </w:rPr>
      </w:pPr>
    </w:p>
    <w:p w:rsidR="001B61CE" w:rsidRPr="008D2FF3" w:rsidRDefault="00A96FB0" w:rsidP="00A96FB0">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court </w:t>
      </w:r>
      <w:r w:rsidRPr="008D2FF3">
        <w:rPr>
          <w:rFonts w:ascii="Times New Roman" w:eastAsia="Calibri" w:hAnsi="Times New Roman" w:cs="Times New Roman"/>
          <w:i/>
          <w:sz w:val="24"/>
          <w:szCs w:val="24"/>
          <w:lang w:val="en-ZA"/>
        </w:rPr>
        <w:t xml:space="preserve">a quo </w:t>
      </w:r>
      <w:r w:rsidRPr="008D2FF3">
        <w:rPr>
          <w:rFonts w:ascii="Times New Roman" w:eastAsia="Calibri" w:hAnsi="Times New Roman" w:cs="Times New Roman"/>
          <w:sz w:val="24"/>
          <w:szCs w:val="24"/>
          <w:lang w:val="en-ZA"/>
        </w:rPr>
        <w:t>also took into account that although c</w:t>
      </w:r>
      <w:r w:rsidR="00301C6D" w:rsidRPr="008D2FF3">
        <w:rPr>
          <w:rFonts w:ascii="Times New Roman" w:eastAsia="Calibri" w:hAnsi="Times New Roman" w:cs="Times New Roman"/>
          <w:sz w:val="24"/>
          <w:szCs w:val="24"/>
          <w:lang w:val="en-ZA"/>
        </w:rPr>
        <w:t xml:space="preserve">riminal proceedings </w:t>
      </w:r>
      <w:r w:rsidR="003257AE" w:rsidRPr="008D2FF3">
        <w:rPr>
          <w:rFonts w:ascii="Times New Roman" w:eastAsia="Calibri" w:hAnsi="Times New Roman" w:cs="Times New Roman"/>
          <w:sz w:val="24"/>
          <w:szCs w:val="24"/>
          <w:lang w:val="en-ZA"/>
        </w:rPr>
        <w:t xml:space="preserve">were instituted </w:t>
      </w:r>
      <w:r w:rsidR="001B61CE" w:rsidRPr="008D2FF3">
        <w:rPr>
          <w:rFonts w:ascii="Times New Roman" w:eastAsia="Calibri" w:hAnsi="Times New Roman" w:cs="Times New Roman"/>
          <w:sz w:val="24"/>
          <w:szCs w:val="24"/>
          <w:lang w:val="en-ZA"/>
        </w:rPr>
        <w:t>against Mu</w:t>
      </w:r>
      <w:r w:rsidR="00301C6D" w:rsidRPr="008D2FF3">
        <w:rPr>
          <w:rFonts w:ascii="Times New Roman" w:eastAsia="Calibri" w:hAnsi="Times New Roman" w:cs="Times New Roman"/>
          <w:sz w:val="24"/>
          <w:szCs w:val="24"/>
          <w:lang w:val="en-ZA"/>
        </w:rPr>
        <w:t>gwara</w:t>
      </w:r>
      <w:r w:rsidR="003257AE" w:rsidRPr="008D2FF3">
        <w:rPr>
          <w:rFonts w:ascii="Times New Roman" w:eastAsia="Calibri" w:hAnsi="Times New Roman" w:cs="Times New Roman"/>
          <w:sz w:val="24"/>
          <w:szCs w:val="24"/>
          <w:lang w:val="en-ZA"/>
        </w:rPr>
        <w:t xml:space="preserve"> by the appellant</w:t>
      </w:r>
      <w:r w:rsidR="00301C6D" w:rsidRPr="008D2FF3">
        <w:rPr>
          <w:rFonts w:ascii="Times New Roman" w:eastAsia="Calibri" w:hAnsi="Times New Roman" w:cs="Times New Roman"/>
          <w:sz w:val="24"/>
          <w:szCs w:val="24"/>
          <w:lang w:val="en-ZA"/>
        </w:rPr>
        <w:t xml:space="preserve"> on the basis of fraud and bribery</w:t>
      </w:r>
      <w:r w:rsidR="00A108AA" w:rsidRPr="008D2FF3">
        <w:rPr>
          <w:rFonts w:ascii="Times New Roman" w:eastAsia="Calibri" w:hAnsi="Times New Roman" w:cs="Times New Roman"/>
          <w:sz w:val="24"/>
          <w:szCs w:val="24"/>
          <w:lang w:val="en-ZA"/>
        </w:rPr>
        <w:t>,</w:t>
      </w:r>
      <w:r w:rsidR="00301C6D" w:rsidRPr="008D2FF3">
        <w:rPr>
          <w:rFonts w:ascii="Times New Roman" w:eastAsia="Calibri" w:hAnsi="Times New Roman" w:cs="Times New Roman"/>
          <w:sz w:val="24"/>
          <w:szCs w:val="24"/>
          <w:lang w:val="en-ZA"/>
        </w:rPr>
        <w:t xml:space="preserve"> </w:t>
      </w:r>
      <w:r w:rsidR="00A108AA" w:rsidRPr="008D2FF3">
        <w:rPr>
          <w:rFonts w:ascii="Times New Roman" w:eastAsia="Calibri" w:hAnsi="Times New Roman" w:cs="Times New Roman"/>
          <w:sz w:val="24"/>
          <w:szCs w:val="24"/>
          <w:lang w:val="en-ZA"/>
        </w:rPr>
        <w:t>t</w:t>
      </w:r>
      <w:r w:rsidR="003257AE" w:rsidRPr="008D2FF3">
        <w:rPr>
          <w:rFonts w:ascii="Times New Roman" w:eastAsia="Calibri" w:hAnsi="Times New Roman" w:cs="Times New Roman"/>
          <w:sz w:val="24"/>
          <w:szCs w:val="24"/>
          <w:lang w:val="en-ZA"/>
        </w:rPr>
        <w:t>he office of the Prosecutor General</w:t>
      </w:r>
      <w:r w:rsidR="00301C6D" w:rsidRPr="008D2FF3">
        <w:rPr>
          <w:rFonts w:ascii="Times New Roman" w:eastAsia="Calibri" w:hAnsi="Times New Roman" w:cs="Times New Roman"/>
          <w:sz w:val="24"/>
          <w:szCs w:val="24"/>
          <w:lang w:val="en-ZA"/>
        </w:rPr>
        <w:t xml:space="preserve"> refused to prosecute the matter on the basis that it was a labour matter</w:t>
      </w:r>
      <w:r w:rsidR="00A108AA" w:rsidRPr="008D2FF3">
        <w:rPr>
          <w:rFonts w:ascii="Times New Roman" w:eastAsia="Calibri" w:hAnsi="Times New Roman" w:cs="Times New Roman"/>
          <w:sz w:val="24"/>
          <w:szCs w:val="24"/>
          <w:lang w:val="en-ZA"/>
        </w:rPr>
        <w:t>. T</w:t>
      </w:r>
      <w:r w:rsidR="001B61CE" w:rsidRPr="008D2FF3">
        <w:rPr>
          <w:rFonts w:ascii="Times New Roman" w:eastAsia="Calibri" w:hAnsi="Times New Roman" w:cs="Times New Roman"/>
          <w:sz w:val="24"/>
          <w:szCs w:val="24"/>
          <w:lang w:val="en-ZA"/>
        </w:rPr>
        <w:t xml:space="preserve">hat </w:t>
      </w:r>
      <w:r w:rsidR="00301C6D" w:rsidRPr="008D2FF3">
        <w:rPr>
          <w:rFonts w:ascii="Times New Roman" w:eastAsia="Calibri" w:hAnsi="Times New Roman" w:cs="Times New Roman"/>
          <w:sz w:val="24"/>
          <w:szCs w:val="24"/>
          <w:lang w:val="en-ZA"/>
        </w:rPr>
        <w:t xml:space="preserve">in any event </w:t>
      </w:r>
      <w:r w:rsidR="000321AF" w:rsidRPr="008D2FF3">
        <w:rPr>
          <w:rFonts w:ascii="Times New Roman" w:eastAsia="Calibri" w:hAnsi="Times New Roman" w:cs="Times New Roman"/>
          <w:sz w:val="24"/>
          <w:szCs w:val="24"/>
          <w:lang w:val="en-ZA"/>
        </w:rPr>
        <w:t xml:space="preserve">the appellant had </w:t>
      </w:r>
      <w:r w:rsidR="00301C6D" w:rsidRPr="008D2FF3">
        <w:rPr>
          <w:rFonts w:ascii="Times New Roman" w:eastAsia="Calibri" w:hAnsi="Times New Roman" w:cs="Times New Roman"/>
          <w:sz w:val="24"/>
          <w:szCs w:val="24"/>
          <w:lang w:val="en-ZA"/>
        </w:rPr>
        <w:t xml:space="preserve">failed </w:t>
      </w:r>
      <w:r w:rsidR="000321AF" w:rsidRPr="008D2FF3">
        <w:rPr>
          <w:rFonts w:ascii="Times New Roman" w:eastAsia="Calibri" w:hAnsi="Times New Roman" w:cs="Times New Roman"/>
          <w:sz w:val="24"/>
          <w:szCs w:val="24"/>
          <w:lang w:val="en-ZA"/>
        </w:rPr>
        <w:t xml:space="preserve">to provide adequate evidence </w:t>
      </w:r>
      <w:r w:rsidR="001B61CE" w:rsidRPr="008D2FF3">
        <w:rPr>
          <w:rFonts w:ascii="Times New Roman" w:eastAsia="Calibri" w:hAnsi="Times New Roman" w:cs="Times New Roman"/>
          <w:sz w:val="24"/>
          <w:szCs w:val="24"/>
          <w:lang w:val="en-ZA"/>
        </w:rPr>
        <w:t xml:space="preserve">to </w:t>
      </w:r>
      <w:r w:rsidR="00A108AA" w:rsidRPr="008D2FF3">
        <w:rPr>
          <w:rFonts w:ascii="Times New Roman" w:eastAsia="Calibri" w:hAnsi="Times New Roman" w:cs="Times New Roman"/>
          <w:sz w:val="24"/>
          <w:szCs w:val="24"/>
          <w:lang w:val="en-ZA"/>
        </w:rPr>
        <w:t>sustain a conviction</w:t>
      </w:r>
      <w:r w:rsidR="001B61CE" w:rsidRPr="008D2FF3">
        <w:rPr>
          <w:rFonts w:ascii="Times New Roman" w:eastAsia="Calibri" w:hAnsi="Times New Roman" w:cs="Times New Roman"/>
          <w:sz w:val="24"/>
          <w:szCs w:val="24"/>
          <w:lang w:val="en-ZA"/>
        </w:rPr>
        <w:t>.</w:t>
      </w:r>
      <w:r w:rsidR="000321AF" w:rsidRPr="008D2FF3">
        <w:rPr>
          <w:rFonts w:ascii="Times New Roman" w:eastAsia="Calibri" w:hAnsi="Times New Roman" w:cs="Times New Roman"/>
          <w:sz w:val="24"/>
          <w:szCs w:val="24"/>
          <w:lang w:val="en-ZA"/>
        </w:rPr>
        <w:t xml:space="preserve"> </w:t>
      </w:r>
    </w:p>
    <w:p w:rsidR="00182C02" w:rsidRPr="008D2FF3" w:rsidRDefault="00182C02" w:rsidP="00100CF0">
      <w:pPr>
        <w:spacing w:after="0" w:line="240" w:lineRule="auto"/>
        <w:ind w:firstLine="1134"/>
        <w:jc w:val="both"/>
        <w:rPr>
          <w:rFonts w:ascii="Times New Roman" w:eastAsia="Calibri" w:hAnsi="Times New Roman" w:cs="Times New Roman"/>
          <w:sz w:val="24"/>
          <w:szCs w:val="24"/>
          <w:lang w:val="en-ZA"/>
        </w:rPr>
      </w:pPr>
    </w:p>
    <w:p w:rsidR="000F73D5" w:rsidRPr="008D2FF3" w:rsidRDefault="000321AF" w:rsidP="00E7324C">
      <w:pPr>
        <w:spacing w:before="240" w:after="0" w:line="48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in determining the impact of the criminal</w:t>
      </w:r>
      <w:r w:rsidR="001B61CE" w:rsidRPr="008D2FF3">
        <w:rPr>
          <w:rFonts w:ascii="Times New Roman" w:eastAsia="Calibri" w:hAnsi="Times New Roman" w:cs="Times New Roman"/>
          <w:sz w:val="24"/>
          <w:szCs w:val="24"/>
          <w:lang w:val="en-ZA"/>
        </w:rPr>
        <w:t xml:space="preserve"> charges laid against Mu</w:t>
      </w:r>
      <w:r w:rsidRPr="008D2FF3">
        <w:rPr>
          <w:rFonts w:ascii="Times New Roman" w:eastAsia="Calibri" w:hAnsi="Times New Roman" w:cs="Times New Roman"/>
          <w:sz w:val="24"/>
          <w:szCs w:val="24"/>
          <w:lang w:val="en-ZA"/>
        </w:rPr>
        <w:t xml:space="preserve">gwara found that </w:t>
      </w:r>
      <w:r w:rsidR="00DD7623" w:rsidRPr="008D2FF3">
        <w:rPr>
          <w:rFonts w:ascii="Times New Roman" w:eastAsia="Calibri" w:hAnsi="Times New Roman" w:cs="Times New Roman"/>
          <w:sz w:val="24"/>
          <w:szCs w:val="24"/>
          <w:lang w:val="en-ZA"/>
        </w:rPr>
        <w:t xml:space="preserve">the </w:t>
      </w:r>
      <w:r w:rsidRPr="008D2FF3">
        <w:rPr>
          <w:rFonts w:ascii="Times New Roman" w:eastAsia="Calibri" w:hAnsi="Times New Roman" w:cs="Times New Roman"/>
          <w:i/>
          <w:sz w:val="24"/>
          <w:szCs w:val="24"/>
          <w:lang w:val="en-ZA"/>
        </w:rPr>
        <w:t>onus</w:t>
      </w:r>
      <w:r w:rsidRPr="008D2FF3">
        <w:rPr>
          <w:rFonts w:ascii="Times New Roman" w:eastAsia="Calibri" w:hAnsi="Times New Roman" w:cs="Times New Roman"/>
          <w:sz w:val="24"/>
          <w:szCs w:val="24"/>
          <w:lang w:val="en-ZA"/>
        </w:rPr>
        <w:t xml:space="preserve"> to prove fraud and bribery was on the appellant</w:t>
      </w:r>
      <w:r w:rsidR="000F73D5" w:rsidRPr="008D2FF3">
        <w:rPr>
          <w:rFonts w:ascii="Times New Roman" w:eastAsia="Calibri" w:hAnsi="Times New Roman" w:cs="Times New Roman"/>
          <w:sz w:val="24"/>
          <w:szCs w:val="24"/>
          <w:lang w:val="en-ZA"/>
        </w:rPr>
        <w:t xml:space="preserve"> and that </w:t>
      </w:r>
      <w:r w:rsidR="007379B5">
        <w:rPr>
          <w:rFonts w:ascii="Times New Roman" w:eastAsia="Calibri" w:hAnsi="Times New Roman" w:cs="Times New Roman"/>
          <w:sz w:val="24"/>
          <w:szCs w:val="24"/>
          <w:lang w:val="en-ZA"/>
        </w:rPr>
        <w:t xml:space="preserve">the prosecutor </w:t>
      </w:r>
      <w:r w:rsidR="007379B5" w:rsidRPr="008D2FF3">
        <w:rPr>
          <w:rFonts w:ascii="Times New Roman" w:eastAsia="Calibri" w:hAnsi="Times New Roman" w:cs="Times New Roman"/>
          <w:sz w:val="24"/>
          <w:szCs w:val="24"/>
          <w:lang w:val="en-ZA"/>
        </w:rPr>
        <w:t>had</w:t>
      </w:r>
      <w:r w:rsidR="000F73D5" w:rsidRPr="008D2FF3">
        <w:rPr>
          <w:rFonts w:ascii="Times New Roman" w:eastAsia="Calibri" w:hAnsi="Times New Roman" w:cs="Times New Roman"/>
          <w:sz w:val="24"/>
          <w:szCs w:val="24"/>
          <w:lang w:val="en-ZA"/>
        </w:rPr>
        <w:t xml:space="preserve"> failed to prove that Mugwara had been fraudulent or had received any bribe</w:t>
      </w:r>
      <w:r w:rsidRPr="008D2FF3">
        <w:rPr>
          <w:rFonts w:ascii="Times New Roman" w:eastAsia="Calibri" w:hAnsi="Times New Roman" w:cs="Times New Roman"/>
          <w:sz w:val="24"/>
          <w:szCs w:val="24"/>
          <w:lang w:val="en-ZA"/>
        </w:rPr>
        <w:t>. The proof to be proffered</w:t>
      </w:r>
      <w:r w:rsidR="001B61CE" w:rsidRPr="008D2FF3">
        <w:rPr>
          <w:rFonts w:ascii="Times New Roman" w:eastAsia="Calibri" w:hAnsi="Times New Roman" w:cs="Times New Roman"/>
          <w:sz w:val="24"/>
          <w:szCs w:val="24"/>
          <w:lang w:val="en-ZA"/>
        </w:rPr>
        <w:t xml:space="preserve"> by the appellant</w:t>
      </w:r>
      <w:r w:rsidRPr="008D2FF3">
        <w:rPr>
          <w:rFonts w:ascii="Times New Roman" w:eastAsia="Calibri" w:hAnsi="Times New Roman" w:cs="Times New Roman"/>
          <w:sz w:val="24"/>
          <w:szCs w:val="24"/>
          <w:lang w:val="en-ZA"/>
        </w:rPr>
        <w:t xml:space="preserve"> for fraud and bribery </w:t>
      </w:r>
      <w:r w:rsidRPr="008D2FF3">
        <w:rPr>
          <w:rFonts w:ascii="Times New Roman" w:eastAsia="Calibri" w:hAnsi="Times New Roman" w:cs="Times New Roman"/>
          <w:i/>
          <w:sz w:val="24"/>
          <w:szCs w:val="24"/>
          <w:lang w:val="en-ZA"/>
        </w:rPr>
        <w:t>in casu,</w:t>
      </w:r>
      <w:r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lastRenderedPageBreak/>
        <w:t>would be proof on a balance of probabilities as the fraud a</w:t>
      </w:r>
      <w:r w:rsidR="007A0199" w:rsidRPr="008D2FF3">
        <w:rPr>
          <w:rFonts w:ascii="Times New Roman" w:eastAsia="Calibri" w:hAnsi="Times New Roman" w:cs="Times New Roman"/>
          <w:sz w:val="24"/>
          <w:szCs w:val="24"/>
          <w:lang w:val="en-ZA"/>
        </w:rPr>
        <w:t>n</w:t>
      </w:r>
      <w:r w:rsidRPr="008D2FF3">
        <w:rPr>
          <w:rFonts w:ascii="Times New Roman" w:eastAsia="Calibri" w:hAnsi="Times New Roman" w:cs="Times New Roman"/>
          <w:sz w:val="24"/>
          <w:szCs w:val="24"/>
          <w:lang w:val="en-ZA"/>
        </w:rPr>
        <w:t>d bribery w</w:t>
      </w:r>
      <w:r w:rsidR="00A1460C" w:rsidRPr="008D2FF3">
        <w:rPr>
          <w:rFonts w:ascii="Times New Roman" w:eastAsia="Calibri" w:hAnsi="Times New Roman" w:cs="Times New Roman"/>
          <w:sz w:val="24"/>
          <w:szCs w:val="24"/>
          <w:lang w:val="en-ZA"/>
        </w:rPr>
        <w:t>ere</w:t>
      </w:r>
      <w:r w:rsidRPr="008D2FF3">
        <w:rPr>
          <w:rFonts w:ascii="Times New Roman" w:eastAsia="Calibri" w:hAnsi="Times New Roman" w:cs="Times New Roman"/>
          <w:sz w:val="24"/>
          <w:szCs w:val="24"/>
          <w:lang w:val="en-ZA"/>
        </w:rPr>
        <w:t xml:space="preserve"> being alleged in a civil trial after the criminal charges had failed to materialise. </w:t>
      </w:r>
    </w:p>
    <w:p w:rsidR="00537A52" w:rsidRPr="008D2FF3" w:rsidRDefault="00537A52" w:rsidP="00100CF0">
      <w:pPr>
        <w:spacing w:before="240" w:after="0" w:line="240" w:lineRule="auto"/>
        <w:ind w:firstLine="1134"/>
        <w:jc w:val="both"/>
        <w:rPr>
          <w:rFonts w:ascii="Times New Roman" w:eastAsia="Calibri" w:hAnsi="Times New Roman" w:cs="Times New Roman"/>
          <w:sz w:val="24"/>
          <w:szCs w:val="24"/>
          <w:lang w:val="en-ZA"/>
        </w:rPr>
      </w:pPr>
    </w:p>
    <w:p w:rsidR="000321AF" w:rsidRPr="008D2FF3" w:rsidRDefault="000321AF" w:rsidP="00E7324C">
      <w:pPr>
        <w:pStyle w:val="ListParagraph"/>
        <w:numPr>
          <w:ilvl w:val="0"/>
          <w:numId w:val="16"/>
        </w:numPr>
        <w:spacing w:after="0" w:line="480" w:lineRule="auto"/>
        <w:ind w:left="851" w:hanging="851"/>
        <w:jc w:val="both"/>
        <w:rPr>
          <w:rFonts w:ascii="Times New Roman" w:eastAsia="Calibri" w:hAnsi="Times New Roman" w:cs="Times New Roman"/>
          <w:sz w:val="24"/>
          <w:szCs w:val="24"/>
          <w:lang w:val="en-US"/>
        </w:rPr>
      </w:pPr>
      <w:r w:rsidRPr="008D2FF3">
        <w:rPr>
          <w:rFonts w:ascii="Times New Roman" w:eastAsia="Calibri" w:hAnsi="Times New Roman" w:cs="Times New Roman"/>
          <w:sz w:val="24"/>
          <w:szCs w:val="24"/>
          <w:lang w:val="en-ZA"/>
        </w:rPr>
        <w:t xml:space="preserve">Proof in civil proceedings is always on a balance of probabilities. </w:t>
      </w:r>
      <w:r w:rsidRPr="008D2FF3">
        <w:rPr>
          <w:rFonts w:ascii="Times New Roman" w:eastAsia="Calibri" w:hAnsi="Times New Roman" w:cs="Times New Roman"/>
          <w:sz w:val="24"/>
          <w:szCs w:val="24"/>
          <w:lang w:val="en-US"/>
        </w:rPr>
        <w:t>In the case of Zimbabwe</w:t>
      </w:r>
      <w:r w:rsidRPr="008D2FF3">
        <w:rPr>
          <w:rFonts w:ascii="Times New Roman" w:eastAsia="Calibri" w:hAnsi="Times New Roman" w:cs="Times New Roman"/>
          <w:b/>
          <w:i/>
          <w:sz w:val="24"/>
          <w:szCs w:val="24"/>
          <w:lang w:val="en-US"/>
        </w:rPr>
        <w:t xml:space="preserve"> </w:t>
      </w:r>
      <w:r w:rsidRPr="008D2FF3">
        <w:rPr>
          <w:rFonts w:ascii="Times New Roman" w:eastAsia="Calibri" w:hAnsi="Times New Roman" w:cs="Times New Roman"/>
          <w:i/>
          <w:sz w:val="24"/>
          <w:szCs w:val="24"/>
          <w:lang w:val="en-US"/>
        </w:rPr>
        <w:t xml:space="preserve">Electricity Supply Authority </w:t>
      </w:r>
      <w:r w:rsidRPr="008D2FF3">
        <w:rPr>
          <w:rFonts w:ascii="Times New Roman" w:eastAsia="Calibri" w:hAnsi="Times New Roman" w:cs="Times New Roman"/>
          <w:sz w:val="24"/>
          <w:szCs w:val="24"/>
          <w:lang w:val="en-US"/>
        </w:rPr>
        <w:t xml:space="preserve">v </w:t>
      </w:r>
      <w:r w:rsidRPr="008D2FF3">
        <w:rPr>
          <w:rFonts w:ascii="Times New Roman" w:eastAsia="Calibri" w:hAnsi="Times New Roman" w:cs="Times New Roman"/>
          <w:i/>
          <w:sz w:val="24"/>
          <w:szCs w:val="24"/>
          <w:lang w:val="en-US"/>
        </w:rPr>
        <w:t>Dera</w:t>
      </w:r>
      <w:r w:rsidRPr="008D2FF3">
        <w:rPr>
          <w:rFonts w:ascii="Times New Roman" w:eastAsia="Calibri" w:hAnsi="Times New Roman" w:cs="Times New Roman"/>
          <w:b/>
          <w:i/>
          <w:sz w:val="24"/>
          <w:szCs w:val="24"/>
          <w:vertAlign w:val="superscript"/>
          <w:lang w:val="en-US"/>
        </w:rPr>
        <w:t xml:space="preserve"> </w:t>
      </w:r>
      <w:r w:rsidR="007A0199" w:rsidRPr="008D2FF3">
        <w:rPr>
          <w:rStyle w:val="Emphasis"/>
          <w:rFonts w:ascii="Times New Roman" w:hAnsi="Times New Roman" w:cs="Times New Roman"/>
          <w:i w:val="0"/>
          <w:sz w:val="24"/>
          <w:szCs w:val="24"/>
        </w:rPr>
        <w:t>1998 (1) ZLR 500 (SC)</w:t>
      </w:r>
      <w:r w:rsidRPr="008D2FF3">
        <w:rPr>
          <w:rFonts w:ascii="Times New Roman" w:eastAsia="Calibri" w:hAnsi="Times New Roman" w:cs="Times New Roman"/>
          <w:b/>
          <w:i/>
          <w:sz w:val="24"/>
          <w:szCs w:val="24"/>
          <w:lang w:val="en-US"/>
        </w:rPr>
        <w:t xml:space="preserve">, </w:t>
      </w:r>
      <w:r w:rsidR="001B61CE" w:rsidRPr="008D2FF3">
        <w:rPr>
          <w:rFonts w:ascii="Times New Roman" w:eastAsia="Calibri" w:hAnsi="Times New Roman" w:cs="Times New Roman"/>
          <w:sz w:val="24"/>
          <w:szCs w:val="24"/>
          <w:lang w:val="en-US"/>
        </w:rPr>
        <w:t>the court stated the following</w:t>
      </w:r>
      <w:r w:rsidRPr="008D2FF3">
        <w:rPr>
          <w:rFonts w:ascii="Times New Roman" w:eastAsia="Calibri" w:hAnsi="Times New Roman" w:cs="Times New Roman"/>
          <w:sz w:val="24"/>
          <w:szCs w:val="24"/>
          <w:lang w:val="en-US"/>
        </w:rPr>
        <w:t>:</w:t>
      </w:r>
    </w:p>
    <w:p w:rsidR="007A0199" w:rsidRPr="008D2FF3" w:rsidRDefault="000321AF" w:rsidP="00C76290">
      <w:pPr>
        <w:spacing w:after="0" w:line="240" w:lineRule="auto"/>
        <w:ind w:left="993"/>
        <w:jc w:val="both"/>
        <w:rPr>
          <w:rFonts w:ascii="Times New Roman" w:eastAsia="Calibri" w:hAnsi="Times New Roman" w:cs="Times New Roman"/>
          <w:sz w:val="24"/>
          <w:szCs w:val="24"/>
          <w:lang w:val="en-US"/>
        </w:rPr>
      </w:pPr>
      <w:r w:rsidRPr="008D2FF3">
        <w:rPr>
          <w:rFonts w:ascii="Times New Roman" w:eastAsia="Calibri" w:hAnsi="Times New Roman" w:cs="Times New Roman"/>
          <w:sz w:val="24"/>
          <w:szCs w:val="24"/>
          <w:lang w:val="en-US"/>
        </w:rPr>
        <w:t xml:space="preserve">“… in a civil case the standard of proof is never anything other than proof on the balance of probabilities. The reason for the difference in onus between civil and criminal cases is that in the former the dispute is between individuals, where both sides are equally interested parties. The primary concern is to do justice to each party, and the test for that justice is to balance their competing claims. In a criminal matter, on the other hand, the trial is an attack by the State, representing society, on the integrity of an individual. The main concern is to do justice to the accused. If the prosecution fails, the State does not lose”. </w:t>
      </w:r>
    </w:p>
    <w:p w:rsidR="00C76290" w:rsidRPr="008D2FF3" w:rsidRDefault="00C76290" w:rsidP="00C76290">
      <w:pPr>
        <w:spacing w:after="0" w:line="240" w:lineRule="auto"/>
        <w:ind w:left="993"/>
        <w:jc w:val="both"/>
        <w:rPr>
          <w:rFonts w:ascii="Times New Roman" w:eastAsia="Calibri" w:hAnsi="Times New Roman" w:cs="Times New Roman"/>
          <w:sz w:val="24"/>
          <w:szCs w:val="24"/>
          <w:lang w:val="en-US"/>
        </w:rPr>
      </w:pPr>
    </w:p>
    <w:p w:rsidR="001B61CE" w:rsidRPr="008D2FF3" w:rsidRDefault="001B61CE" w:rsidP="0069782D">
      <w:pPr>
        <w:spacing w:before="240" w:after="0" w:line="48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Mugwara having admitted that he issued the guarantees and having </w:t>
      </w:r>
      <w:r w:rsidR="00D60F22" w:rsidRPr="008D2FF3">
        <w:rPr>
          <w:rFonts w:ascii="Times New Roman" w:eastAsia="Calibri" w:hAnsi="Times New Roman" w:cs="Times New Roman"/>
          <w:sz w:val="24"/>
          <w:szCs w:val="24"/>
          <w:lang w:val="en-ZA"/>
        </w:rPr>
        <w:t>alleged that he did so lawfully, i</w:t>
      </w:r>
      <w:r w:rsidR="007A0199" w:rsidRPr="008D2FF3">
        <w:rPr>
          <w:rFonts w:ascii="Times New Roman" w:eastAsia="Calibri" w:hAnsi="Times New Roman" w:cs="Times New Roman"/>
          <w:sz w:val="24"/>
          <w:szCs w:val="24"/>
          <w:lang w:val="en-ZA"/>
        </w:rPr>
        <w:t>t was for the appellant to prove all the</w:t>
      </w:r>
      <w:r w:rsidRPr="008D2FF3">
        <w:rPr>
          <w:rFonts w:ascii="Times New Roman" w:eastAsia="Calibri" w:hAnsi="Times New Roman" w:cs="Times New Roman"/>
          <w:sz w:val="24"/>
          <w:szCs w:val="24"/>
          <w:lang w:val="en-ZA"/>
        </w:rPr>
        <w:t xml:space="preserve"> allegations laid against him</w:t>
      </w:r>
      <w:r w:rsidR="007A0199" w:rsidRPr="008D2FF3">
        <w:rPr>
          <w:rFonts w:ascii="Times New Roman" w:eastAsia="Calibri" w:hAnsi="Times New Roman" w:cs="Times New Roman"/>
          <w:sz w:val="24"/>
          <w:szCs w:val="24"/>
          <w:lang w:val="en-ZA"/>
        </w:rPr>
        <w:t xml:space="preserve"> of fraud and bribery. The appellant did not adduce any proof to the contrary but rather stood on t</w:t>
      </w:r>
      <w:r w:rsidRPr="008D2FF3">
        <w:rPr>
          <w:rFonts w:ascii="Times New Roman" w:eastAsia="Calibri" w:hAnsi="Times New Roman" w:cs="Times New Roman"/>
          <w:sz w:val="24"/>
          <w:szCs w:val="24"/>
          <w:lang w:val="en-ZA"/>
        </w:rPr>
        <w:t>he argument that he</w:t>
      </w:r>
      <w:r w:rsidR="007A0199" w:rsidRPr="008D2FF3">
        <w:rPr>
          <w:rFonts w:ascii="Times New Roman" w:eastAsia="Calibri" w:hAnsi="Times New Roman" w:cs="Times New Roman"/>
          <w:sz w:val="24"/>
          <w:szCs w:val="24"/>
          <w:lang w:val="en-ZA"/>
        </w:rPr>
        <w:t xml:space="preserve"> had no authority to individually sign a guarantee. </w:t>
      </w:r>
    </w:p>
    <w:p w:rsidR="00123D85" w:rsidRPr="008D2FF3" w:rsidRDefault="00123D85" w:rsidP="00100CF0">
      <w:pPr>
        <w:spacing w:after="0" w:line="240" w:lineRule="auto"/>
        <w:ind w:firstLine="1134"/>
        <w:jc w:val="both"/>
        <w:rPr>
          <w:rFonts w:ascii="Times New Roman" w:eastAsia="Calibri" w:hAnsi="Times New Roman" w:cs="Times New Roman"/>
          <w:sz w:val="24"/>
          <w:szCs w:val="24"/>
          <w:lang w:val="en-ZA"/>
        </w:rPr>
      </w:pPr>
    </w:p>
    <w:p w:rsidR="00A705B3" w:rsidRPr="008D2FF3" w:rsidRDefault="00A705B3" w:rsidP="0069782D">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The appellant produced sample guarantees which it alleged were lawfully facilitated for other parties. These sample guarantees were juxtaposed with the guarantees which Mugwara had facilitated and affixed a single signa</w:t>
      </w:r>
      <w:r w:rsidR="000F73D5" w:rsidRPr="008D2FF3">
        <w:rPr>
          <w:rFonts w:ascii="Times New Roman" w:eastAsia="Calibri" w:hAnsi="Times New Roman" w:cs="Times New Roman"/>
          <w:sz w:val="24"/>
          <w:szCs w:val="24"/>
          <w:lang w:val="en-ZA"/>
        </w:rPr>
        <w:t xml:space="preserve">ture </w:t>
      </w:r>
      <w:r w:rsidRPr="008D2FF3">
        <w:rPr>
          <w:rFonts w:ascii="Times New Roman" w:eastAsia="Calibri" w:hAnsi="Times New Roman" w:cs="Times New Roman"/>
          <w:sz w:val="24"/>
          <w:szCs w:val="24"/>
          <w:lang w:val="en-ZA"/>
        </w:rPr>
        <w:t xml:space="preserve">instead of two signatures as appeared on the sample guarantees.  The appellant argued that the fact that the guarantees issued on behalf of Wedzera were not counter-signed meant that the guarantees were fake and invalid. </w:t>
      </w:r>
    </w:p>
    <w:p w:rsidR="00123D85" w:rsidRPr="008D2FF3" w:rsidRDefault="00123D85" w:rsidP="00100CF0">
      <w:pPr>
        <w:spacing w:after="0" w:line="240" w:lineRule="auto"/>
        <w:ind w:firstLine="1134"/>
        <w:jc w:val="both"/>
        <w:rPr>
          <w:rFonts w:ascii="Times New Roman" w:eastAsia="Calibri" w:hAnsi="Times New Roman" w:cs="Times New Roman"/>
          <w:sz w:val="24"/>
          <w:szCs w:val="24"/>
          <w:lang w:val="en-ZA"/>
        </w:rPr>
      </w:pPr>
    </w:p>
    <w:p w:rsidR="007A0199" w:rsidRDefault="007A0199" w:rsidP="00727723">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Sample guarantees produced before the court </w:t>
      </w:r>
      <w:r w:rsidRPr="008D2FF3">
        <w:rPr>
          <w:rFonts w:ascii="Times New Roman" w:eastAsia="Calibri" w:hAnsi="Times New Roman" w:cs="Times New Roman"/>
          <w:i/>
          <w:sz w:val="24"/>
          <w:szCs w:val="24"/>
          <w:lang w:val="en-ZA"/>
        </w:rPr>
        <w:t>a quo</w:t>
      </w:r>
      <w:r w:rsidR="00A705B3" w:rsidRPr="008D2FF3">
        <w:rPr>
          <w:rFonts w:ascii="Times New Roman" w:eastAsia="Calibri" w:hAnsi="Times New Roman" w:cs="Times New Roman"/>
          <w:sz w:val="24"/>
          <w:szCs w:val="24"/>
          <w:lang w:val="en-ZA"/>
        </w:rPr>
        <w:t xml:space="preserve"> showed that </w:t>
      </w:r>
      <w:r w:rsidRPr="008D2FF3">
        <w:rPr>
          <w:rFonts w:ascii="Times New Roman" w:eastAsia="Calibri" w:hAnsi="Times New Roman" w:cs="Times New Roman"/>
          <w:sz w:val="24"/>
          <w:szCs w:val="24"/>
          <w:lang w:val="en-ZA"/>
        </w:rPr>
        <w:t>Mugwara would count</w:t>
      </w:r>
      <w:r w:rsidR="00D60F22" w:rsidRPr="008D2FF3">
        <w:rPr>
          <w:rFonts w:ascii="Times New Roman" w:eastAsia="Calibri" w:hAnsi="Times New Roman" w:cs="Times New Roman"/>
          <w:sz w:val="24"/>
          <w:szCs w:val="24"/>
          <w:lang w:val="en-ZA"/>
        </w:rPr>
        <w:t>ersign a guarantee with other</w:t>
      </w:r>
      <w:r w:rsidRPr="008D2FF3">
        <w:rPr>
          <w:rFonts w:ascii="Times New Roman" w:eastAsia="Calibri" w:hAnsi="Times New Roman" w:cs="Times New Roman"/>
          <w:sz w:val="24"/>
          <w:szCs w:val="24"/>
          <w:lang w:val="en-ZA"/>
        </w:rPr>
        <w:t xml:space="preserve"> personnel of the Bank. It is of importance to note however, that</w:t>
      </w:r>
      <w:r w:rsidR="00D60F22" w:rsidRPr="008D2FF3">
        <w:rPr>
          <w:rFonts w:ascii="Times New Roman" w:eastAsia="Calibri" w:hAnsi="Times New Roman" w:cs="Times New Roman"/>
          <w:sz w:val="24"/>
          <w:szCs w:val="24"/>
          <w:lang w:val="en-ZA"/>
        </w:rPr>
        <w:t xml:space="preserve"> such other personnel would be </w:t>
      </w:r>
      <w:r w:rsidRPr="008D2FF3">
        <w:rPr>
          <w:rFonts w:ascii="Times New Roman" w:eastAsia="Calibri" w:hAnsi="Times New Roman" w:cs="Times New Roman"/>
          <w:sz w:val="24"/>
          <w:szCs w:val="24"/>
          <w:lang w:val="en-ZA"/>
        </w:rPr>
        <w:t xml:space="preserve">junior </w:t>
      </w:r>
      <w:r w:rsidR="00E94C5A" w:rsidRPr="008D2FF3">
        <w:rPr>
          <w:rFonts w:ascii="Times New Roman" w:eastAsia="Calibri" w:hAnsi="Times New Roman" w:cs="Times New Roman"/>
          <w:sz w:val="24"/>
          <w:szCs w:val="24"/>
          <w:lang w:val="en-ZA"/>
        </w:rPr>
        <w:t>personnel</w:t>
      </w:r>
      <w:r w:rsidR="00A705B3" w:rsidRPr="008D2FF3">
        <w:rPr>
          <w:rFonts w:ascii="Times New Roman" w:eastAsia="Calibri" w:hAnsi="Times New Roman" w:cs="Times New Roman"/>
          <w:sz w:val="24"/>
          <w:szCs w:val="24"/>
          <w:lang w:val="en-ZA"/>
        </w:rPr>
        <w:t xml:space="preserve"> and </w:t>
      </w:r>
      <w:r w:rsidRPr="008D2FF3">
        <w:rPr>
          <w:rFonts w:ascii="Times New Roman" w:eastAsia="Calibri" w:hAnsi="Times New Roman" w:cs="Times New Roman"/>
          <w:sz w:val="24"/>
          <w:szCs w:val="24"/>
          <w:lang w:val="en-ZA"/>
        </w:rPr>
        <w:t>Mugwara</w:t>
      </w:r>
      <w:r w:rsidR="00212065" w:rsidRPr="008D2FF3">
        <w:rPr>
          <w:rFonts w:ascii="Times New Roman" w:eastAsia="Calibri" w:hAnsi="Times New Roman" w:cs="Times New Roman"/>
          <w:sz w:val="24"/>
          <w:szCs w:val="24"/>
          <w:lang w:val="en-ZA"/>
        </w:rPr>
        <w:t xml:space="preserve"> would </w:t>
      </w:r>
      <w:r w:rsidR="00212065" w:rsidRPr="008D2FF3">
        <w:rPr>
          <w:rFonts w:ascii="Times New Roman" w:eastAsia="Calibri" w:hAnsi="Times New Roman" w:cs="Times New Roman"/>
          <w:sz w:val="24"/>
          <w:szCs w:val="24"/>
          <w:lang w:val="en-ZA"/>
        </w:rPr>
        <w:lastRenderedPageBreak/>
        <w:t>counter</w:t>
      </w:r>
      <w:r w:rsidRPr="008D2FF3">
        <w:rPr>
          <w:rFonts w:ascii="Times New Roman" w:eastAsia="Calibri" w:hAnsi="Times New Roman" w:cs="Times New Roman"/>
          <w:sz w:val="24"/>
          <w:szCs w:val="24"/>
          <w:lang w:val="en-ZA"/>
        </w:rPr>
        <w:t>sign to give effect to the validity of the guarantee facilitated by his subordinates. It thus could not have been extensively irregular that on the two guarantees made in f</w:t>
      </w:r>
      <w:r w:rsidR="00A705B3" w:rsidRPr="008D2FF3">
        <w:rPr>
          <w:rFonts w:ascii="Times New Roman" w:eastAsia="Calibri" w:hAnsi="Times New Roman" w:cs="Times New Roman"/>
          <w:sz w:val="24"/>
          <w:szCs w:val="24"/>
          <w:lang w:val="en-ZA"/>
        </w:rPr>
        <w:t xml:space="preserve">avour of the respondent </w:t>
      </w:r>
      <w:r w:rsidRPr="008D2FF3">
        <w:rPr>
          <w:rFonts w:ascii="Times New Roman" w:eastAsia="Calibri" w:hAnsi="Times New Roman" w:cs="Times New Roman"/>
          <w:sz w:val="24"/>
          <w:szCs w:val="24"/>
          <w:lang w:val="en-ZA"/>
        </w:rPr>
        <w:t>Mugwara signed the guarantee</w:t>
      </w:r>
      <w:r w:rsidR="00A705B3" w:rsidRPr="008D2FF3">
        <w:rPr>
          <w:rFonts w:ascii="Times New Roman" w:eastAsia="Calibri" w:hAnsi="Times New Roman" w:cs="Times New Roman"/>
          <w:sz w:val="24"/>
          <w:szCs w:val="24"/>
          <w:lang w:val="en-ZA"/>
        </w:rPr>
        <w:t>s</w:t>
      </w:r>
      <w:r w:rsidRPr="008D2FF3">
        <w:rPr>
          <w:rFonts w:ascii="Times New Roman" w:eastAsia="Calibri" w:hAnsi="Times New Roman" w:cs="Times New Roman"/>
          <w:sz w:val="24"/>
          <w:szCs w:val="24"/>
          <w:lang w:val="en-ZA"/>
        </w:rPr>
        <w:t xml:space="preserve"> with no other counter signature as he was the head of the Unit</w:t>
      </w:r>
      <w:r w:rsidR="000F73D5" w:rsidRPr="008D2FF3">
        <w:rPr>
          <w:rFonts w:ascii="Times New Roman" w:eastAsia="Calibri" w:hAnsi="Times New Roman" w:cs="Times New Roman"/>
          <w:sz w:val="24"/>
          <w:szCs w:val="24"/>
          <w:lang w:val="en-ZA"/>
        </w:rPr>
        <w:t xml:space="preserve"> from which such guarantees originated</w:t>
      </w:r>
      <w:r w:rsidRPr="008D2FF3">
        <w:rPr>
          <w:rFonts w:ascii="Times New Roman" w:eastAsia="Calibri" w:hAnsi="Times New Roman" w:cs="Times New Roman"/>
          <w:sz w:val="24"/>
          <w:szCs w:val="24"/>
          <w:lang w:val="en-ZA"/>
        </w:rPr>
        <w:t>.</w:t>
      </w:r>
    </w:p>
    <w:p w:rsidR="00727723" w:rsidRPr="00727723" w:rsidRDefault="00727723" w:rsidP="00727723">
      <w:pPr>
        <w:spacing w:after="0" w:line="240" w:lineRule="auto"/>
        <w:jc w:val="both"/>
        <w:rPr>
          <w:rFonts w:ascii="Times New Roman" w:eastAsia="Calibri" w:hAnsi="Times New Roman" w:cs="Times New Roman"/>
          <w:sz w:val="24"/>
          <w:szCs w:val="24"/>
          <w:lang w:val="en-ZA"/>
        </w:rPr>
      </w:pPr>
    </w:p>
    <w:p w:rsidR="00100CF0" w:rsidRPr="008D2FF3" w:rsidRDefault="007A0199" w:rsidP="00F04089">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arguments raised by the appellant that </w:t>
      </w:r>
      <w:r w:rsidR="00DD275B">
        <w:rPr>
          <w:rFonts w:ascii="Times New Roman" w:eastAsia="Calibri" w:hAnsi="Times New Roman" w:cs="Times New Roman"/>
          <w:sz w:val="24"/>
          <w:szCs w:val="24"/>
          <w:lang w:val="en-ZA"/>
        </w:rPr>
        <w:t>absence</w:t>
      </w:r>
      <w:r w:rsidRPr="008D2FF3">
        <w:rPr>
          <w:rFonts w:ascii="Times New Roman" w:eastAsia="Calibri" w:hAnsi="Times New Roman" w:cs="Times New Roman"/>
          <w:sz w:val="24"/>
          <w:szCs w:val="24"/>
          <w:lang w:val="en-ZA"/>
        </w:rPr>
        <w:t xml:space="preserve"> of a second signature rendered the guarante</w:t>
      </w:r>
      <w:r w:rsidR="00A705B3" w:rsidRPr="008D2FF3">
        <w:rPr>
          <w:rFonts w:ascii="Times New Roman" w:eastAsia="Calibri" w:hAnsi="Times New Roman" w:cs="Times New Roman"/>
          <w:sz w:val="24"/>
          <w:szCs w:val="24"/>
          <w:lang w:val="en-ZA"/>
        </w:rPr>
        <w:t>es ineffective thus lacks merit</w:t>
      </w:r>
      <w:r w:rsidRPr="008D2FF3">
        <w:rPr>
          <w:rFonts w:ascii="Times New Roman" w:eastAsia="Calibri" w:hAnsi="Times New Roman" w:cs="Times New Roman"/>
          <w:sz w:val="24"/>
          <w:szCs w:val="24"/>
          <w:lang w:val="en-ZA"/>
        </w:rPr>
        <w:t>. The appellant did not adduce any evidence to show that the facilitation of the g</w:t>
      </w:r>
      <w:r w:rsidR="00034660" w:rsidRPr="008D2FF3">
        <w:rPr>
          <w:rFonts w:ascii="Times New Roman" w:eastAsia="Calibri" w:hAnsi="Times New Roman" w:cs="Times New Roman"/>
          <w:sz w:val="24"/>
          <w:szCs w:val="24"/>
          <w:lang w:val="en-ZA"/>
        </w:rPr>
        <w:t>uarantee was not carried out in-house</w:t>
      </w:r>
      <w:r w:rsidRPr="008D2FF3">
        <w:rPr>
          <w:rFonts w:ascii="Times New Roman" w:eastAsia="Calibri" w:hAnsi="Times New Roman" w:cs="Times New Roman"/>
          <w:sz w:val="24"/>
          <w:szCs w:val="24"/>
          <w:lang w:val="en-ZA"/>
        </w:rPr>
        <w:t>. The appellant’s witnesses could have brought the register for credit facilities is</w:t>
      </w:r>
      <w:r w:rsidR="00A705B3" w:rsidRPr="008D2FF3">
        <w:rPr>
          <w:rFonts w:ascii="Times New Roman" w:eastAsia="Calibri" w:hAnsi="Times New Roman" w:cs="Times New Roman"/>
          <w:sz w:val="24"/>
          <w:szCs w:val="24"/>
          <w:lang w:val="en-ZA"/>
        </w:rPr>
        <w:t>sued by the Bank to show that no</w:t>
      </w:r>
      <w:r w:rsidRPr="008D2FF3">
        <w:rPr>
          <w:rFonts w:ascii="Times New Roman" w:eastAsia="Calibri" w:hAnsi="Times New Roman" w:cs="Times New Roman"/>
          <w:sz w:val="24"/>
          <w:szCs w:val="24"/>
          <w:lang w:val="en-ZA"/>
        </w:rPr>
        <w:t xml:space="preserve"> entry was ever made in favour of Wed</w:t>
      </w:r>
      <w:r w:rsidR="00A705B3" w:rsidRPr="008D2FF3">
        <w:rPr>
          <w:rFonts w:ascii="Times New Roman" w:eastAsia="Calibri" w:hAnsi="Times New Roman" w:cs="Times New Roman"/>
          <w:sz w:val="24"/>
          <w:szCs w:val="24"/>
          <w:lang w:val="en-ZA"/>
        </w:rPr>
        <w:t xml:space="preserve">zera to the respondent. </w:t>
      </w:r>
      <w:r w:rsidRPr="008D2FF3">
        <w:rPr>
          <w:rFonts w:ascii="Times New Roman" w:eastAsia="Calibri" w:hAnsi="Times New Roman" w:cs="Times New Roman"/>
          <w:sz w:val="24"/>
          <w:szCs w:val="24"/>
          <w:lang w:val="en-ZA"/>
        </w:rPr>
        <w:t>M</w:t>
      </w:r>
      <w:r w:rsidR="00E94C5A" w:rsidRPr="008D2FF3">
        <w:rPr>
          <w:rFonts w:ascii="Times New Roman" w:eastAsia="Calibri" w:hAnsi="Times New Roman" w:cs="Times New Roman"/>
          <w:sz w:val="24"/>
          <w:szCs w:val="24"/>
          <w:lang w:val="en-ZA"/>
        </w:rPr>
        <w:t>ugwara vehemently</w:t>
      </w:r>
      <w:r w:rsidRPr="008D2FF3">
        <w:rPr>
          <w:rFonts w:ascii="Times New Roman" w:eastAsia="Calibri" w:hAnsi="Times New Roman" w:cs="Times New Roman"/>
          <w:sz w:val="24"/>
          <w:szCs w:val="24"/>
          <w:lang w:val="en-ZA"/>
        </w:rPr>
        <w:t xml:space="preserve"> denied</w:t>
      </w:r>
      <w:r w:rsidR="00E94C5A" w:rsidRPr="008D2FF3">
        <w:rPr>
          <w:rFonts w:ascii="Times New Roman" w:eastAsia="Calibri" w:hAnsi="Times New Roman" w:cs="Times New Roman"/>
          <w:sz w:val="24"/>
          <w:szCs w:val="24"/>
          <w:lang w:val="en-ZA"/>
        </w:rPr>
        <w:t xml:space="preserve"> </w:t>
      </w:r>
      <w:r w:rsidR="00F04089" w:rsidRPr="008D2FF3">
        <w:rPr>
          <w:rFonts w:ascii="Times New Roman" w:eastAsia="Calibri" w:hAnsi="Times New Roman" w:cs="Times New Roman"/>
          <w:sz w:val="24"/>
          <w:szCs w:val="24"/>
          <w:lang w:val="en-ZA"/>
        </w:rPr>
        <w:t>that he had</w:t>
      </w:r>
      <w:r w:rsidR="00E94C5A" w:rsidRPr="008D2FF3">
        <w:rPr>
          <w:rFonts w:ascii="Times New Roman" w:eastAsia="Calibri" w:hAnsi="Times New Roman" w:cs="Times New Roman"/>
          <w:sz w:val="24"/>
          <w:szCs w:val="24"/>
          <w:lang w:val="en-ZA"/>
        </w:rPr>
        <w:t xml:space="preserve"> not followed proper procedures in processing the guarantee</w:t>
      </w:r>
      <w:r w:rsidR="000F73D5" w:rsidRPr="008D2FF3">
        <w:rPr>
          <w:rFonts w:ascii="Times New Roman" w:eastAsia="Calibri" w:hAnsi="Times New Roman" w:cs="Times New Roman"/>
          <w:sz w:val="24"/>
          <w:szCs w:val="24"/>
          <w:lang w:val="en-ZA"/>
        </w:rPr>
        <w:t>s and stated that records of</w:t>
      </w:r>
      <w:r w:rsidR="00E94C5A" w:rsidRPr="008D2FF3">
        <w:rPr>
          <w:rFonts w:ascii="Times New Roman" w:eastAsia="Calibri" w:hAnsi="Times New Roman" w:cs="Times New Roman"/>
          <w:sz w:val="24"/>
          <w:szCs w:val="24"/>
          <w:lang w:val="en-ZA"/>
        </w:rPr>
        <w:t xml:space="preserve"> the guarantees were with the appellant.</w:t>
      </w:r>
    </w:p>
    <w:p w:rsidR="000F73D5" w:rsidRPr="008D2FF3" w:rsidRDefault="00E94C5A" w:rsidP="00BD1272">
      <w:pPr>
        <w:spacing w:after="0" w:line="240" w:lineRule="auto"/>
        <w:ind w:firstLine="1134"/>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 </w:t>
      </w:r>
    </w:p>
    <w:p w:rsidR="007A0199" w:rsidRPr="008D2FF3" w:rsidRDefault="00A705B3" w:rsidP="005B73DB">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In examination in chief </w:t>
      </w:r>
      <w:r w:rsidR="005F4A1A" w:rsidRPr="008D2FF3">
        <w:rPr>
          <w:rFonts w:ascii="Times New Roman" w:eastAsia="Calibri" w:hAnsi="Times New Roman" w:cs="Times New Roman"/>
          <w:sz w:val="24"/>
          <w:szCs w:val="24"/>
          <w:lang w:val="en-ZA"/>
        </w:rPr>
        <w:t>M</w:t>
      </w:r>
      <w:r w:rsidR="008E053F" w:rsidRPr="008D2FF3">
        <w:rPr>
          <w:rFonts w:ascii="Times New Roman" w:eastAsia="Calibri" w:hAnsi="Times New Roman" w:cs="Times New Roman"/>
          <w:sz w:val="24"/>
          <w:szCs w:val="24"/>
          <w:lang w:val="en-ZA"/>
        </w:rPr>
        <w:t>u</w:t>
      </w:r>
      <w:r w:rsidR="005F4A1A" w:rsidRPr="008D2FF3">
        <w:rPr>
          <w:rFonts w:ascii="Times New Roman" w:eastAsia="Calibri" w:hAnsi="Times New Roman" w:cs="Times New Roman"/>
          <w:sz w:val="24"/>
          <w:szCs w:val="24"/>
          <w:lang w:val="en-ZA"/>
        </w:rPr>
        <w:t>gwara admitted to having recorded the guarantees</w:t>
      </w:r>
      <w:r w:rsidRPr="008D2FF3">
        <w:rPr>
          <w:rFonts w:ascii="Times New Roman" w:eastAsia="Calibri" w:hAnsi="Times New Roman" w:cs="Times New Roman"/>
          <w:sz w:val="24"/>
          <w:szCs w:val="24"/>
          <w:lang w:val="en-ZA"/>
        </w:rPr>
        <w:t xml:space="preserve"> in the Bank’s register</w:t>
      </w:r>
      <w:r w:rsidR="005F4A1A" w:rsidRPr="008D2FF3">
        <w:rPr>
          <w:rFonts w:ascii="Times New Roman" w:eastAsia="Calibri" w:hAnsi="Times New Roman" w:cs="Times New Roman"/>
          <w:sz w:val="24"/>
          <w:szCs w:val="24"/>
          <w:lang w:val="en-ZA"/>
        </w:rPr>
        <w:t xml:space="preserve">. </w:t>
      </w:r>
      <w:r w:rsidR="00E94C5A" w:rsidRPr="008D2FF3">
        <w:rPr>
          <w:rFonts w:ascii="Times New Roman" w:eastAsia="Calibri" w:hAnsi="Times New Roman" w:cs="Times New Roman"/>
          <w:sz w:val="24"/>
          <w:szCs w:val="24"/>
          <w:lang w:val="en-ZA"/>
        </w:rPr>
        <w:t xml:space="preserve">The court </w:t>
      </w:r>
      <w:r w:rsidR="00E94C5A" w:rsidRPr="008D2FF3">
        <w:rPr>
          <w:rFonts w:ascii="Times New Roman" w:eastAsia="Calibri" w:hAnsi="Times New Roman" w:cs="Times New Roman"/>
          <w:i/>
          <w:sz w:val="24"/>
          <w:szCs w:val="24"/>
          <w:lang w:val="en-ZA"/>
        </w:rPr>
        <w:t>a quo</w:t>
      </w:r>
      <w:r w:rsidR="00E94C5A" w:rsidRPr="008D2FF3">
        <w:rPr>
          <w:rFonts w:ascii="Times New Roman" w:eastAsia="Calibri" w:hAnsi="Times New Roman" w:cs="Times New Roman"/>
          <w:sz w:val="24"/>
          <w:szCs w:val="24"/>
          <w:lang w:val="en-ZA"/>
        </w:rPr>
        <w:t xml:space="preserve"> in assessing these facts found that:</w:t>
      </w:r>
    </w:p>
    <w:p w:rsidR="003257AE" w:rsidRPr="008D2FF3" w:rsidRDefault="00E94C5A" w:rsidP="00C76290">
      <w:pPr>
        <w:spacing w:after="0" w:line="240" w:lineRule="auto"/>
        <w:ind w:left="1134"/>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“The evidence on whether or not Mugwara could issue guarantees on his single signature was inconclusive. Mugwara said he could. The Bank said he could not. The onus was on the Bank to prove that he could not. It did not refute satisfactorily Mugwara’s claim that it was only guarantees ini</w:t>
      </w:r>
      <w:r w:rsidR="005F4A1A" w:rsidRPr="008D2FF3">
        <w:rPr>
          <w:rFonts w:ascii="Times New Roman" w:eastAsia="Calibri" w:hAnsi="Times New Roman" w:cs="Times New Roman"/>
          <w:sz w:val="24"/>
          <w:szCs w:val="24"/>
          <w:lang w:val="en-ZA"/>
        </w:rPr>
        <w:t xml:space="preserve">tiated by </w:t>
      </w:r>
      <w:r w:rsidR="008E053F" w:rsidRPr="008D2FF3">
        <w:rPr>
          <w:rFonts w:ascii="Times New Roman" w:eastAsia="Calibri" w:hAnsi="Times New Roman" w:cs="Times New Roman"/>
          <w:sz w:val="24"/>
          <w:szCs w:val="24"/>
          <w:lang w:val="en-ZA"/>
        </w:rPr>
        <w:t>subordinates</w:t>
      </w:r>
      <w:r w:rsidR="003257AE" w:rsidRPr="008D2FF3">
        <w:rPr>
          <w:rFonts w:ascii="Times New Roman" w:eastAsia="Calibri" w:hAnsi="Times New Roman" w:cs="Times New Roman"/>
          <w:sz w:val="24"/>
          <w:szCs w:val="24"/>
          <w:lang w:val="en-ZA"/>
        </w:rPr>
        <w:t xml:space="preserve"> that required to be counter-signed for validity. I find that the bank failed to discharge the onus on such a key aspect of defence.”</w:t>
      </w:r>
    </w:p>
    <w:p w:rsidR="00285BBE" w:rsidRPr="008D2FF3" w:rsidRDefault="00285BBE" w:rsidP="00F87943">
      <w:pPr>
        <w:spacing w:after="0" w:line="480" w:lineRule="auto"/>
        <w:ind w:left="851"/>
        <w:jc w:val="both"/>
        <w:rPr>
          <w:rFonts w:ascii="Times New Roman" w:eastAsia="Calibri" w:hAnsi="Times New Roman" w:cs="Times New Roman"/>
          <w:sz w:val="24"/>
          <w:szCs w:val="24"/>
          <w:lang w:val="en-ZA"/>
        </w:rPr>
      </w:pPr>
    </w:p>
    <w:p w:rsidR="003257AE" w:rsidRPr="008D2FF3" w:rsidRDefault="00A705B3" w:rsidP="005B73DB">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In finding that </w:t>
      </w:r>
      <w:r w:rsidR="003257AE" w:rsidRPr="008D2FF3">
        <w:rPr>
          <w:rFonts w:ascii="Times New Roman" w:eastAsia="Calibri" w:hAnsi="Times New Roman" w:cs="Times New Roman"/>
          <w:sz w:val="24"/>
          <w:szCs w:val="24"/>
          <w:lang w:val="en-ZA"/>
        </w:rPr>
        <w:t>M</w:t>
      </w:r>
      <w:r w:rsidR="008E053F" w:rsidRPr="008D2FF3">
        <w:rPr>
          <w:rFonts w:ascii="Times New Roman" w:eastAsia="Calibri" w:hAnsi="Times New Roman" w:cs="Times New Roman"/>
          <w:sz w:val="24"/>
          <w:szCs w:val="24"/>
          <w:lang w:val="en-ZA"/>
        </w:rPr>
        <w:t>u</w:t>
      </w:r>
      <w:r w:rsidR="003257AE" w:rsidRPr="008D2FF3">
        <w:rPr>
          <w:rFonts w:ascii="Times New Roman" w:eastAsia="Calibri" w:hAnsi="Times New Roman" w:cs="Times New Roman"/>
          <w:sz w:val="24"/>
          <w:szCs w:val="24"/>
          <w:lang w:val="en-ZA"/>
        </w:rPr>
        <w:t xml:space="preserve">gwara had authority to act on behalf of the appellant, the court </w:t>
      </w:r>
      <w:r w:rsidR="003257AE" w:rsidRPr="008D2FF3">
        <w:rPr>
          <w:rFonts w:ascii="Times New Roman" w:eastAsia="Calibri" w:hAnsi="Times New Roman" w:cs="Times New Roman"/>
          <w:i/>
          <w:sz w:val="24"/>
          <w:szCs w:val="24"/>
          <w:lang w:val="en-ZA"/>
        </w:rPr>
        <w:t>a quo</w:t>
      </w:r>
      <w:r w:rsidR="003257AE" w:rsidRPr="008D2FF3">
        <w:rPr>
          <w:rFonts w:ascii="Times New Roman" w:eastAsia="Calibri" w:hAnsi="Times New Roman" w:cs="Times New Roman"/>
          <w:sz w:val="24"/>
          <w:szCs w:val="24"/>
          <w:lang w:val="en-ZA"/>
        </w:rPr>
        <w:t xml:space="preserve"> made reference to the incidental clause in his job description document. A reading of</w:t>
      </w:r>
      <w:r w:rsidR="000F73D5" w:rsidRPr="008D2FF3">
        <w:rPr>
          <w:rFonts w:ascii="Times New Roman" w:eastAsia="Calibri" w:hAnsi="Times New Roman" w:cs="Times New Roman"/>
          <w:sz w:val="24"/>
          <w:szCs w:val="24"/>
          <w:lang w:val="en-ZA"/>
        </w:rPr>
        <w:t xml:space="preserve"> the clause shows that Mugwara </w:t>
      </w:r>
      <w:r w:rsidR="003257AE" w:rsidRPr="008D2FF3">
        <w:rPr>
          <w:rFonts w:ascii="Times New Roman" w:eastAsia="Calibri" w:hAnsi="Times New Roman" w:cs="Times New Roman"/>
          <w:sz w:val="24"/>
          <w:szCs w:val="24"/>
          <w:lang w:val="en-ZA"/>
        </w:rPr>
        <w:t>as the Head of S</w:t>
      </w:r>
      <w:r w:rsidR="008E053F" w:rsidRPr="008D2FF3">
        <w:rPr>
          <w:rFonts w:ascii="Times New Roman" w:eastAsia="Calibri" w:hAnsi="Times New Roman" w:cs="Times New Roman"/>
          <w:sz w:val="24"/>
          <w:szCs w:val="24"/>
          <w:lang w:val="en-ZA"/>
        </w:rPr>
        <w:t>h</w:t>
      </w:r>
      <w:r w:rsidR="003257AE" w:rsidRPr="008D2FF3">
        <w:rPr>
          <w:rFonts w:ascii="Times New Roman" w:eastAsia="Calibri" w:hAnsi="Times New Roman" w:cs="Times New Roman"/>
          <w:sz w:val="24"/>
          <w:szCs w:val="24"/>
          <w:lang w:val="en-ZA"/>
        </w:rPr>
        <w:t>ort Term Loans, had to take due diligence and not make an error of judgment as such error</w:t>
      </w:r>
      <w:r w:rsidR="008E053F" w:rsidRPr="008D2FF3">
        <w:rPr>
          <w:rFonts w:ascii="Times New Roman" w:eastAsia="Calibri" w:hAnsi="Times New Roman" w:cs="Times New Roman"/>
          <w:sz w:val="24"/>
          <w:szCs w:val="24"/>
          <w:lang w:val="en-ZA"/>
        </w:rPr>
        <w:t xml:space="preserve"> in cre</w:t>
      </w:r>
      <w:r w:rsidR="00D60F22" w:rsidRPr="008D2FF3">
        <w:rPr>
          <w:rFonts w:ascii="Times New Roman" w:eastAsia="Calibri" w:hAnsi="Times New Roman" w:cs="Times New Roman"/>
          <w:sz w:val="24"/>
          <w:szCs w:val="24"/>
          <w:lang w:val="en-ZA"/>
        </w:rPr>
        <w:t>ating a bad loan portfolio</w:t>
      </w:r>
      <w:r w:rsidR="003257AE" w:rsidRPr="008D2FF3">
        <w:rPr>
          <w:rFonts w:ascii="Times New Roman" w:eastAsia="Calibri" w:hAnsi="Times New Roman" w:cs="Times New Roman"/>
          <w:sz w:val="24"/>
          <w:szCs w:val="24"/>
          <w:lang w:val="en-ZA"/>
        </w:rPr>
        <w:t xml:space="preserve"> would have catastrophic </w:t>
      </w:r>
      <w:r w:rsidR="008E053F" w:rsidRPr="008D2FF3">
        <w:rPr>
          <w:rFonts w:ascii="Times New Roman" w:eastAsia="Calibri" w:hAnsi="Times New Roman" w:cs="Times New Roman"/>
          <w:sz w:val="24"/>
          <w:szCs w:val="24"/>
          <w:lang w:val="en-ZA"/>
        </w:rPr>
        <w:t xml:space="preserve">consequences which could lead the appellant to </w:t>
      </w:r>
      <w:r w:rsidR="008E053F" w:rsidRPr="008D2FF3">
        <w:rPr>
          <w:rFonts w:ascii="Times New Roman" w:eastAsia="Calibri" w:hAnsi="Times New Roman" w:cs="Times New Roman"/>
          <w:sz w:val="24"/>
          <w:szCs w:val="24"/>
          <w:lang w:val="en-ZA"/>
        </w:rPr>
        <w:lastRenderedPageBreak/>
        <w:t>insolvency. This clause in itself crystalize</w:t>
      </w:r>
      <w:r w:rsidRPr="008D2FF3">
        <w:rPr>
          <w:rFonts w:ascii="Times New Roman" w:eastAsia="Calibri" w:hAnsi="Times New Roman" w:cs="Times New Roman"/>
          <w:sz w:val="24"/>
          <w:szCs w:val="24"/>
          <w:lang w:val="en-ZA"/>
        </w:rPr>
        <w:t>s the point that he</w:t>
      </w:r>
      <w:r w:rsidR="008E053F" w:rsidRPr="008D2FF3">
        <w:rPr>
          <w:rFonts w:ascii="Times New Roman" w:eastAsia="Calibri" w:hAnsi="Times New Roman" w:cs="Times New Roman"/>
          <w:sz w:val="24"/>
          <w:szCs w:val="24"/>
          <w:lang w:val="en-ZA"/>
        </w:rPr>
        <w:t xml:space="preserve"> had authority to act on behalf of the appellant in a manner which could exten</w:t>
      </w:r>
      <w:r w:rsidR="00B54042" w:rsidRPr="008D2FF3">
        <w:rPr>
          <w:rFonts w:ascii="Times New Roman" w:eastAsia="Calibri" w:hAnsi="Times New Roman" w:cs="Times New Roman"/>
          <w:sz w:val="24"/>
          <w:szCs w:val="24"/>
          <w:lang w:val="en-ZA"/>
        </w:rPr>
        <w:t>d</w:t>
      </w:r>
      <w:r w:rsidR="008E053F" w:rsidRPr="008D2FF3">
        <w:rPr>
          <w:rFonts w:ascii="Times New Roman" w:eastAsia="Calibri" w:hAnsi="Times New Roman" w:cs="Times New Roman"/>
          <w:sz w:val="24"/>
          <w:szCs w:val="24"/>
          <w:lang w:val="en-ZA"/>
        </w:rPr>
        <w:t xml:space="preserve"> to issuing guarantees. </w:t>
      </w:r>
      <w:r w:rsidRPr="008D2FF3">
        <w:rPr>
          <w:rFonts w:ascii="Times New Roman" w:eastAsia="Calibri" w:hAnsi="Times New Roman" w:cs="Times New Roman"/>
          <w:sz w:val="24"/>
          <w:szCs w:val="24"/>
          <w:lang w:val="en-ZA"/>
        </w:rPr>
        <w:t>Only a senior officer of the Bank could possess authority to act on its behalf to an extent where an error of judgment would lead to catastrophic results.</w:t>
      </w:r>
    </w:p>
    <w:p w:rsidR="00C76290" w:rsidRPr="008D2FF3" w:rsidRDefault="00C76290" w:rsidP="00C76290">
      <w:pPr>
        <w:pStyle w:val="ListParagraph"/>
        <w:spacing w:before="240" w:after="0" w:line="480" w:lineRule="auto"/>
        <w:ind w:left="1134"/>
        <w:jc w:val="both"/>
        <w:rPr>
          <w:rFonts w:ascii="Times New Roman" w:eastAsia="Calibri" w:hAnsi="Times New Roman" w:cs="Times New Roman"/>
          <w:sz w:val="24"/>
          <w:szCs w:val="24"/>
          <w:lang w:val="en-ZA"/>
        </w:rPr>
      </w:pPr>
    </w:p>
    <w:p w:rsidR="00C76290" w:rsidRPr="008D2FF3" w:rsidRDefault="00C76290" w:rsidP="005B73DB">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It is a settled principle that this Court will not easily interfere with factual findings made by a lower court unless the findings are grossly unreasonable. (See </w:t>
      </w:r>
      <w:r w:rsidRPr="008D2FF3">
        <w:rPr>
          <w:rFonts w:ascii="Times New Roman" w:eastAsia="Calibri" w:hAnsi="Times New Roman" w:cs="Times New Roman"/>
          <w:i/>
          <w:sz w:val="24"/>
          <w:szCs w:val="24"/>
          <w:lang w:val="en-ZA"/>
        </w:rPr>
        <w:t>ZINWA v Mwoyounotsva</w:t>
      </w:r>
      <w:r w:rsidRPr="008D2FF3">
        <w:rPr>
          <w:rFonts w:ascii="Times New Roman" w:eastAsia="Calibri" w:hAnsi="Times New Roman" w:cs="Times New Roman"/>
          <w:sz w:val="24"/>
          <w:szCs w:val="24"/>
          <w:lang w:val="en-ZA"/>
        </w:rPr>
        <w:t xml:space="preserve"> 2015 (1) ZLR 935 (S), </w:t>
      </w:r>
      <w:r w:rsidRPr="008D2FF3">
        <w:rPr>
          <w:rFonts w:ascii="Times New Roman" w:eastAsia="Calibri" w:hAnsi="Times New Roman" w:cs="Times New Roman"/>
          <w:i/>
          <w:sz w:val="24"/>
          <w:szCs w:val="24"/>
          <w:lang w:val="en-ZA"/>
        </w:rPr>
        <w:t xml:space="preserve">Hama v NRZ </w:t>
      </w:r>
      <w:r w:rsidRPr="008D2FF3">
        <w:rPr>
          <w:rFonts w:ascii="Times New Roman" w:eastAsia="Calibri" w:hAnsi="Times New Roman" w:cs="Times New Roman"/>
          <w:sz w:val="24"/>
          <w:szCs w:val="24"/>
          <w:lang w:val="en-ZA"/>
        </w:rPr>
        <w:t xml:space="preserve">1996(1) ZLR 664 (S), </w:t>
      </w:r>
      <w:r w:rsidRPr="008D2FF3">
        <w:rPr>
          <w:rFonts w:ascii="Times New Roman" w:eastAsia="Calibri" w:hAnsi="Times New Roman" w:cs="Times New Roman"/>
          <w:i/>
          <w:sz w:val="24"/>
          <w:szCs w:val="24"/>
          <w:lang w:val="en-ZA"/>
        </w:rPr>
        <w:t>Reserve Bank of Zimbabwe v Corrine Granger and Another</w:t>
      </w:r>
      <w:r w:rsidRPr="008D2FF3">
        <w:rPr>
          <w:rFonts w:ascii="Times New Roman" w:eastAsia="Calibri" w:hAnsi="Times New Roman" w:cs="Times New Roman"/>
          <w:sz w:val="24"/>
          <w:szCs w:val="24"/>
          <w:lang w:val="en-ZA"/>
        </w:rPr>
        <w:t xml:space="preserve"> SC 34/01) The lower court enjoys the opportunity to see the witnesses on the stand, assess their demeanour and credibility. Such findings of fact cannot easily be interfered with by an appellate court as it is limited to the record of proceedings. See </w:t>
      </w:r>
      <w:r w:rsidRPr="008D2FF3">
        <w:rPr>
          <w:rFonts w:ascii="Times New Roman" w:eastAsia="Calibri" w:hAnsi="Times New Roman" w:cs="Times New Roman"/>
          <w:i/>
          <w:sz w:val="24"/>
          <w:szCs w:val="24"/>
          <w:lang w:val="en-ZA"/>
        </w:rPr>
        <w:t>Mtimukulu v Nkiwane and Another</w:t>
      </w:r>
      <w:r w:rsidRPr="008D2FF3">
        <w:rPr>
          <w:rFonts w:ascii="Times New Roman" w:eastAsia="Calibri" w:hAnsi="Times New Roman" w:cs="Times New Roman"/>
          <w:sz w:val="24"/>
          <w:szCs w:val="24"/>
          <w:lang w:val="en-ZA"/>
        </w:rPr>
        <w:t xml:space="preserve"> SC 136/01.</w:t>
      </w:r>
    </w:p>
    <w:p w:rsidR="00100CF0" w:rsidRPr="008D2FF3" w:rsidRDefault="00100CF0" w:rsidP="00100CF0">
      <w:pPr>
        <w:spacing w:before="240" w:after="0" w:line="240" w:lineRule="auto"/>
        <w:ind w:firstLine="1134"/>
        <w:jc w:val="both"/>
        <w:rPr>
          <w:rFonts w:ascii="Times New Roman" w:eastAsia="Calibri" w:hAnsi="Times New Roman" w:cs="Times New Roman"/>
          <w:sz w:val="24"/>
          <w:szCs w:val="24"/>
          <w:lang w:val="en-ZA"/>
        </w:rPr>
      </w:pPr>
    </w:p>
    <w:p w:rsidR="000F73D5" w:rsidRPr="008D2FF3" w:rsidRDefault="000F73D5" w:rsidP="005B73DB">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It is </w:t>
      </w:r>
      <w:r w:rsidR="00C76290" w:rsidRPr="008D2FF3">
        <w:rPr>
          <w:rFonts w:ascii="Times New Roman" w:eastAsia="Calibri" w:hAnsi="Times New Roman" w:cs="Times New Roman"/>
          <w:sz w:val="24"/>
          <w:szCs w:val="24"/>
          <w:lang w:val="en-ZA"/>
        </w:rPr>
        <w:t>my</w:t>
      </w:r>
      <w:r w:rsidRPr="008D2FF3">
        <w:rPr>
          <w:rFonts w:ascii="Times New Roman" w:eastAsia="Calibri" w:hAnsi="Times New Roman" w:cs="Times New Roman"/>
          <w:sz w:val="24"/>
          <w:szCs w:val="24"/>
          <w:lang w:val="en-ZA"/>
        </w:rPr>
        <w:t xml:space="preserve"> view that the court </w:t>
      </w:r>
      <w:r w:rsidRPr="008D2FF3">
        <w:rPr>
          <w:rFonts w:ascii="Times New Roman" w:eastAsia="Calibri" w:hAnsi="Times New Roman" w:cs="Times New Roman"/>
          <w:i/>
          <w:sz w:val="24"/>
          <w:szCs w:val="24"/>
          <w:lang w:val="en-ZA"/>
        </w:rPr>
        <w:t xml:space="preserve">a quo’s </w:t>
      </w:r>
      <w:r w:rsidRPr="008D2FF3">
        <w:rPr>
          <w:rFonts w:ascii="Times New Roman" w:eastAsia="Calibri" w:hAnsi="Times New Roman" w:cs="Times New Roman"/>
          <w:sz w:val="24"/>
          <w:szCs w:val="24"/>
          <w:lang w:val="en-ZA"/>
        </w:rPr>
        <w:t>factual findings cannot be impugned</w:t>
      </w:r>
      <w:r w:rsidR="00C76290" w:rsidRPr="008D2FF3">
        <w:rPr>
          <w:rFonts w:ascii="Times New Roman" w:eastAsia="Calibri" w:hAnsi="Times New Roman" w:cs="Times New Roman"/>
          <w:sz w:val="24"/>
          <w:szCs w:val="24"/>
          <w:lang w:val="en-ZA"/>
        </w:rPr>
        <w:t>.</w:t>
      </w:r>
      <w:r w:rsidRPr="008D2FF3">
        <w:rPr>
          <w:rFonts w:ascii="Times New Roman" w:eastAsia="Calibri" w:hAnsi="Times New Roman" w:cs="Times New Roman"/>
          <w:sz w:val="24"/>
          <w:szCs w:val="24"/>
          <w:lang w:val="en-ZA"/>
        </w:rPr>
        <w:t xml:space="preserve"> Mugwara was a senior employee who could carry out credit facilitation and represent the appellant. All the above findings </w:t>
      </w:r>
      <w:r w:rsidR="008E053F" w:rsidRPr="008D2FF3">
        <w:rPr>
          <w:rFonts w:ascii="Times New Roman" w:eastAsia="Calibri" w:hAnsi="Times New Roman" w:cs="Times New Roman"/>
          <w:sz w:val="24"/>
          <w:szCs w:val="24"/>
          <w:lang w:val="en-ZA"/>
        </w:rPr>
        <w:t xml:space="preserve">lead to the inescapable conclusion that the court </w:t>
      </w:r>
      <w:r w:rsidR="008E053F" w:rsidRPr="008D2FF3">
        <w:rPr>
          <w:rFonts w:ascii="Times New Roman" w:eastAsia="Calibri" w:hAnsi="Times New Roman" w:cs="Times New Roman"/>
          <w:i/>
          <w:sz w:val="24"/>
          <w:szCs w:val="24"/>
          <w:lang w:val="en-ZA"/>
        </w:rPr>
        <w:t>a quo’s</w:t>
      </w:r>
      <w:r w:rsidR="008E053F"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 xml:space="preserve">factual findings were correct. </w:t>
      </w:r>
    </w:p>
    <w:p w:rsidR="005404CD" w:rsidRPr="008D2FF3" w:rsidRDefault="005404CD" w:rsidP="00100CF0">
      <w:pPr>
        <w:spacing w:after="0" w:line="240" w:lineRule="auto"/>
        <w:ind w:firstLine="1134"/>
        <w:jc w:val="both"/>
        <w:rPr>
          <w:rFonts w:ascii="Times New Roman" w:eastAsia="Calibri" w:hAnsi="Times New Roman" w:cs="Times New Roman"/>
          <w:sz w:val="24"/>
          <w:szCs w:val="24"/>
          <w:lang w:val="en-ZA"/>
        </w:rPr>
      </w:pPr>
    </w:p>
    <w:p w:rsidR="008E053F" w:rsidRPr="008D2FF3" w:rsidRDefault="008E053F" w:rsidP="00C76290">
      <w:pPr>
        <w:pStyle w:val="ListParagraph"/>
        <w:numPr>
          <w:ilvl w:val="0"/>
          <w:numId w:val="16"/>
        </w:numPr>
        <w:spacing w:before="240" w:after="0" w:line="480" w:lineRule="auto"/>
        <w:ind w:left="1134" w:hanging="850"/>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T</w:t>
      </w:r>
      <w:r w:rsidR="00C174AE" w:rsidRPr="008D2FF3">
        <w:rPr>
          <w:rFonts w:ascii="Times New Roman" w:eastAsia="Calibri" w:hAnsi="Times New Roman" w:cs="Times New Roman"/>
          <w:sz w:val="24"/>
          <w:szCs w:val="24"/>
          <w:lang w:val="en-ZA"/>
        </w:rPr>
        <w:t xml:space="preserve">he next </w:t>
      </w:r>
      <w:r w:rsidRPr="008D2FF3">
        <w:rPr>
          <w:rFonts w:ascii="Times New Roman" w:eastAsia="Calibri" w:hAnsi="Times New Roman" w:cs="Times New Roman"/>
          <w:sz w:val="24"/>
          <w:szCs w:val="24"/>
          <w:lang w:val="en-ZA"/>
        </w:rPr>
        <w:t xml:space="preserve">inquiry that arises from this finding </w:t>
      </w:r>
      <w:r w:rsidR="00A705B3" w:rsidRPr="008D2FF3">
        <w:rPr>
          <w:rFonts w:ascii="Times New Roman" w:eastAsia="Calibri" w:hAnsi="Times New Roman" w:cs="Times New Roman"/>
          <w:sz w:val="24"/>
          <w:szCs w:val="24"/>
          <w:lang w:val="en-ZA"/>
        </w:rPr>
        <w:t xml:space="preserve">is the extent of the authority </w:t>
      </w:r>
      <w:r w:rsidRPr="008D2FF3">
        <w:rPr>
          <w:rFonts w:ascii="Times New Roman" w:eastAsia="Calibri" w:hAnsi="Times New Roman" w:cs="Times New Roman"/>
          <w:sz w:val="24"/>
          <w:szCs w:val="24"/>
          <w:lang w:val="en-ZA"/>
        </w:rPr>
        <w:t>Mugwara had</w:t>
      </w:r>
      <w:r w:rsidR="000F73D5" w:rsidRPr="008D2FF3">
        <w:rPr>
          <w:rFonts w:ascii="Times New Roman" w:eastAsia="Calibri" w:hAnsi="Times New Roman" w:cs="Times New Roman"/>
          <w:sz w:val="24"/>
          <w:szCs w:val="24"/>
          <w:lang w:val="en-ZA"/>
        </w:rPr>
        <w:t xml:space="preserve"> in issuing the guarantees to the </w:t>
      </w:r>
      <w:r w:rsidR="005404CD" w:rsidRPr="008D2FF3">
        <w:rPr>
          <w:rFonts w:ascii="Times New Roman" w:eastAsia="Calibri" w:hAnsi="Times New Roman" w:cs="Times New Roman"/>
          <w:sz w:val="24"/>
          <w:szCs w:val="24"/>
          <w:lang w:val="en-ZA"/>
        </w:rPr>
        <w:t>respondent, that</w:t>
      </w:r>
      <w:r w:rsidR="000F73D5" w:rsidRPr="008D2FF3">
        <w:rPr>
          <w:rFonts w:ascii="Times New Roman" w:eastAsia="Calibri" w:hAnsi="Times New Roman" w:cs="Times New Roman"/>
          <w:sz w:val="24"/>
          <w:szCs w:val="24"/>
          <w:lang w:val="en-ZA"/>
        </w:rPr>
        <w:t xml:space="preserve"> is, whether or not it was </w:t>
      </w:r>
      <w:r w:rsidR="00C174AE" w:rsidRPr="008D2FF3">
        <w:rPr>
          <w:rFonts w:ascii="Times New Roman" w:eastAsia="Calibri" w:hAnsi="Times New Roman" w:cs="Times New Roman"/>
          <w:sz w:val="24"/>
          <w:szCs w:val="24"/>
          <w:lang w:val="en-ZA"/>
        </w:rPr>
        <w:t>implied or express</w:t>
      </w:r>
      <w:r w:rsidR="000F73D5" w:rsidRPr="008D2FF3">
        <w:rPr>
          <w:rFonts w:ascii="Times New Roman" w:eastAsia="Calibri" w:hAnsi="Times New Roman" w:cs="Times New Roman"/>
          <w:sz w:val="24"/>
          <w:szCs w:val="24"/>
          <w:lang w:val="en-ZA"/>
        </w:rPr>
        <w:t xml:space="preserve"> authority</w:t>
      </w:r>
      <w:r w:rsidR="00C174AE" w:rsidRPr="008D2FF3">
        <w:rPr>
          <w:rFonts w:ascii="Times New Roman" w:eastAsia="Calibri" w:hAnsi="Times New Roman" w:cs="Times New Roman"/>
          <w:sz w:val="24"/>
          <w:szCs w:val="24"/>
          <w:lang w:val="en-ZA"/>
        </w:rPr>
        <w:t>.</w:t>
      </w:r>
    </w:p>
    <w:p w:rsidR="000841FE" w:rsidRPr="008D2FF3" w:rsidRDefault="000841FE" w:rsidP="00100CF0">
      <w:pPr>
        <w:spacing w:before="240" w:after="0" w:line="240" w:lineRule="auto"/>
        <w:jc w:val="both"/>
        <w:rPr>
          <w:rFonts w:ascii="Times New Roman" w:eastAsia="Calibri" w:hAnsi="Times New Roman" w:cs="Times New Roman"/>
          <w:sz w:val="24"/>
          <w:szCs w:val="24"/>
          <w:lang w:val="en-ZA"/>
        </w:rPr>
      </w:pPr>
    </w:p>
    <w:p w:rsidR="00C174AE" w:rsidRPr="008D2FF3" w:rsidRDefault="00C174AE" w:rsidP="002103FC">
      <w:pPr>
        <w:spacing w:before="240" w:after="0" w:line="480" w:lineRule="auto"/>
        <w:jc w:val="both"/>
        <w:rPr>
          <w:rFonts w:ascii="Times New Roman" w:eastAsia="Calibri" w:hAnsi="Times New Roman" w:cs="Times New Roman"/>
          <w:b/>
          <w:sz w:val="24"/>
          <w:szCs w:val="24"/>
          <w:lang w:val="en-ZA"/>
        </w:rPr>
      </w:pPr>
      <w:r w:rsidRPr="008D2FF3">
        <w:rPr>
          <w:rFonts w:ascii="Times New Roman" w:eastAsia="Calibri" w:hAnsi="Times New Roman" w:cs="Times New Roman"/>
          <w:b/>
          <w:sz w:val="24"/>
          <w:szCs w:val="24"/>
          <w:lang w:val="en-ZA"/>
        </w:rPr>
        <w:t xml:space="preserve">Whether or not the court </w:t>
      </w:r>
      <w:r w:rsidRPr="008D2FF3">
        <w:rPr>
          <w:rFonts w:ascii="Times New Roman" w:eastAsia="Calibri" w:hAnsi="Times New Roman" w:cs="Times New Roman"/>
          <w:b/>
          <w:i/>
          <w:sz w:val="24"/>
          <w:szCs w:val="24"/>
          <w:lang w:val="en-ZA"/>
        </w:rPr>
        <w:t>a quo</w:t>
      </w:r>
      <w:r w:rsidRPr="008D2FF3">
        <w:rPr>
          <w:rFonts w:ascii="Times New Roman" w:eastAsia="Calibri" w:hAnsi="Times New Roman" w:cs="Times New Roman"/>
          <w:b/>
          <w:sz w:val="24"/>
          <w:szCs w:val="24"/>
          <w:lang w:val="en-ZA"/>
        </w:rPr>
        <w:t xml:space="preserve"> erred in finding the appellant liable to pay the respondent on the basis of ostensible authority.</w:t>
      </w:r>
    </w:p>
    <w:p w:rsidR="00546325" w:rsidRPr="008D2FF3" w:rsidRDefault="00C174AE" w:rsidP="005B73DB">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lastRenderedPageBreak/>
        <w:t xml:space="preserve">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found that the</w:t>
      </w:r>
      <w:r w:rsidR="00A705B3" w:rsidRPr="008D2FF3">
        <w:rPr>
          <w:rFonts w:ascii="Times New Roman" w:eastAsia="Calibri" w:hAnsi="Times New Roman" w:cs="Times New Roman"/>
          <w:sz w:val="24"/>
          <w:szCs w:val="24"/>
          <w:lang w:val="en-ZA"/>
        </w:rPr>
        <w:t xml:space="preserve"> authority exercised by </w:t>
      </w:r>
      <w:r w:rsidRPr="008D2FF3">
        <w:rPr>
          <w:rFonts w:ascii="Times New Roman" w:eastAsia="Calibri" w:hAnsi="Times New Roman" w:cs="Times New Roman"/>
          <w:sz w:val="24"/>
          <w:szCs w:val="24"/>
          <w:lang w:val="en-ZA"/>
        </w:rPr>
        <w:t xml:space="preserve">Mugwara </w:t>
      </w:r>
      <w:r w:rsidR="00103AFF" w:rsidRPr="008D2FF3">
        <w:rPr>
          <w:rFonts w:ascii="Times New Roman" w:eastAsia="Calibri" w:hAnsi="Times New Roman" w:cs="Times New Roman"/>
          <w:sz w:val="24"/>
          <w:szCs w:val="24"/>
          <w:lang w:val="en-ZA"/>
        </w:rPr>
        <w:t xml:space="preserve">in issuing the guarantees was implied </w:t>
      </w:r>
      <w:r w:rsidR="00A705B3" w:rsidRPr="008D2FF3">
        <w:rPr>
          <w:rFonts w:ascii="Times New Roman" w:eastAsia="Calibri" w:hAnsi="Times New Roman" w:cs="Times New Roman"/>
          <w:sz w:val="24"/>
          <w:szCs w:val="24"/>
          <w:lang w:val="en-ZA"/>
        </w:rPr>
        <w:t xml:space="preserve">(apparent or ostensible) </w:t>
      </w:r>
      <w:r w:rsidR="00103AFF" w:rsidRPr="008D2FF3">
        <w:rPr>
          <w:rFonts w:ascii="Times New Roman" w:eastAsia="Calibri" w:hAnsi="Times New Roman" w:cs="Times New Roman"/>
          <w:sz w:val="24"/>
          <w:szCs w:val="24"/>
          <w:lang w:val="en-ZA"/>
        </w:rPr>
        <w:t>authority</w:t>
      </w:r>
      <w:r w:rsidR="00385B42" w:rsidRPr="008D2FF3">
        <w:rPr>
          <w:rFonts w:ascii="Times New Roman" w:eastAsia="Calibri" w:hAnsi="Times New Roman" w:cs="Times New Roman"/>
          <w:sz w:val="24"/>
          <w:szCs w:val="24"/>
          <w:lang w:val="en-ZA"/>
        </w:rPr>
        <w:t xml:space="preserve">. </w:t>
      </w:r>
      <w:r w:rsidR="00546325" w:rsidRPr="008D2FF3">
        <w:rPr>
          <w:rFonts w:ascii="Times New Roman" w:eastAsia="Calibri" w:hAnsi="Times New Roman" w:cs="Times New Roman"/>
          <w:sz w:val="24"/>
          <w:szCs w:val="24"/>
          <w:lang w:val="en-ZA"/>
        </w:rPr>
        <w:t>T</w:t>
      </w:r>
      <w:r w:rsidR="00446D9A" w:rsidRPr="008D2FF3">
        <w:rPr>
          <w:rFonts w:ascii="Times New Roman" w:eastAsia="Calibri" w:hAnsi="Times New Roman" w:cs="Times New Roman"/>
          <w:sz w:val="24"/>
          <w:szCs w:val="24"/>
          <w:lang w:val="en-ZA"/>
        </w:rPr>
        <w:t>he</w:t>
      </w:r>
      <w:r w:rsidR="00546325" w:rsidRPr="008D2FF3">
        <w:rPr>
          <w:rFonts w:ascii="Times New Roman" w:eastAsia="Calibri" w:hAnsi="Times New Roman" w:cs="Times New Roman"/>
          <w:sz w:val="24"/>
          <w:szCs w:val="24"/>
          <w:lang w:val="en-ZA"/>
        </w:rPr>
        <w:t xml:space="preserve"> respondent based its arguments for the claim of payment of the guarantees on the ostensible authority which had been exercised by Mugwara. Counsel for the respondent submitted</w:t>
      </w:r>
      <w:r w:rsidR="002D2C2C" w:rsidRPr="008D2FF3">
        <w:rPr>
          <w:rFonts w:ascii="Times New Roman" w:eastAsia="Calibri" w:hAnsi="Times New Roman" w:cs="Times New Roman"/>
          <w:sz w:val="24"/>
          <w:szCs w:val="24"/>
          <w:lang w:val="en-ZA"/>
        </w:rPr>
        <w:t xml:space="preserve"> that it was on the basis of this</w:t>
      </w:r>
      <w:r w:rsidR="00546325" w:rsidRPr="008D2FF3">
        <w:rPr>
          <w:rFonts w:ascii="Times New Roman" w:eastAsia="Calibri" w:hAnsi="Times New Roman" w:cs="Times New Roman"/>
          <w:sz w:val="24"/>
          <w:szCs w:val="24"/>
          <w:lang w:val="en-ZA"/>
        </w:rPr>
        <w:t xml:space="preserve"> a</w:t>
      </w:r>
      <w:r w:rsidR="00A705B3" w:rsidRPr="008D2FF3">
        <w:rPr>
          <w:rFonts w:ascii="Times New Roman" w:eastAsia="Calibri" w:hAnsi="Times New Roman" w:cs="Times New Roman"/>
          <w:sz w:val="24"/>
          <w:szCs w:val="24"/>
          <w:lang w:val="en-ZA"/>
        </w:rPr>
        <w:t>pparent authority</w:t>
      </w:r>
      <w:r w:rsidR="002D2C2C" w:rsidRPr="008D2FF3">
        <w:rPr>
          <w:rFonts w:ascii="Times New Roman" w:eastAsia="Calibri" w:hAnsi="Times New Roman" w:cs="Times New Roman"/>
          <w:sz w:val="24"/>
          <w:szCs w:val="24"/>
          <w:lang w:val="en-ZA"/>
        </w:rPr>
        <w:t xml:space="preserve"> exercised in the issuing of the guarantees</w:t>
      </w:r>
      <w:r w:rsidR="00A705B3" w:rsidRPr="008D2FF3">
        <w:rPr>
          <w:rFonts w:ascii="Times New Roman" w:eastAsia="Calibri" w:hAnsi="Times New Roman" w:cs="Times New Roman"/>
          <w:sz w:val="24"/>
          <w:szCs w:val="24"/>
          <w:lang w:val="en-ZA"/>
        </w:rPr>
        <w:t xml:space="preserve"> </w:t>
      </w:r>
      <w:r w:rsidR="00D60F22" w:rsidRPr="008D2FF3">
        <w:rPr>
          <w:rFonts w:ascii="Times New Roman" w:eastAsia="Calibri" w:hAnsi="Times New Roman" w:cs="Times New Roman"/>
          <w:sz w:val="24"/>
          <w:szCs w:val="24"/>
          <w:lang w:val="en-ZA"/>
        </w:rPr>
        <w:t>that the</w:t>
      </w:r>
      <w:r w:rsidR="00546325" w:rsidRPr="008D2FF3">
        <w:rPr>
          <w:rFonts w:ascii="Times New Roman" w:eastAsia="Calibri" w:hAnsi="Times New Roman" w:cs="Times New Roman"/>
          <w:sz w:val="24"/>
          <w:szCs w:val="24"/>
          <w:lang w:val="en-ZA"/>
        </w:rPr>
        <w:t xml:space="preserve"> respondent agreed to issue Wedzera fuel.</w:t>
      </w:r>
    </w:p>
    <w:p w:rsidR="000841FE" w:rsidRPr="008D2FF3" w:rsidRDefault="000841FE" w:rsidP="00100CF0">
      <w:pPr>
        <w:spacing w:after="0" w:line="240" w:lineRule="auto"/>
        <w:ind w:firstLine="1134"/>
        <w:jc w:val="both"/>
        <w:rPr>
          <w:rFonts w:ascii="Times New Roman" w:eastAsia="Calibri" w:hAnsi="Times New Roman" w:cs="Times New Roman"/>
          <w:sz w:val="24"/>
          <w:szCs w:val="24"/>
          <w:lang w:val="en-ZA"/>
        </w:rPr>
      </w:pPr>
    </w:p>
    <w:p w:rsidR="00D70A02" w:rsidRPr="008D2FF3" w:rsidRDefault="005B73DB" w:rsidP="005B73DB">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I</w:t>
      </w:r>
      <w:r w:rsidR="00546325" w:rsidRPr="008D2FF3">
        <w:rPr>
          <w:rFonts w:ascii="Times New Roman" w:eastAsia="Calibri" w:hAnsi="Times New Roman" w:cs="Times New Roman"/>
          <w:sz w:val="24"/>
          <w:szCs w:val="24"/>
          <w:lang w:val="en-ZA"/>
        </w:rPr>
        <w:t xml:space="preserve">t was the </w:t>
      </w:r>
      <w:r w:rsidR="00446D9A" w:rsidRPr="008D2FF3">
        <w:rPr>
          <w:rFonts w:ascii="Times New Roman" w:eastAsia="Calibri" w:hAnsi="Times New Roman" w:cs="Times New Roman"/>
          <w:sz w:val="24"/>
          <w:szCs w:val="24"/>
          <w:lang w:val="en-ZA"/>
        </w:rPr>
        <w:t>appellant’s argument that no such implied authority existed a</w:t>
      </w:r>
      <w:r w:rsidR="002D2C2C" w:rsidRPr="008D2FF3">
        <w:rPr>
          <w:rFonts w:ascii="Times New Roman" w:eastAsia="Calibri" w:hAnsi="Times New Roman" w:cs="Times New Roman"/>
          <w:sz w:val="24"/>
          <w:szCs w:val="24"/>
          <w:lang w:val="en-ZA"/>
        </w:rPr>
        <w:t xml:space="preserve">nd that on the basis of </w:t>
      </w:r>
      <w:r w:rsidR="00446D9A" w:rsidRPr="008D2FF3">
        <w:rPr>
          <w:rFonts w:ascii="Times New Roman" w:eastAsia="Calibri" w:hAnsi="Times New Roman" w:cs="Times New Roman"/>
          <w:sz w:val="24"/>
          <w:szCs w:val="24"/>
          <w:lang w:val="en-ZA"/>
        </w:rPr>
        <w:t>Mugwara’s job description such authority was not given to him. The appellant also argued that in terms of th</w:t>
      </w:r>
      <w:r w:rsidR="002D2C2C" w:rsidRPr="008D2FF3">
        <w:rPr>
          <w:rFonts w:ascii="Times New Roman" w:eastAsia="Calibri" w:hAnsi="Times New Roman" w:cs="Times New Roman"/>
          <w:sz w:val="24"/>
          <w:szCs w:val="24"/>
          <w:lang w:val="en-ZA"/>
        </w:rPr>
        <w:t>e Bank’s Lending Policy</w:t>
      </w:r>
      <w:r w:rsidR="00D60F22" w:rsidRPr="008D2FF3">
        <w:rPr>
          <w:rFonts w:ascii="Times New Roman" w:eastAsia="Calibri" w:hAnsi="Times New Roman" w:cs="Times New Roman"/>
          <w:sz w:val="24"/>
          <w:szCs w:val="24"/>
          <w:lang w:val="en-ZA"/>
        </w:rPr>
        <w:t>,</w:t>
      </w:r>
      <w:r w:rsidR="002D2C2C" w:rsidRPr="008D2FF3">
        <w:rPr>
          <w:rFonts w:ascii="Times New Roman" w:eastAsia="Calibri" w:hAnsi="Times New Roman" w:cs="Times New Roman"/>
          <w:sz w:val="24"/>
          <w:szCs w:val="24"/>
          <w:lang w:val="en-ZA"/>
        </w:rPr>
        <w:t xml:space="preserve"> </w:t>
      </w:r>
      <w:r w:rsidR="00446D9A" w:rsidRPr="008D2FF3">
        <w:rPr>
          <w:rFonts w:ascii="Times New Roman" w:eastAsia="Calibri" w:hAnsi="Times New Roman" w:cs="Times New Roman"/>
          <w:sz w:val="24"/>
          <w:szCs w:val="24"/>
          <w:lang w:val="en-ZA"/>
        </w:rPr>
        <w:t>Mugwara did not have authority to single-handedly facilitate a credit facility</w:t>
      </w:r>
      <w:r w:rsidR="002D2C2C" w:rsidRPr="008D2FF3">
        <w:rPr>
          <w:rFonts w:ascii="Times New Roman" w:eastAsia="Calibri" w:hAnsi="Times New Roman" w:cs="Times New Roman"/>
          <w:sz w:val="24"/>
          <w:szCs w:val="24"/>
          <w:lang w:val="en-ZA"/>
        </w:rPr>
        <w:t>, sign it and issue it without</w:t>
      </w:r>
      <w:r w:rsidR="00446D9A" w:rsidRPr="008D2FF3">
        <w:rPr>
          <w:rFonts w:ascii="Times New Roman" w:eastAsia="Calibri" w:hAnsi="Times New Roman" w:cs="Times New Roman"/>
          <w:sz w:val="24"/>
          <w:szCs w:val="24"/>
          <w:lang w:val="en-ZA"/>
        </w:rPr>
        <w:t xml:space="preserve"> proper procedure being followed.</w:t>
      </w:r>
    </w:p>
    <w:p w:rsidR="000841FE" w:rsidRPr="008D2FF3" w:rsidRDefault="000841FE" w:rsidP="00100CF0">
      <w:pPr>
        <w:spacing w:after="0" w:line="240" w:lineRule="auto"/>
        <w:ind w:firstLine="1134"/>
        <w:jc w:val="both"/>
        <w:rPr>
          <w:rFonts w:ascii="Times New Roman" w:eastAsia="Calibri" w:hAnsi="Times New Roman" w:cs="Times New Roman"/>
          <w:sz w:val="24"/>
          <w:szCs w:val="24"/>
          <w:lang w:val="en-ZA"/>
        </w:rPr>
      </w:pPr>
    </w:p>
    <w:p w:rsidR="008B29A3" w:rsidRPr="008D2FF3" w:rsidRDefault="000F7C1B" w:rsidP="00FF7280">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Ostensible authority or apparent authority exists where an agent’s</w:t>
      </w:r>
      <w:r w:rsidR="002D2C2C" w:rsidRPr="008D2FF3">
        <w:rPr>
          <w:rFonts w:ascii="Times New Roman" w:eastAsia="Calibri" w:hAnsi="Times New Roman" w:cs="Times New Roman"/>
          <w:sz w:val="24"/>
          <w:szCs w:val="24"/>
          <w:lang w:val="en-ZA"/>
        </w:rPr>
        <w:t xml:space="preserve"> words or conduct</w:t>
      </w:r>
      <w:r w:rsidRPr="008D2FF3">
        <w:rPr>
          <w:rFonts w:ascii="Times New Roman" w:eastAsia="Calibri" w:hAnsi="Times New Roman" w:cs="Times New Roman"/>
          <w:sz w:val="24"/>
          <w:szCs w:val="24"/>
          <w:lang w:val="en-ZA"/>
        </w:rPr>
        <w:t xml:space="preserve"> lead a reasonable per</w:t>
      </w:r>
      <w:r w:rsidR="002D2C2C" w:rsidRPr="008D2FF3">
        <w:rPr>
          <w:rFonts w:ascii="Times New Roman" w:eastAsia="Calibri" w:hAnsi="Times New Roman" w:cs="Times New Roman"/>
          <w:sz w:val="24"/>
          <w:szCs w:val="24"/>
          <w:lang w:val="en-ZA"/>
        </w:rPr>
        <w:t>son in a</w:t>
      </w:r>
      <w:r w:rsidRPr="008D2FF3">
        <w:rPr>
          <w:rFonts w:ascii="Times New Roman" w:eastAsia="Calibri" w:hAnsi="Times New Roman" w:cs="Times New Roman"/>
          <w:sz w:val="24"/>
          <w:szCs w:val="24"/>
          <w:lang w:val="en-ZA"/>
        </w:rPr>
        <w:t xml:space="preserve"> third party's positi</w:t>
      </w:r>
      <w:r w:rsidR="002D2C2C" w:rsidRPr="008D2FF3">
        <w:rPr>
          <w:rFonts w:ascii="Times New Roman" w:eastAsia="Calibri" w:hAnsi="Times New Roman" w:cs="Times New Roman"/>
          <w:sz w:val="24"/>
          <w:szCs w:val="24"/>
          <w:lang w:val="en-ZA"/>
        </w:rPr>
        <w:t>on to believe that the agent is</w:t>
      </w:r>
      <w:r w:rsidRPr="008D2FF3">
        <w:rPr>
          <w:rFonts w:ascii="Times New Roman" w:eastAsia="Calibri" w:hAnsi="Times New Roman" w:cs="Times New Roman"/>
          <w:sz w:val="24"/>
          <w:szCs w:val="24"/>
          <w:lang w:val="en-ZA"/>
        </w:rPr>
        <w:t xml:space="preserve"> authorized to act, even if the principal and the</w:t>
      </w:r>
      <w:r w:rsidR="002D2C2C" w:rsidRPr="008D2FF3">
        <w:rPr>
          <w:rFonts w:ascii="Times New Roman" w:eastAsia="Calibri" w:hAnsi="Times New Roman" w:cs="Times New Roman"/>
          <w:sz w:val="24"/>
          <w:szCs w:val="24"/>
          <w:lang w:val="en-ZA"/>
        </w:rPr>
        <w:t xml:space="preserve"> purported agent have</w:t>
      </w:r>
      <w:r w:rsidRPr="008D2FF3">
        <w:rPr>
          <w:rFonts w:ascii="Times New Roman" w:eastAsia="Calibri" w:hAnsi="Times New Roman" w:cs="Times New Roman"/>
          <w:sz w:val="24"/>
          <w:szCs w:val="24"/>
          <w:lang w:val="en-ZA"/>
        </w:rPr>
        <w:t xml:space="preserve"> never discussed such a relationship.</w:t>
      </w:r>
      <w:r w:rsidR="00152168" w:rsidRPr="008D2FF3">
        <w:rPr>
          <w:rFonts w:ascii="Times New Roman" w:eastAsia="Calibri" w:hAnsi="Times New Roman" w:cs="Times New Roman"/>
          <w:sz w:val="24"/>
          <w:szCs w:val="24"/>
          <w:lang w:val="en-ZA"/>
        </w:rPr>
        <w:t xml:space="preserve"> </w:t>
      </w:r>
      <w:r w:rsidR="008B29A3" w:rsidRPr="008D2FF3">
        <w:rPr>
          <w:rFonts w:ascii="Times New Roman" w:eastAsia="Calibri" w:hAnsi="Times New Roman" w:cs="Times New Roman"/>
          <w:sz w:val="24"/>
          <w:szCs w:val="24"/>
          <w:lang w:val="en-ZA"/>
        </w:rPr>
        <w:t xml:space="preserve">The effect and meaning of ostensible authority was discussed in </w:t>
      </w:r>
      <w:r w:rsidR="008B29A3" w:rsidRPr="008D2FF3">
        <w:rPr>
          <w:rFonts w:ascii="Times New Roman" w:eastAsia="Calibri" w:hAnsi="Times New Roman" w:cs="Times New Roman"/>
          <w:i/>
          <w:sz w:val="24"/>
          <w:szCs w:val="24"/>
          <w:lang w:val="en-ZA"/>
        </w:rPr>
        <w:t>Makate v Vodacom Ltd</w:t>
      </w:r>
      <w:r w:rsidR="008B29A3" w:rsidRPr="008D2FF3">
        <w:rPr>
          <w:rFonts w:ascii="Times New Roman" w:eastAsia="Calibri" w:hAnsi="Times New Roman" w:cs="Times New Roman"/>
          <w:sz w:val="24"/>
          <w:szCs w:val="24"/>
          <w:lang w:val="en-ZA"/>
        </w:rPr>
        <w:t xml:space="preserve"> 2016 (4) SA 121 (CC) at paragraph 45, in which the case of </w:t>
      </w:r>
      <w:r w:rsidR="008B29A3" w:rsidRPr="008D2FF3">
        <w:rPr>
          <w:rFonts w:ascii="Times New Roman" w:eastAsia="Calibri" w:hAnsi="Times New Roman" w:cs="Times New Roman"/>
          <w:i/>
          <w:sz w:val="24"/>
          <w:szCs w:val="24"/>
          <w:lang w:val="en-ZA"/>
        </w:rPr>
        <w:t xml:space="preserve">Hely-Hutchinson </w:t>
      </w:r>
      <w:r w:rsidR="00546325" w:rsidRPr="008D2FF3">
        <w:rPr>
          <w:rFonts w:ascii="Times New Roman" w:eastAsia="Calibri" w:hAnsi="Times New Roman" w:cs="Times New Roman"/>
          <w:i/>
          <w:sz w:val="24"/>
          <w:szCs w:val="24"/>
          <w:lang w:val="en-ZA"/>
        </w:rPr>
        <w:t xml:space="preserve">CA </w:t>
      </w:r>
      <w:r w:rsidR="007157AC" w:rsidRPr="008D2FF3">
        <w:rPr>
          <w:rFonts w:ascii="Times New Roman" w:eastAsia="Calibri" w:hAnsi="Times New Roman" w:cs="Times New Roman"/>
          <w:i/>
          <w:sz w:val="24"/>
          <w:szCs w:val="24"/>
          <w:lang w:val="en-ZA"/>
        </w:rPr>
        <w:t>v Brayhead</w:t>
      </w:r>
      <w:r w:rsidR="007157AC" w:rsidRPr="008D2FF3">
        <w:rPr>
          <w:rFonts w:ascii="Times New Roman" w:eastAsia="Calibri" w:hAnsi="Times New Roman" w:cs="Times New Roman"/>
          <w:sz w:val="24"/>
          <w:szCs w:val="24"/>
          <w:lang w:val="en-ZA"/>
        </w:rPr>
        <w:t xml:space="preserve"> </w:t>
      </w:r>
      <w:r w:rsidR="007157AC" w:rsidRPr="008D2FF3">
        <w:rPr>
          <w:rFonts w:ascii="Times New Roman" w:eastAsia="Calibri" w:hAnsi="Times New Roman" w:cs="Times New Roman"/>
          <w:i/>
          <w:sz w:val="24"/>
          <w:szCs w:val="24"/>
          <w:lang w:val="en-ZA"/>
        </w:rPr>
        <w:t xml:space="preserve">Ltd and Another </w:t>
      </w:r>
      <w:r w:rsidR="007157AC" w:rsidRPr="008D2FF3">
        <w:rPr>
          <w:rFonts w:ascii="Times New Roman" w:eastAsia="Calibri" w:hAnsi="Times New Roman" w:cs="Times New Roman"/>
          <w:sz w:val="24"/>
          <w:szCs w:val="24"/>
          <w:lang w:val="en-ZA"/>
        </w:rPr>
        <w:t xml:space="preserve">[1968] </w:t>
      </w:r>
      <w:r w:rsidR="008B29A3" w:rsidRPr="008D2FF3">
        <w:rPr>
          <w:rFonts w:ascii="Times New Roman" w:eastAsia="Calibri" w:hAnsi="Times New Roman" w:cs="Times New Roman"/>
          <w:sz w:val="24"/>
          <w:szCs w:val="24"/>
          <w:lang w:val="en-ZA"/>
        </w:rPr>
        <w:t>1 QB 549 (C</w:t>
      </w:r>
      <w:r w:rsidR="00546325" w:rsidRPr="008D2FF3">
        <w:rPr>
          <w:rFonts w:ascii="Times New Roman" w:eastAsia="Calibri" w:hAnsi="Times New Roman" w:cs="Times New Roman"/>
          <w:sz w:val="24"/>
          <w:szCs w:val="24"/>
          <w:lang w:val="en-ZA"/>
        </w:rPr>
        <w:t>A)</w:t>
      </w:r>
      <w:r w:rsidR="008B29A3" w:rsidRPr="008D2FF3">
        <w:rPr>
          <w:rFonts w:ascii="Times New Roman" w:eastAsia="Calibri" w:hAnsi="Times New Roman" w:cs="Times New Roman"/>
          <w:sz w:val="24"/>
          <w:szCs w:val="24"/>
          <w:lang w:val="en-ZA"/>
        </w:rPr>
        <w:t xml:space="preserve"> at 583 A-G was referred to with approval. T</w:t>
      </w:r>
      <w:r w:rsidR="00546325" w:rsidRPr="008D2FF3">
        <w:rPr>
          <w:rFonts w:ascii="Times New Roman" w:eastAsia="Calibri" w:hAnsi="Times New Roman" w:cs="Times New Roman"/>
          <w:sz w:val="24"/>
          <w:szCs w:val="24"/>
          <w:lang w:val="en-ZA"/>
        </w:rPr>
        <w:t>he court stated the following:</w:t>
      </w:r>
    </w:p>
    <w:p w:rsidR="00537A52" w:rsidRPr="008D2FF3" w:rsidRDefault="008B29A3" w:rsidP="00BD1272">
      <w:pPr>
        <w:spacing w:after="0" w:line="240" w:lineRule="auto"/>
        <w:ind w:left="1276"/>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“Actual authority and ostensible or apparent authority are the opposite side</w:t>
      </w:r>
      <w:r w:rsidR="00C75120" w:rsidRPr="008D2FF3">
        <w:rPr>
          <w:rFonts w:ascii="Times New Roman" w:eastAsia="Calibri" w:hAnsi="Times New Roman" w:cs="Times New Roman"/>
          <w:sz w:val="24"/>
          <w:szCs w:val="24"/>
          <w:lang w:val="en-ZA"/>
        </w:rPr>
        <w:t>s</w:t>
      </w:r>
      <w:r w:rsidRPr="008D2FF3">
        <w:rPr>
          <w:rFonts w:ascii="Times New Roman" w:eastAsia="Calibri" w:hAnsi="Times New Roman" w:cs="Times New Roman"/>
          <w:sz w:val="24"/>
          <w:szCs w:val="24"/>
          <w:lang w:val="en-ZA"/>
        </w:rPr>
        <w:t xml:space="preserve"> of the same coin. If an agent wishes to perform a juristic act on behalf of the principal, the agent requires authority to do so, for the act to bind its principal. If the principal had conferred the necessary authority either expressly or impliedly, the agent is taken to have actual authority. But if the principal were to deny that she had conferred authority, the third party who concluded the juristic act with the agent may plead estoppel in replication. In this context, estoppel is not a form of authority but a rule to the effect that if the principal had conducted herself in a manner that misled the third party into believing that the agent has authority, the principal is precluded from denying that the agent had authority.”</w:t>
      </w:r>
    </w:p>
    <w:p w:rsidR="00181485" w:rsidRPr="008D2FF3" w:rsidRDefault="00181485" w:rsidP="00C76290">
      <w:pPr>
        <w:spacing w:before="240" w:after="0" w:line="480" w:lineRule="auto"/>
        <w:ind w:left="1276"/>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lastRenderedPageBreak/>
        <w:t>The court went</w:t>
      </w:r>
      <w:r w:rsidR="00D60F22" w:rsidRPr="008D2FF3">
        <w:rPr>
          <w:rFonts w:ascii="Times New Roman" w:eastAsia="Calibri" w:hAnsi="Times New Roman" w:cs="Times New Roman"/>
          <w:sz w:val="24"/>
          <w:szCs w:val="24"/>
          <w:lang w:val="en-ZA"/>
        </w:rPr>
        <w:t xml:space="preserve"> on</w:t>
      </w:r>
      <w:r w:rsidRPr="008D2FF3">
        <w:rPr>
          <w:rFonts w:ascii="Times New Roman" w:eastAsia="Calibri" w:hAnsi="Times New Roman" w:cs="Times New Roman"/>
          <w:sz w:val="24"/>
          <w:szCs w:val="24"/>
          <w:lang w:val="en-ZA"/>
        </w:rPr>
        <w:t xml:space="preserve"> to state the importance of ostensible authority and made the following remarks at paragraph 65:</w:t>
      </w:r>
    </w:p>
    <w:p w:rsidR="00181485" w:rsidRPr="008D2FF3" w:rsidRDefault="00181485" w:rsidP="00C76290">
      <w:pPr>
        <w:spacing w:after="0" w:line="240" w:lineRule="auto"/>
        <w:ind w:left="1276"/>
        <w:jc w:val="both"/>
        <w:rPr>
          <w:rFonts w:ascii="Times New Roman" w:eastAsia="Calibri" w:hAnsi="Times New Roman" w:cs="Times New Roman"/>
          <w:sz w:val="24"/>
          <w:szCs w:val="24"/>
        </w:rPr>
      </w:pPr>
      <w:r w:rsidRPr="008D2FF3">
        <w:rPr>
          <w:rFonts w:ascii="Times New Roman" w:eastAsia="Calibri" w:hAnsi="Times New Roman" w:cs="Times New Roman"/>
          <w:sz w:val="24"/>
          <w:szCs w:val="24"/>
          <w:lang w:val="en-ZA"/>
        </w:rPr>
        <w:t>“</w:t>
      </w:r>
      <w:r w:rsidRPr="008D2FF3">
        <w:rPr>
          <w:rFonts w:ascii="Times New Roman" w:eastAsia="Calibri" w:hAnsi="Times New Roman" w:cs="Times New Roman"/>
          <w:sz w:val="24"/>
          <w:szCs w:val="24"/>
        </w:rPr>
        <w:t>The concept of apparent authority as it appears from the statement by Lord Denning, was introduced into law for purposes of achieving justice in circumstances where a principal had created an impression that its agent has authority to act on its behalf. If this appears to be the position to others and an agreement that accords with that appearance is concluded with the agent, then justice demands that the principal must be held liable in terms of the agreement. It cannot be gainsaid that on present facts, there is a yearning for justice and equity.”</w:t>
      </w:r>
    </w:p>
    <w:p w:rsidR="001871BE" w:rsidRPr="008D2FF3" w:rsidRDefault="001871BE" w:rsidP="00100CF0">
      <w:pPr>
        <w:spacing w:after="0" w:line="240" w:lineRule="auto"/>
        <w:ind w:left="851"/>
        <w:jc w:val="both"/>
        <w:rPr>
          <w:rFonts w:ascii="Times New Roman" w:eastAsia="Calibri" w:hAnsi="Times New Roman" w:cs="Times New Roman"/>
          <w:sz w:val="24"/>
          <w:szCs w:val="24"/>
          <w:lang w:val="en-ZA"/>
        </w:rPr>
      </w:pPr>
    </w:p>
    <w:p w:rsidR="000F7C1B" w:rsidRPr="008D2FF3" w:rsidRDefault="00FF7280" w:rsidP="00C76290">
      <w:pPr>
        <w:spacing w:before="240" w:after="0" w:line="480" w:lineRule="auto"/>
        <w:ind w:left="1276"/>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I</w:t>
      </w:r>
      <w:r w:rsidR="008B29A3" w:rsidRPr="008D2FF3">
        <w:rPr>
          <w:rFonts w:ascii="Times New Roman" w:eastAsia="Calibri" w:hAnsi="Times New Roman" w:cs="Times New Roman"/>
          <w:sz w:val="24"/>
          <w:szCs w:val="24"/>
          <w:lang w:val="en-ZA"/>
        </w:rPr>
        <w:t xml:space="preserve">n </w:t>
      </w:r>
      <w:r w:rsidR="008B29A3" w:rsidRPr="008D2FF3">
        <w:rPr>
          <w:rFonts w:ascii="Times New Roman" w:eastAsia="Calibri" w:hAnsi="Times New Roman" w:cs="Times New Roman"/>
          <w:i/>
          <w:sz w:val="24"/>
          <w:szCs w:val="24"/>
          <w:lang w:val="en-ZA"/>
        </w:rPr>
        <w:t>Rama Corporation Ltd v Proved Tin and General Investments</w:t>
      </w:r>
      <w:r w:rsidR="008B29A3" w:rsidRPr="008D2FF3">
        <w:rPr>
          <w:rFonts w:ascii="Times New Roman" w:eastAsia="Calibri" w:hAnsi="Times New Roman" w:cs="Times New Roman"/>
          <w:sz w:val="24"/>
          <w:szCs w:val="24"/>
          <w:lang w:val="en-ZA"/>
        </w:rPr>
        <w:t xml:space="preserve"> Ltd [1952] 2 QB 147 </w:t>
      </w:r>
      <w:r w:rsidR="00C75120" w:rsidRPr="008D2FF3">
        <w:rPr>
          <w:rFonts w:ascii="Times New Roman" w:eastAsia="Calibri" w:hAnsi="Times New Roman" w:cs="Times New Roman"/>
          <w:sz w:val="24"/>
          <w:szCs w:val="24"/>
          <w:lang w:val="en-ZA"/>
        </w:rPr>
        <w:t>(</w:t>
      </w:r>
      <w:r w:rsidR="007157AC" w:rsidRPr="008D2FF3">
        <w:rPr>
          <w:rFonts w:ascii="Times New Roman" w:eastAsia="Calibri" w:hAnsi="Times New Roman" w:cs="Times New Roman"/>
          <w:sz w:val="24"/>
          <w:szCs w:val="24"/>
          <w:lang w:val="en-ZA"/>
        </w:rPr>
        <w:t>SLADE</w:t>
      </w:r>
      <w:r w:rsidR="008B29A3" w:rsidRPr="008D2FF3">
        <w:rPr>
          <w:rFonts w:ascii="Times New Roman" w:eastAsia="Calibri" w:hAnsi="Times New Roman" w:cs="Times New Roman"/>
          <w:sz w:val="24"/>
          <w:szCs w:val="24"/>
          <w:lang w:val="en-ZA"/>
        </w:rPr>
        <w:t xml:space="preserve"> J</w:t>
      </w:r>
      <w:r w:rsidR="00C75120" w:rsidRPr="008D2FF3">
        <w:rPr>
          <w:rFonts w:ascii="Times New Roman" w:eastAsia="Calibri" w:hAnsi="Times New Roman" w:cs="Times New Roman"/>
          <w:sz w:val="24"/>
          <w:szCs w:val="24"/>
          <w:lang w:val="en-ZA"/>
        </w:rPr>
        <w:t>)</w:t>
      </w:r>
      <w:r w:rsidR="008B29A3" w:rsidRPr="008D2FF3">
        <w:rPr>
          <w:rFonts w:ascii="Times New Roman" w:eastAsia="Calibri" w:hAnsi="Times New Roman" w:cs="Times New Roman"/>
          <w:sz w:val="24"/>
          <w:szCs w:val="24"/>
          <w:lang w:val="en-ZA"/>
        </w:rPr>
        <w:t xml:space="preserve"> noted as follows:</w:t>
      </w:r>
    </w:p>
    <w:p w:rsidR="00CF2031" w:rsidRPr="008D2FF3" w:rsidRDefault="008F0B8D" w:rsidP="00C76290">
      <w:pPr>
        <w:spacing w:after="0" w:line="240" w:lineRule="auto"/>
        <w:ind w:left="1276"/>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“Ostensible or </w:t>
      </w:r>
      <w:r w:rsidR="00CF2031" w:rsidRPr="008D2FF3">
        <w:rPr>
          <w:rFonts w:ascii="Times New Roman" w:eastAsia="Calibri" w:hAnsi="Times New Roman" w:cs="Times New Roman"/>
          <w:sz w:val="24"/>
          <w:szCs w:val="24"/>
          <w:lang w:val="en-ZA"/>
        </w:rPr>
        <w:t>apparent</w:t>
      </w:r>
      <w:r w:rsidRPr="008D2FF3">
        <w:rPr>
          <w:rFonts w:ascii="Times New Roman" w:eastAsia="Calibri" w:hAnsi="Times New Roman" w:cs="Times New Roman"/>
          <w:sz w:val="24"/>
          <w:szCs w:val="24"/>
          <w:lang w:val="en-ZA"/>
        </w:rPr>
        <w:t xml:space="preserve"> authority which </w:t>
      </w:r>
      <w:r w:rsidR="00CF2031" w:rsidRPr="008D2FF3">
        <w:rPr>
          <w:rFonts w:ascii="Times New Roman" w:eastAsia="Calibri" w:hAnsi="Times New Roman" w:cs="Times New Roman"/>
          <w:sz w:val="24"/>
          <w:szCs w:val="24"/>
          <w:lang w:val="en-ZA"/>
        </w:rPr>
        <w:t>n</w:t>
      </w:r>
      <w:r w:rsidRPr="008D2FF3">
        <w:rPr>
          <w:rFonts w:ascii="Times New Roman" w:eastAsia="Calibri" w:hAnsi="Times New Roman" w:cs="Times New Roman"/>
          <w:sz w:val="24"/>
          <w:szCs w:val="24"/>
          <w:lang w:val="en-ZA"/>
        </w:rPr>
        <w:t>egatives the existence of ac</w:t>
      </w:r>
      <w:r w:rsidR="00CF2031" w:rsidRPr="008D2FF3">
        <w:rPr>
          <w:rFonts w:ascii="Times New Roman" w:eastAsia="Calibri" w:hAnsi="Times New Roman" w:cs="Times New Roman"/>
          <w:sz w:val="24"/>
          <w:szCs w:val="24"/>
          <w:lang w:val="en-ZA"/>
        </w:rPr>
        <w:t>t</w:t>
      </w:r>
      <w:r w:rsidRPr="008D2FF3">
        <w:rPr>
          <w:rFonts w:ascii="Times New Roman" w:eastAsia="Calibri" w:hAnsi="Times New Roman" w:cs="Times New Roman"/>
          <w:sz w:val="24"/>
          <w:szCs w:val="24"/>
          <w:lang w:val="en-ZA"/>
        </w:rPr>
        <w:t>ual authority is merely a form of estoppe</w:t>
      </w:r>
      <w:r w:rsidR="00CF2031" w:rsidRPr="008D2FF3">
        <w:rPr>
          <w:rFonts w:ascii="Times New Roman" w:eastAsia="Calibri" w:hAnsi="Times New Roman" w:cs="Times New Roman"/>
          <w:sz w:val="24"/>
          <w:szCs w:val="24"/>
          <w:lang w:val="en-ZA"/>
        </w:rPr>
        <w:t>l, indeed it has been termed agency by estopp</w:t>
      </w:r>
      <w:r w:rsidRPr="008D2FF3">
        <w:rPr>
          <w:rFonts w:ascii="Times New Roman" w:eastAsia="Calibri" w:hAnsi="Times New Roman" w:cs="Times New Roman"/>
          <w:sz w:val="24"/>
          <w:szCs w:val="24"/>
          <w:lang w:val="en-ZA"/>
        </w:rPr>
        <w:t>el, and you cannot call in aid an estoppel unless you have three ingredients: (i) a representation, (ii) a reliance on the representation, and (iii) an alteration of your position resulting from such reliance.”</w:t>
      </w:r>
    </w:p>
    <w:p w:rsidR="00C0637D" w:rsidRPr="008D2FF3" w:rsidRDefault="00C0637D" w:rsidP="00100CF0">
      <w:pPr>
        <w:spacing w:after="0" w:line="240" w:lineRule="auto"/>
        <w:ind w:left="851"/>
        <w:jc w:val="both"/>
        <w:rPr>
          <w:rFonts w:ascii="Times New Roman" w:eastAsia="Calibri" w:hAnsi="Times New Roman" w:cs="Times New Roman"/>
          <w:sz w:val="24"/>
          <w:szCs w:val="24"/>
          <w:lang w:val="en-ZA"/>
        </w:rPr>
      </w:pPr>
    </w:p>
    <w:p w:rsidR="00100CF0" w:rsidRPr="008D2FF3" w:rsidRDefault="00100CF0" w:rsidP="00100CF0">
      <w:pPr>
        <w:spacing w:after="0" w:line="240" w:lineRule="auto"/>
        <w:ind w:left="851"/>
        <w:jc w:val="both"/>
        <w:rPr>
          <w:rFonts w:ascii="Times New Roman" w:eastAsia="Calibri" w:hAnsi="Times New Roman" w:cs="Times New Roman"/>
          <w:sz w:val="24"/>
          <w:szCs w:val="24"/>
          <w:lang w:val="en-ZA"/>
        </w:rPr>
      </w:pPr>
    </w:p>
    <w:p w:rsidR="00140B48" w:rsidRPr="008D2FF3" w:rsidRDefault="00140B48" w:rsidP="00C76290">
      <w:pPr>
        <w:spacing w:before="240" w:after="0" w:line="480" w:lineRule="auto"/>
        <w:ind w:left="1276"/>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See also </w:t>
      </w:r>
      <w:r w:rsidRPr="008D2FF3">
        <w:rPr>
          <w:rFonts w:ascii="Times New Roman" w:eastAsia="Calibri" w:hAnsi="Times New Roman" w:cs="Times New Roman"/>
          <w:i/>
          <w:sz w:val="24"/>
          <w:szCs w:val="24"/>
          <w:lang w:val="en-ZA"/>
        </w:rPr>
        <w:t>Freeman and Lockyer v Buckhurst Park Properties (Mangal)</w:t>
      </w:r>
      <w:r w:rsidRPr="008D2FF3">
        <w:rPr>
          <w:rFonts w:ascii="Times New Roman" w:eastAsia="Calibri" w:hAnsi="Times New Roman" w:cs="Times New Roman"/>
          <w:sz w:val="24"/>
          <w:szCs w:val="24"/>
          <w:lang w:val="en-ZA"/>
        </w:rPr>
        <w:t xml:space="preserve"> Ltd [1964] 2 QB 480</w:t>
      </w:r>
      <w:r w:rsidR="00100CF0" w:rsidRPr="008D2FF3">
        <w:rPr>
          <w:rFonts w:ascii="Times New Roman" w:eastAsia="Calibri" w:hAnsi="Times New Roman" w:cs="Times New Roman"/>
          <w:sz w:val="24"/>
          <w:szCs w:val="24"/>
          <w:lang w:val="en-ZA"/>
        </w:rPr>
        <w:t>.</w:t>
      </w:r>
    </w:p>
    <w:p w:rsidR="00C0637D" w:rsidRPr="008D2FF3" w:rsidRDefault="00C0637D" w:rsidP="00100CF0">
      <w:pPr>
        <w:spacing w:after="0" w:line="240" w:lineRule="auto"/>
        <w:ind w:firstLine="1134"/>
        <w:jc w:val="both"/>
        <w:rPr>
          <w:rFonts w:ascii="Times New Roman" w:eastAsia="Calibri" w:hAnsi="Times New Roman" w:cs="Times New Roman"/>
          <w:sz w:val="24"/>
          <w:szCs w:val="24"/>
          <w:lang w:val="en-ZA"/>
        </w:rPr>
      </w:pPr>
    </w:p>
    <w:p w:rsidR="00CF2031" w:rsidRPr="008D2FF3" w:rsidRDefault="00385B42" w:rsidP="00412705">
      <w:pPr>
        <w:spacing w:before="240" w:after="0" w:line="480" w:lineRule="auto"/>
        <w:ind w:left="1276"/>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Ostensible authority thus binds a principal over actions done by its agent with relation to</w:t>
      </w:r>
      <w:r w:rsidR="00CF2031"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third parties. Such principal can</w:t>
      </w:r>
      <w:r w:rsidR="00FF7280" w:rsidRPr="008D2FF3">
        <w:rPr>
          <w:rFonts w:ascii="Times New Roman" w:eastAsia="Calibri" w:hAnsi="Times New Roman" w:cs="Times New Roman"/>
          <w:sz w:val="24"/>
          <w:szCs w:val="24"/>
          <w:lang w:val="en-ZA"/>
        </w:rPr>
        <w:t xml:space="preserve"> thus be </w:t>
      </w:r>
      <w:r w:rsidRPr="008D2FF3">
        <w:rPr>
          <w:rFonts w:ascii="Times New Roman" w:eastAsia="Calibri" w:hAnsi="Times New Roman" w:cs="Times New Roman"/>
          <w:sz w:val="24"/>
          <w:szCs w:val="24"/>
          <w:lang w:val="en-ZA"/>
        </w:rPr>
        <w:t xml:space="preserve">estopped from denying liability of the actions of the agent. </w:t>
      </w:r>
    </w:p>
    <w:p w:rsidR="00C0637D" w:rsidRPr="008D2FF3" w:rsidRDefault="00C0637D" w:rsidP="00100CF0">
      <w:pPr>
        <w:spacing w:after="0" w:line="240" w:lineRule="auto"/>
        <w:ind w:firstLine="1134"/>
        <w:jc w:val="both"/>
        <w:rPr>
          <w:rFonts w:ascii="Times New Roman" w:eastAsia="Calibri" w:hAnsi="Times New Roman" w:cs="Times New Roman"/>
          <w:sz w:val="24"/>
          <w:szCs w:val="24"/>
          <w:lang w:val="en-ZA"/>
        </w:rPr>
      </w:pPr>
    </w:p>
    <w:p w:rsidR="00216321" w:rsidRPr="008D2FF3" w:rsidRDefault="00385B42" w:rsidP="002F41DC">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In</w:t>
      </w:r>
      <w:r w:rsidRPr="008D2FF3">
        <w:rPr>
          <w:rFonts w:ascii="Times New Roman" w:eastAsia="Calibri" w:hAnsi="Times New Roman" w:cs="Times New Roman"/>
          <w:i/>
          <w:sz w:val="24"/>
          <w:szCs w:val="24"/>
          <w:lang w:val="en-ZA"/>
        </w:rPr>
        <w:t xml:space="preserve"> casu</w:t>
      </w:r>
      <w:r w:rsidR="002D2C2C"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Mugwara</w:t>
      </w:r>
      <w:r w:rsidR="006E3099" w:rsidRPr="008D2FF3">
        <w:rPr>
          <w:rFonts w:ascii="Times New Roman" w:eastAsia="Calibri" w:hAnsi="Times New Roman" w:cs="Times New Roman"/>
          <w:sz w:val="24"/>
          <w:szCs w:val="24"/>
          <w:lang w:val="en-ZA"/>
        </w:rPr>
        <w:t xml:space="preserve"> was an agent of the appellant, h</w:t>
      </w:r>
      <w:r w:rsidR="00D60F22" w:rsidRPr="008D2FF3">
        <w:rPr>
          <w:rFonts w:ascii="Times New Roman" w:eastAsia="Calibri" w:hAnsi="Times New Roman" w:cs="Times New Roman"/>
          <w:sz w:val="24"/>
          <w:szCs w:val="24"/>
          <w:lang w:val="en-ZA"/>
        </w:rPr>
        <w:t>e was the</w:t>
      </w:r>
      <w:r w:rsidRPr="008D2FF3">
        <w:rPr>
          <w:rFonts w:ascii="Times New Roman" w:eastAsia="Calibri" w:hAnsi="Times New Roman" w:cs="Times New Roman"/>
          <w:sz w:val="24"/>
          <w:szCs w:val="24"/>
          <w:lang w:val="en-ZA"/>
        </w:rPr>
        <w:t xml:space="preserve"> head of</w:t>
      </w:r>
      <w:r w:rsidR="00D60F22" w:rsidRPr="008D2FF3">
        <w:rPr>
          <w:rFonts w:ascii="Times New Roman" w:eastAsia="Calibri" w:hAnsi="Times New Roman" w:cs="Times New Roman"/>
          <w:sz w:val="24"/>
          <w:szCs w:val="24"/>
          <w:lang w:val="en-ZA"/>
        </w:rPr>
        <w:t xml:space="preserve"> the</w:t>
      </w:r>
      <w:r w:rsidRPr="008D2FF3">
        <w:rPr>
          <w:rFonts w:ascii="Times New Roman" w:eastAsia="Calibri" w:hAnsi="Times New Roman" w:cs="Times New Roman"/>
          <w:sz w:val="24"/>
          <w:szCs w:val="24"/>
          <w:lang w:val="en-ZA"/>
        </w:rPr>
        <w:t xml:space="preserve"> Short </w:t>
      </w:r>
      <w:r w:rsidR="00D60F22" w:rsidRPr="008D2FF3">
        <w:rPr>
          <w:rFonts w:ascii="Times New Roman" w:eastAsia="Calibri" w:hAnsi="Times New Roman" w:cs="Times New Roman"/>
          <w:sz w:val="24"/>
          <w:szCs w:val="24"/>
          <w:lang w:val="en-ZA"/>
        </w:rPr>
        <w:t>Term Loans Unit and</w:t>
      </w:r>
      <w:r w:rsidRPr="008D2FF3">
        <w:rPr>
          <w:rFonts w:ascii="Times New Roman" w:eastAsia="Calibri" w:hAnsi="Times New Roman" w:cs="Times New Roman"/>
          <w:sz w:val="24"/>
          <w:szCs w:val="24"/>
          <w:lang w:val="en-ZA"/>
        </w:rPr>
        <w:t xml:space="preserve"> had </w:t>
      </w:r>
      <w:r w:rsidR="006E3099" w:rsidRPr="008D2FF3">
        <w:rPr>
          <w:rFonts w:ascii="Times New Roman" w:eastAsia="Calibri" w:hAnsi="Times New Roman" w:cs="Times New Roman"/>
          <w:sz w:val="24"/>
          <w:szCs w:val="24"/>
          <w:lang w:val="en-ZA"/>
        </w:rPr>
        <w:t>subordinates</w:t>
      </w:r>
      <w:r w:rsidRPr="008D2FF3">
        <w:rPr>
          <w:rFonts w:ascii="Times New Roman" w:eastAsia="Calibri" w:hAnsi="Times New Roman" w:cs="Times New Roman"/>
          <w:sz w:val="24"/>
          <w:szCs w:val="24"/>
          <w:lang w:val="en-ZA"/>
        </w:rPr>
        <w:t xml:space="preserve"> under him. His key duties included a mandate to approach companies and commercial </w:t>
      </w:r>
      <w:r w:rsidR="006E3099" w:rsidRPr="008D2FF3">
        <w:rPr>
          <w:rFonts w:ascii="Times New Roman" w:eastAsia="Calibri" w:hAnsi="Times New Roman" w:cs="Times New Roman"/>
          <w:sz w:val="24"/>
          <w:szCs w:val="24"/>
          <w:lang w:val="en-ZA"/>
        </w:rPr>
        <w:t>institutions</w:t>
      </w:r>
      <w:r w:rsidR="00F92BB7"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 xml:space="preserve">in a bid to </w:t>
      </w:r>
      <w:r w:rsidR="006E3099" w:rsidRPr="008D2FF3">
        <w:rPr>
          <w:rFonts w:ascii="Times New Roman" w:eastAsia="Calibri" w:hAnsi="Times New Roman" w:cs="Times New Roman"/>
          <w:sz w:val="24"/>
          <w:szCs w:val="24"/>
          <w:lang w:val="en-ZA"/>
        </w:rPr>
        <w:t>facilitate</w:t>
      </w:r>
      <w:r w:rsidR="00F92BB7" w:rsidRPr="008D2FF3">
        <w:rPr>
          <w:rFonts w:ascii="Times New Roman" w:eastAsia="Calibri" w:hAnsi="Times New Roman" w:cs="Times New Roman"/>
          <w:sz w:val="24"/>
          <w:szCs w:val="24"/>
          <w:lang w:val="en-ZA"/>
        </w:rPr>
        <w:t xml:space="preserve"> that th</w:t>
      </w:r>
      <w:r w:rsidR="006E3099" w:rsidRPr="008D2FF3">
        <w:rPr>
          <w:rFonts w:ascii="Times New Roman" w:eastAsia="Calibri" w:hAnsi="Times New Roman" w:cs="Times New Roman"/>
          <w:sz w:val="24"/>
          <w:szCs w:val="24"/>
          <w:lang w:val="en-ZA"/>
        </w:rPr>
        <w:t>e</w:t>
      </w:r>
      <w:r w:rsidR="00F92BB7" w:rsidRPr="008D2FF3">
        <w:rPr>
          <w:rFonts w:ascii="Times New Roman" w:eastAsia="Calibri" w:hAnsi="Times New Roman" w:cs="Times New Roman"/>
          <w:sz w:val="24"/>
          <w:szCs w:val="24"/>
          <w:lang w:val="en-ZA"/>
        </w:rPr>
        <w:t xml:space="preserve">se companies and </w:t>
      </w:r>
      <w:r w:rsidR="006E3099" w:rsidRPr="008D2FF3">
        <w:rPr>
          <w:rFonts w:ascii="Times New Roman" w:eastAsia="Calibri" w:hAnsi="Times New Roman" w:cs="Times New Roman"/>
          <w:sz w:val="24"/>
          <w:szCs w:val="24"/>
          <w:lang w:val="en-ZA"/>
        </w:rPr>
        <w:t>institutions</w:t>
      </w:r>
      <w:r w:rsidR="00F92BB7" w:rsidRPr="008D2FF3">
        <w:rPr>
          <w:rFonts w:ascii="Times New Roman" w:eastAsia="Calibri" w:hAnsi="Times New Roman" w:cs="Times New Roman"/>
          <w:sz w:val="24"/>
          <w:szCs w:val="24"/>
          <w:lang w:val="en-ZA"/>
        </w:rPr>
        <w:t xml:space="preserve"> acquire</w:t>
      </w:r>
      <w:r w:rsidR="00D60F22" w:rsidRPr="008D2FF3">
        <w:rPr>
          <w:rFonts w:ascii="Times New Roman" w:eastAsia="Calibri" w:hAnsi="Times New Roman" w:cs="Times New Roman"/>
          <w:sz w:val="24"/>
          <w:szCs w:val="24"/>
          <w:lang w:val="en-ZA"/>
        </w:rPr>
        <w:t>d</w:t>
      </w:r>
      <w:r w:rsidR="00F92BB7" w:rsidRPr="008D2FF3">
        <w:rPr>
          <w:rFonts w:ascii="Times New Roman" w:eastAsia="Calibri" w:hAnsi="Times New Roman" w:cs="Times New Roman"/>
          <w:sz w:val="24"/>
          <w:szCs w:val="24"/>
          <w:lang w:val="en-ZA"/>
        </w:rPr>
        <w:t xml:space="preserve"> loan facilities from the appellant. It was not </w:t>
      </w:r>
      <w:r w:rsidR="00FE1663" w:rsidRPr="008D2FF3">
        <w:rPr>
          <w:rFonts w:ascii="Times New Roman" w:eastAsia="Calibri" w:hAnsi="Times New Roman" w:cs="Times New Roman"/>
          <w:sz w:val="24"/>
          <w:szCs w:val="24"/>
          <w:lang w:val="en-ZA"/>
        </w:rPr>
        <w:t>in dispute</w:t>
      </w:r>
      <w:r w:rsidR="00F92BB7" w:rsidRPr="008D2FF3">
        <w:rPr>
          <w:rFonts w:ascii="Times New Roman" w:eastAsia="Calibri" w:hAnsi="Times New Roman" w:cs="Times New Roman"/>
          <w:sz w:val="24"/>
          <w:szCs w:val="24"/>
          <w:lang w:val="en-ZA"/>
        </w:rPr>
        <w:t xml:space="preserve"> that at the time the two guarantees</w:t>
      </w:r>
      <w:r w:rsidR="008B5548" w:rsidRPr="008D2FF3">
        <w:rPr>
          <w:rFonts w:ascii="Times New Roman" w:eastAsia="Calibri" w:hAnsi="Times New Roman" w:cs="Times New Roman"/>
          <w:sz w:val="24"/>
          <w:szCs w:val="24"/>
          <w:lang w:val="en-ZA"/>
        </w:rPr>
        <w:t xml:space="preserve"> w</w:t>
      </w:r>
      <w:r w:rsidR="00D60F22" w:rsidRPr="008D2FF3">
        <w:rPr>
          <w:rFonts w:ascii="Times New Roman" w:eastAsia="Calibri" w:hAnsi="Times New Roman" w:cs="Times New Roman"/>
          <w:sz w:val="24"/>
          <w:szCs w:val="24"/>
          <w:lang w:val="en-ZA"/>
        </w:rPr>
        <w:t>ere issued</w:t>
      </w:r>
      <w:r w:rsidR="00F92BB7" w:rsidRPr="008D2FF3">
        <w:rPr>
          <w:rFonts w:ascii="Times New Roman" w:eastAsia="Calibri" w:hAnsi="Times New Roman" w:cs="Times New Roman"/>
          <w:sz w:val="24"/>
          <w:szCs w:val="24"/>
          <w:lang w:val="en-ZA"/>
        </w:rPr>
        <w:t xml:space="preserve"> to the respondent on behalf of Wedzera</w:t>
      </w:r>
      <w:r w:rsidR="00D60F22" w:rsidRPr="008D2FF3">
        <w:rPr>
          <w:rFonts w:ascii="Times New Roman" w:eastAsia="Calibri" w:hAnsi="Times New Roman" w:cs="Times New Roman"/>
          <w:sz w:val="24"/>
          <w:szCs w:val="24"/>
          <w:lang w:val="en-ZA"/>
        </w:rPr>
        <w:t>,</w:t>
      </w:r>
      <w:r w:rsidR="00F92BB7" w:rsidRPr="008D2FF3">
        <w:rPr>
          <w:rFonts w:ascii="Times New Roman" w:eastAsia="Calibri" w:hAnsi="Times New Roman" w:cs="Times New Roman"/>
          <w:sz w:val="24"/>
          <w:szCs w:val="24"/>
          <w:lang w:val="en-ZA"/>
        </w:rPr>
        <w:t xml:space="preserve"> the appellant was running off balance sheet facilities due to the economic </w:t>
      </w:r>
      <w:r w:rsidR="00F92BB7" w:rsidRPr="008D2FF3">
        <w:rPr>
          <w:rFonts w:ascii="Times New Roman" w:eastAsia="Calibri" w:hAnsi="Times New Roman" w:cs="Times New Roman"/>
          <w:sz w:val="24"/>
          <w:szCs w:val="24"/>
          <w:lang w:val="en-ZA"/>
        </w:rPr>
        <w:lastRenderedPageBreak/>
        <w:t>situation which was prevailing in the country</w:t>
      </w:r>
      <w:r w:rsidR="002374D7" w:rsidRPr="008D2FF3">
        <w:rPr>
          <w:rFonts w:ascii="Times New Roman" w:eastAsia="Calibri" w:hAnsi="Times New Roman" w:cs="Times New Roman"/>
          <w:sz w:val="24"/>
          <w:szCs w:val="24"/>
          <w:lang w:val="en-ZA"/>
        </w:rPr>
        <w:t xml:space="preserve"> at that time.  O</w:t>
      </w:r>
      <w:r w:rsidR="00407510" w:rsidRPr="008D2FF3">
        <w:rPr>
          <w:rFonts w:ascii="Times New Roman" w:eastAsia="Calibri" w:hAnsi="Times New Roman" w:cs="Times New Roman"/>
          <w:sz w:val="24"/>
          <w:szCs w:val="24"/>
          <w:lang w:val="en-ZA"/>
        </w:rPr>
        <w:t>n the basis of</w:t>
      </w:r>
      <w:r w:rsidR="002D2C2C" w:rsidRPr="008D2FF3">
        <w:rPr>
          <w:rFonts w:ascii="Times New Roman" w:eastAsia="Calibri" w:hAnsi="Times New Roman" w:cs="Times New Roman"/>
          <w:sz w:val="24"/>
          <w:szCs w:val="24"/>
          <w:lang w:val="en-ZA"/>
        </w:rPr>
        <w:t xml:space="preserve"> s</w:t>
      </w:r>
      <w:r w:rsidR="00F92BB7" w:rsidRPr="008D2FF3">
        <w:rPr>
          <w:rFonts w:ascii="Times New Roman" w:eastAsia="Calibri" w:hAnsi="Times New Roman" w:cs="Times New Roman"/>
          <w:sz w:val="24"/>
          <w:szCs w:val="24"/>
          <w:lang w:val="en-ZA"/>
        </w:rPr>
        <w:t>uch off b</w:t>
      </w:r>
      <w:r w:rsidR="002D2C2C" w:rsidRPr="008D2FF3">
        <w:rPr>
          <w:rFonts w:ascii="Times New Roman" w:eastAsia="Calibri" w:hAnsi="Times New Roman" w:cs="Times New Roman"/>
          <w:sz w:val="24"/>
          <w:szCs w:val="24"/>
          <w:lang w:val="en-ZA"/>
        </w:rPr>
        <w:t>alance sheet facilities the appellant would</w:t>
      </w:r>
      <w:r w:rsidR="00F92BB7" w:rsidRPr="008D2FF3">
        <w:rPr>
          <w:rFonts w:ascii="Times New Roman" w:eastAsia="Calibri" w:hAnsi="Times New Roman" w:cs="Times New Roman"/>
          <w:sz w:val="24"/>
          <w:szCs w:val="24"/>
          <w:lang w:val="en-ZA"/>
        </w:rPr>
        <w:t xml:space="preserve"> issue credit facilities to finance diffe</w:t>
      </w:r>
      <w:r w:rsidR="002D2C2C" w:rsidRPr="008D2FF3">
        <w:rPr>
          <w:rFonts w:ascii="Times New Roman" w:eastAsia="Calibri" w:hAnsi="Times New Roman" w:cs="Times New Roman"/>
          <w:sz w:val="24"/>
          <w:szCs w:val="24"/>
          <w:lang w:val="en-ZA"/>
        </w:rPr>
        <w:t xml:space="preserve">rent business ventures. </w:t>
      </w:r>
    </w:p>
    <w:p w:rsidR="009971EA" w:rsidRPr="008D2FF3" w:rsidRDefault="009971EA" w:rsidP="00100CF0">
      <w:pPr>
        <w:spacing w:after="0" w:line="240" w:lineRule="auto"/>
        <w:ind w:firstLine="1134"/>
        <w:jc w:val="both"/>
        <w:rPr>
          <w:rFonts w:ascii="Times New Roman" w:eastAsia="Calibri" w:hAnsi="Times New Roman" w:cs="Times New Roman"/>
          <w:sz w:val="24"/>
          <w:szCs w:val="24"/>
          <w:lang w:val="en-ZA"/>
        </w:rPr>
      </w:pPr>
    </w:p>
    <w:p w:rsidR="00385B42" w:rsidRPr="008D2FF3" w:rsidRDefault="006E3099" w:rsidP="00ED0BFB">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It is imp</w:t>
      </w:r>
      <w:r w:rsidR="00412705" w:rsidRPr="008D2FF3">
        <w:rPr>
          <w:rFonts w:ascii="Times New Roman" w:eastAsia="Calibri" w:hAnsi="Times New Roman" w:cs="Times New Roman"/>
          <w:sz w:val="24"/>
          <w:szCs w:val="24"/>
          <w:lang w:val="en-ZA"/>
        </w:rPr>
        <w:t>o</w:t>
      </w:r>
      <w:r w:rsidRPr="008D2FF3">
        <w:rPr>
          <w:rFonts w:ascii="Times New Roman" w:eastAsia="Calibri" w:hAnsi="Times New Roman" w:cs="Times New Roman"/>
          <w:sz w:val="24"/>
          <w:szCs w:val="24"/>
          <w:lang w:val="en-ZA"/>
        </w:rPr>
        <w:t>rt</w:t>
      </w:r>
      <w:r w:rsidR="00412705" w:rsidRPr="008D2FF3">
        <w:rPr>
          <w:rFonts w:ascii="Times New Roman" w:eastAsia="Calibri" w:hAnsi="Times New Roman" w:cs="Times New Roman"/>
          <w:sz w:val="24"/>
          <w:szCs w:val="24"/>
          <w:lang w:val="en-ZA"/>
        </w:rPr>
        <w:t>ant</w:t>
      </w:r>
      <w:r w:rsidRPr="008D2FF3">
        <w:rPr>
          <w:rFonts w:ascii="Times New Roman" w:eastAsia="Calibri" w:hAnsi="Times New Roman" w:cs="Times New Roman"/>
          <w:sz w:val="24"/>
          <w:szCs w:val="24"/>
          <w:lang w:val="en-ZA"/>
        </w:rPr>
        <w:t xml:space="preserve"> to note that the first encounter</w:t>
      </w:r>
      <w:r w:rsidR="002D2C2C" w:rsidRPr="008D2FF3">
        <w:rPr>
          <w:rFonts w:ascii="Times New Roman" w:eastAsia="Calibri" w:hAnsi="Times New Roman" w:cs="Times New Roman"/>
          <w:sz w:val="24"/>
          <w:szCs w:val="24"/>
          <w:lang w:val="en-ZA"/>
        </w:rPr>
        <w:t xml:space="preserve"> under which </w:t>
      </w:r>
      <w:r w:rsidRPr="008D2FF3">
        <w:rPr>
          <w:rFonts w:ascii="Times New Roman" w:eastAsia="Calibri" w:hAnsi="Times New Roman" w:cs="Times New Roman"/>
          <w:sz w:val="24"/>
          <w:szCs w:val="24"/>
          <w:lang w:val="en-ZA"/>
        </w:rPr>
        <w:t xml:space="preserve">Mugwara and the respondent </w:t>
      </w:r>
      <w:r w:rsidR="002D2C2C" w:rsidRPr="008D2FF3">
        <w:rPr>
          <w:rFonts w:ascii="Times New Roman" w:eastAsia="Calibri" w:hAnsi="Times New Roman" w:cs="Times New Roman"/>
          <w:sz w:val="24"/>
          <w:szCs w:val="24"/>
          <w:lang w:val="en-ZA"/>
        </w:rPr>
        <w:t xml:space="preserve">met </w:t>
      </w:r>
      <w:r w:rsidRPr="008D2FF3">
        <w:rPr>
          <w:rFonts w:ascii="Times New Roman" w:eastAsia="Calibri" w:hAnsi="Times New Roman" w:cs="Times New Roman"/>
          <w:sz w:val="24"/>
          <w:szCs w:val="24"/>
          <w:lang w:val="en-ZA"/>
        </w:rPr>
        <w:t>was not on</w:t>
      </w:r>
      <w:r w:rsidR="002D2C2C" w:rsidRPr="008D2FF3">
        <w:rPr>
          <w:rFonts w:ascii="Times New Roman" w:eastAsia="Calibri" w:hAnsi="Times New Roman" w:cs="Times New Roman"/>
          <w:sz w:val="24"/>
          <w:szCs w:val="24"/>
          <w:lang w:val="en-ZA"/>
        </w:rPr>
        <w:t xml:space="preserve"> the issuance of the guarantees</w:t>
      </w:r>
      <w:r w:rsidR="00412705" w:rsidRPr="008D2FF3">
        <w:rPr>
          <w:rFonts w:ascii="Times New Roman" w:eastAsia="Calibri" w:hAnsi="Times New Roman" w:cs="Times New Roman"/>
          <w:sz w:val="24"/>
          <w:szCs w:val="24"/>
          <w:lang w:val="en-ZA"/>
        </w:rPr>
        <w:t>.</w:t>
      </w:r>
      <w:r w:rsidR="002D2C2C"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 xml:space="preserve">Mugwara had </w:t>
      </w:r>
      <w:r w:rsidR="002D2C2C" w:rsidRPr="008D2FF3">
        <w:rPr>
          <w:rFonts w:ascii="Times New Roman" w:eastAsia="Calibri" w:hAnsi="Times New Roman" w:cs="Times New Roman"/>
          <w:sz w:val="24"/>
          <w:szCs w:val="24"/>
          <w:lang w:val="en-ZA"/>
        </w:rPr>
        <w:t>previously</w:t>
      </w:r>
      <w:r w:rsidRPr="008D2FF3">
        <w:rPr>
          <w:rFonts w:ascii="Times New Roman" w:eastAsia="Calibri" w:hAnsi="Times New Roman" w:cs="Times New Roman"/>
          <w:sz w:val="24"/>
          <w:szCs w:val="24"/>
          <w:lang w:val="en-ZA"/>
        </w:rPr>
        <w:t xml:space="preserve"> made presentations before Mr Mudzengerere who was the respondent’s Managing Director. </w:t>
      </w:r>
      <w:r w:rsidR="002D2C2C" w:rsidRPr="008D2FF3">
        <w:rPr>
          <w:rFonts w:ascii="Times New Roman" w:eastAsia="Calibri" w:hAnsi="Times New Roman" w:cs="Times New Roman"/>
          <w:sz w:val="24"/>
          <w:szCs w:val="24"/>
          <w:lang w:val="en-ZA"/>
        </w:rPr>
        <w:t xml:space="preserve">Mugwara approached the respondent to </w:t>
      </w:r>
      <w:r w:rsidR="00412705" w:rsidRPr="008D2FF3">
        <w:rPr>
          <w:rFonts w:ascii="Times New Roman" w:eastAsia="Calibri" w:hAnsi="Times New Roman" w:cs="Times New Roman"/>
          <w:sz w:val="24"/>
          <w:szCs w:val="24"/>
          <w:lang w:val="en-ZA"/>
        </w:rPr>
        <w:t>issue the</w:t>
      </w:r>
      <w:r w:rsidR="002D2C2C" w:rsidRPr="008D2FF3">
        <w:rPr>
          <w:rFonts w:ascii="Times New Roman" w:eastAsia="Calibri" w:hAnsi="Times New Roman" w:cs="Times New Roman"/>
          <w:sz w:val="24"/>
          <w:szCs w:val="24"/>
          <w:lang w:val="en-ZA"/>
        </w:rPr>
        <w:t xml:space="preserve"> guarantees on fuel procureme</w:t>
      </w:r>
      <w:r w:rsidR="00407510" w:rsidRPr="008D2FF3">
        <w:rPr>
          <w:rFonts w:ascii="Times New Roman" w:eastAsia="Calibri" w:hAnsi="Times New Roman" w:cs="Times New Roman"/>
          <w:sz w:val="24"/>
          <w:szCs w:val="24"/>
          <w:lang w:val="en-ZA"/>
        </w:rPr>
        <w:t xml:space="preserve">nt and disbursement. The intended </w:t>
      </w:r>
      <w:r w:rsidR="002D2C2C" w:rsidRPr="008D2FF3">
        <w:rPr>
          <w:rFonts w:ascii="Times New Roman" w:eastAsia="Calibri" w:hAnsi="Times New Roman" w:cs="Times New Roman"/>
          <w:sz w:val="24"/>
          <w:szCs w:val="24"/>
          <w:lang w:val="en-ZA"/>
        </w:rPr>
        <w:t>business ve</w:t>
      </w:r>
      <w:r w:rsidR="007F689B" w:rsidRPr="008D2FF3">
        <w:rPr>
          <w:rFonts w:ascii="Times New Roman" w:eastAsia="Calibri" w:hAnsi="Times New Roman" w:cs="Times New Roman"/>
          <w:sz w:val="24"/>
          <w:szCs w:val="24"/>
          <w:lang w:val="en-ZA"/>
        </w:rPr>
        <w:t>n</w:t>
      </w:r>
      <w:r w:rsidR="002D2C2C" w:rsidRPr="008D2FF3">
        <w:rPr>
          <w:rFonts w:ascii="Times New Roman" w:eastAsia="Calibri" w:hAnsi="Times New Roman" w:cs="Times New Roman"/>
          <w:sz w:val="24"/>
          <w:szCs w:val="24"/>
          <w:lang w:val="en-ZA"/>
        </w:rPr>
        <w:t>ture between Mug</w:t>
      </w:r>
      <w:r w:rsidR="007F689B" w:rsidRPr="008D2FF3">
        <w:rPr>
          <w:rFonts w:ascii="Times New Roman" w:eastAsia="Calibri" w:hAnsi="Times New Roman" w:cs="Times New Roman"/>
          <w:sz w:val="24"/>
          <w:szCs w:val="24"/>
          <w:lang w:val="en-ZA"/>
        </w:rPr>
        <w:t>w</w:t>
      </w:r>
      <w:r w:rsidR="002D2C2C" w:rsidRPr="008D2FF3">
        <w:rPr>
          <w:rFonts w:ascii="Times New Roman" w:eastAsia="Calibri" w:hAnsi="Times New Roman" w:cs="Times New Roman"/>
          <w:sz w:val="24"/>
          <w:szCs w:val="24"/>
          <w:lang w:val="en-ZA"/>
        </w:rPr>
        <w:t xml:space="preserve">ara and the respondent did not materialise at that </w:t>
      </w:r>
      <w:r w:rsidR="00412705" w:rsidRPr="008D2FF3">
        <w:rPr>
          <w:rFonts w:ascii="Times New Roman" w:eastAsia="Calibri" w:hAnsi="Times New Roman" w:cs="Times New Roman"/>
          <w:sz w:val="24"/>
          <w:szCs w:val="24"/>
          <w:lang w:val="en-ZA"/>
        </w:rPr>
        <w:t>time</w:t>
      </w:r>
      <w:r w:rsidR="002D2C2C" w:rsidRPr="008D2FF3">
        <w:rPr>
          <w:rFonts w:ascii="Times New Roman" w:eastAsia="Calibri" w:hAnsi="Times New Roman" w:cs="Times New Roman"/>
          <w:sz w:val="24"/>
          <w:szCs w:val="24"/>
          <w:lang w:val="en-ZA"/>
        </w:rPr>
        <w:t xml:space="preserve"> but </w:t>
      </w:r>
      <w:r w:rsidR="000F66ED" w:rsidRPr="008D2FF3">
        <w:rPr>
          <w:rFonts w:ascii="Times New Roman" w:eastAsia="Calibri" w:hAnsi="Times New Roman" w:cs="Times New Roman"/>
          <w:sz w:val="24"/>
          <w:szCs w:val="24"/>
          <w:lang w:val="en-ZA"/>
        </w:rPr>
        <w:t xml:space="preserve">a </w:t>
      </w:r>
      <w:r w:rsidR="007F689B" w:rsidRPr="008D2FF3">
        <w:rPr>
          <w:rFonts w:ascii="Times New Roman" w:eastAsia="Calibri" w:hAnsi="Times New Roman" w:cs="Times New Roman"/>
          <w:sz w:val="24"/>
          <w:szCs w:val="24"/>
          <w:lang w:val="en-ZA"/>
        </w:rPr>
        <w:t xml:space="preserve">relationship had </w:t>
      </w:r>
      <w:r w:rsidR="00412705" w:rsidRPr="008D2FF3">
        <w:rPr>
          <w:rFonts w:ascii="Times New Roman" w:eastAsia="Calibri" w:hAnsi="Times New Roman" w:cs="Times New Roman"/>
          <w:sz w:val="24"/>
          <w:szCs w:val="24"/>
          <w:lang w:val="en-ZA"/>
        </w:rPr>
        <w:t xml:space="preserve">been </w:t>
      </w:r>
      <w:r w:rsidR="007F689B" w:rsidRPr="008D2FF3">
        <w:rPr>
          <w:rFonts w:ascii="Times New Roman" w:eastAsia="Calibri" w:hAnsi="Times New Roman" w:cs="Times New Roman"/>
          <w:sz w:val="24"/>
          <w:szCs w:val="24"/>
          <w:lang w:val="en-ZA"/>
        </w:rPr>
        <w:t xml:space="preserve">formed. </w:t>
      </w:r>
      <w:r w:rsidRPr="008D2FF3">
        <w:rPr>
          <w:rFonts w:ascii="Times New Roman" w:eastAsia="Calibri" w:hAnsi="Times New Roman" w:cs="Times New Roman"/>
          <w:sz w:val="24"/>
          <w:szCs w:val="24"/>
          <w:lang w:val="en-ZA"/>
        </w:rPr>
        <w:t xml:space="preserve">It </w:t>
      </w:r>
      <w:r w:rsidR="007F689B" w:rsidRPr="008D2FF3">
        <w:rPr>
          <w:rFonts w:ascii="Times New Roman" w:eastAsia="Calibri" w:hAnsi="Times New Roman" w:cs="Times New Roman"/>
          <w:sz w:val="24"/>
          <w:szCs w:val="24"/>
          <w:lang w:val="en-ZA"/>
        </w:rPr>
        <w:t xml:space="preserve">thus </w:t>
      </w:r>
      <w:r w:rsidRPr="008D2FF3">
        <w:rPr>
          <w:rFonts w:ascii="Times New Roman" w:eastAsia="Calibri" w:hAnsi="Times New Roman" w:cs="Times New Roman"/>
          <w:sz w:val="24"/>
          <w:szCs w:val="24"/>
          <w:lang w:val="en-ZA"/>
        </w:rPr>
        <w:t>cannot be taken as being irregular that upon being presented with the guarantees in favour of Wedzera for fuel allocation</w:t>
      </w:r>
      <w:r w:rsidR="002374D7" w:rsidRPr="008D2FF3">
        <w:rPr>
          <w:rFonts w:ascii="Times New Roman" w:eastAsia="Calibri" w:hAnsi="Times New Roman" w:cs="Times New Roman"/>
          <w:sz w:val="24"/>
          <w:szCs w:val="24"/>
          <w:lang w:val="en-ZA"/>
        </w:rPr>
        <w:t>,</w:t>
      </w:r>
      <w:r w:rsidRPr="008D2FF3">
        <w:rPr>
          <w:rFonts w:ascii="Times New Roman" w:eastAsia="Calibri" w:hAnsi="Times New Roman" w:cs="Times New Roman"/>
          <w:sz w:val="24"/>
          <w:szCs w:val="24"/>
          <w:lang w:val="en-ZA"/>
        </w:rPr>
        <w:t xml:space="preserve"> Mr M</w:t>
      </w:r>
      <w:r w:rsidR="00216321" w:rsidRPr="008D2FF3">
        <w:rPr>
          <w:rFonts w:ascii="Times New Roman" w:eastAsia="Calibri" w:hAnsi="Times New Roman" w:cs="Times New Roman"/>
          <w:sz w:val="24"/>
          <w:szCs w:val="24"/>
          <w:lang w:val="en-ZA"/>
        </w:rPr>
        <w:t>udzengerere</w:t>
      </w:r>
      <w:r w:rsidR="002374D7" w:rsidRPr="008D2FF3">
        <w:rPr>
          <w:rFonts w:ascii="Times New Roman" w:eastAsia="Calibri" w:hAnsi="Times New Roman" w:cs="Times New Roman"/>
          <w:sz w:val="24"/>
          <w:szCs w:val="24"/>
          <w:lang w:val="en-ZA"/>
        </w:rPr>
        <w:t xml:space="preserve"> on behalf of the respondent</w:t>
      </w:r>
      <w:r w:rsidR="00216321" w:rsidRPr="008D2FF3">
        <w:rPr>
          <w:rFonts w:ascii="Times New Roman" w:eastAsia="Calibri" w:hAnsi="Times New Roman" w:cs="Times New Roman"/>
          <w:sz w:val="24"/>
          <w:szCs w:val="24"/>
          <w:lang w:val="en-ZA"/>
        </w:rPr>
        <w:t xml:space="preserve"> accepted these guarantees. </w:t>
      </w:r>
      <w:r w:rsidRPr="008D2FF3">
        <w:rPr>
          <w:rFonts w:ascii="Times New Roman" w:eastAsia="Calibri" w:hAnsi="Times New Roman" w:cs="Times New Roman"/>
          <w:sz w:val="24"/>
          <w:szCs w:val="24"/>
          <w:lang w:val="en-ZA"/>
        </w:rPr>
        <w:t xml:space="preserve">The respondent duly </w:t>
      </w:r>
      <w:r w:rsidR="00216321" w:rsidRPr="008D2FF3">
        <w:rPr>
          <w:rFonts w:ascii="Times New Roman" w:eastAsia="Calibri" w:hAnsi="Times New Roman" w:cs="Times New Roman"/>
          <w:sz w:val="24"/>
          <w:szCs w:val="24"/>
          <w:lang w:val="en-ZA"/>
        </w:rPr>
        <w:t>accepted the</w:t>
      </w:r>
      <w:r w:rsidRPr="008D2FF3">
        <w:rPr>
          <w:rFonts w:ascii="Times New Roman" w:eastAsia="Calibri" w:hAnsi="Times New Roman" w:cs="Times New Roman"/>
          <w:sz w:val="24"/>
          <w:szCs w:val="24"/>
          <w:lang w:val="en-ZA"/>
        </w:rPr>
        <w:t xml:space="preserve"> </w:t>
      </w:r>
      <w:r w:rsidR="007F689B" w:rsidRPr="008D2FF3">
        <w:rPr>
          <w:rFonts w:ascii="Times New Roman" w:eastAsia="Calibri" w:hAnsi="Times New Roman" w:cs="Times New Roman"/>
          <w:sz w:val="24"/>
          <w:szCs w:val="24"/>
          <w:lang w:val="en-ZA"/>
        </w:rPr>
        <w:t xml:space="preserve">guarantees </w:t>
      </w:r>
      <w:r w:rsidRPr="008D2FF3">
        <w:rPr>
          <w:rFonts w:ascii="Times New Roman" w:eastAsia="Calibri" w:hAnsi="Times New Roman" w:cs="Times New Roman"/>
          <w:sz w:val="24"/>
          <w:szCs w:val="24"/>
          <w:lang w:val="en-ZA"/>
        </w:rPr>
        <w:t xml:space="preserve">on the basis of the conduct and </w:t>
      </w:r>
      <w:r w:rsidR="00407510" w:rsidRPr="008D2FF3">
        <w:rPr>
          <w:rFonts w:ascii="Times New Roman" w:eastAsia="Calibri" w:hAnsi="Times New Roman" w:cs="Times New Roman"/>
          <w:sz w:val="24"/>
          <w:szCs w:val="24"/>
          <w:lang w:val="en-ZA"/>
        </w:rPr>
        <w:t>re</w:t>
      </w:r>
      <w:r w:rsidRPr="008D2FF3">
        <w:rPr>
          <w:rFonts w:ascii="Times New Roman" w:eastAsia="Calibri" w:hAnsi="Times New Roman" w:cs="Times New Roman"/>
          <w:sz w:val="24"/>
          <w:szCs w:val="24"/>
          <w:lang w:val="en-ZA"/>
        </w:rPr>
        <w:t>presenta</w:t>
      </w:r>
      <w:r w:rsidR="007F689B" w:rsidRPr="008D2FF3">
        <w:rPr>
          <w:rFonts w:ascii="Times New Roman" w:eastAsia="Calibri" w:hAnsi="Times New Roman" w:cs="Times New Roman"/>
          <w:sz w:val="24"/>
          <w:szCs w:val="24"/>
          <w:lang w:val="en-ZA"/>
        </w:rPr>
        <w:t xml:space="preserve">tions which had been made by </w:t>
      </w:r>
      <w:r w:rsidRPr="008D2FF3">
        <w:rPr>
          <w:rFonts w:ascii="Times New Roman" w:eastAsia="Calibri" w:hAnsi="Times New Roman" w:cs="Times New Roman"/>
          <w:sz w:val="24"/>
          <w:szCs w:val="24"/>
          <w:lang w:val="en-ZA"/>
        </w:rPr>
        <w:t xml:space="preserve">Mugwara even before Wedzera sought a credit facility from the appellant. </w:t>
      </w:r>
    </w:p>
    <w:p w:rsidR="00F35063" w:rsidRPr="008D2FF3" w:rsidRDefault="00F35063" w:rsidP="00100CF0">
      <w:pPr>
        <w:spacing w:after="0" w:line="240" w:lineRule="auto"/>
        <w:ind w:firstLine="1134"/>
        <w:jc w:val="both"/>
        <w:rPr>
          <w:rFonts w:ascii="Times New Roman" w:eastAsia="Calibri" w:hAnsi="Times New Roman" w:cs="Times New Roman"/>
          <w:sz w:val="24"/>
          <w:szCs w:val="24"/>
          <w:lang w:val="en-ZA"/>
        </w:rPr>
      </w:pPr>
    </w:p>
    <w:p w:rsidR="00216321" w:rsidRPr="008D2FF3" w:rsidRDefault="00216321" w:rsidP="00944B7D">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The respondent</w:t>
      </w:r>
      <w:r w:rsidR="00412705" w:rsidRPr="008D2FF3">
        <w:rPr>
          <w:rFonts w:ascii="Times New Roman" w:eastAsia="Calibri" w:hAnsi="Times New Roman" w:cs="Times New Roman"/>
          <w:sz w:val="24"/>
          <w:szCs w:val="24"/>
          <w:lang w:val="en-ZA"/>
        </w:rPr>
        <w:t>’s cause of</w:t>
      </w:r>
      <w:r w:rsidRPr="008D2FF3">
        <w:rPr>
          <w:rFonts w:ascii="Times New Roman" w:eastAsia="Calibri" w:hAnsi="Times New Roman" w:cs="Times New Roman"/>
          <w:sz w:val="24"/>
          <w:szCs w:val="24"/>
          <w:lang w:val="en-ZA"/>
        </w:rPr>
        <w:t xml:space="preserve"> action against the appellant for payment </w:t>
      </w:r>
      <w:r w:rsidR="00412705" w:rsidRPr="008D2FF3">
        <w:rPr>
          <w:rFonts w:ascii="Times New Roman" w:eastAsia="Calibri" w:hAnsi="Times New Roman" w:cs="Times New Roman"/>
          <w:sz w:val="24"/>
          <w:szCs w:val="24"/>
          <w:lang w:val="en-ZA"/>
        </w:rPr>
        <w:t xml:space="preserve">was </w:t>
      </w:r>
      <w:r w:rsidRPr="008D2FF3">
        <w:rPr>
          <w:rFonts w:ascii="Times New Roman" w:eastAsia="Calibri" w:hAnsi="Times New Roman" w:cs="Times New Roman"/>
          <w:sz w:val="24"/>
          <w:szCs w:val="24"/>
          <w:lang w:val="en-ZA"/>
        </w:rPr>
        <w:t>on the basis of ostensible authority which had been exer</w:t>
      </w:r>
      <w:r w:rsidR="007F689B" w:rsidRPr="008D2FF3">
        <w:rPr>
          <w:rFonts w:ascii="Times New Roman" w:eastAsia="Calibri" w:hAnsi="Times New Roman" w:cs="Times New Roman"/>
          <w:sz w:val="24"/>
          <w:szCs w:val="24"/>
          <w:lang w:val="en-ZA"/>
        </w:rPr>
        <w:t xml:space="preserve">cised by </w:t>
      </w:r>
      <w:r w:rsidR="00944B7D" w:rsidRPr="008D2FF3">
        <w:rPr>
          <w:rFonts w:ascii="Times New Roman" w:eastAsia="Calibri" w:hAnsi="Times New Roman" w:cs="Times New Roman"/>
          <w:sz w:val="24"/>
          <w:szCs w:val="24"/>
          <w:lang w:val="en-ZA"/>
        </w:rPr>
        <w:t xml:space="preserve">Mugwara. </w:t>
      </w:r>
      <w:r w:rsidRPr="008D2FF3">
        <w:rPr>
          <w:rFonts w:ascii="Times New Roman" w:eastAsia="Calibri" w:hAnsi="Times New Roman" w:cs="Times New Roman"/>
          <w:sz w:val="24"/>
          <w:szCs w:val="24"/>
          <w:lang w:val="en-ZA"/>
        </w:rPr>
        <w:t xml:space="preserve">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duly </w:t>
      </w:r>
      <w:r w:rsidR="002374D7" w:rsidRPr="008D2FF3">
        <w:rPr>
          <w:rFonts w:ascii="Times New Roman" w:eastAsia="Calibri" w:hAnsi="Times New Roman" w:cs="Times New Roman"/>
          <w:sz w:val="24"/>
          <w:szCs w:val="24"/>
          <w:lang w:val="en-ZA"/>
        </w:rPr>
        <w:t>made factual</w:t>
      </w:r>
      <w:r w:rsidRPr="008D2FF3">
        <w:rPr>
          <w:rFonts w:ascii="Times New Roman" w:eastAsia="Calibri" w:hAnsi="Times New Roman" w:cs="Times New Roman"/>
          <w:sz w:val="24"/>
          <w:szCs w:val="24"/>
          <w:lang w:val="en-ZA"/>
        </w:rPr>
        <w:t xml:space="preserve"> findings on the exerc</w:t>
      </w:r>
      <w:r w:rsidR="00407510" w:rsidRPr="008D2FF3">
        <w:rPr>
          <w:rFonts w:ascii="Times New Roman" w:eastAsia="Calibri" w:hAnsi="Times New Roman" w:cs="Times New Roman"/>
          <w:sz w:val="24"/>
          <w:szCs w:val="24"/>
          <w:lang w:val="en-ZA"/>
        </w:rPr>
        <w:t xml:space="preserve">ise of this authority. </w:t>
      </w:r>
      <w:r w:rsidR="00412705" w:rsidRPr="008D2FF3">
        <w:rPr>
          <w:rFonts w:ascii="Times New Roman" w:eastAsia="Calibri" w:hAnsi="Times New Roman" w:cs="Times New Roman"/>
          <w:sz w:val="24"/>
          <w:szCs w:val="24"/>
          <w:lang w:val="en-ZA"/>
        </w:rPr>
        <w:t>Clearly</w:t>
      </w:r>
      <w:r w:rsidRPr="008D2FF3">
        <w:rPr>
          <w:rFonts w:ascii="Times New Roman" w:eastAsia="Calibri" w:hAnsi="Times New Roman" w:cs="Times New Roman"/>
          <w:sz w:val="24"/>
          <w:szCs w:val="24"/>
          <w:lang w:val="en-ZA"/>
        </w:rPr>
        <w:t xml:space="preserve"> </w:t>
      </w:r>
      <w:r w:rsidR="007157AC" w:rsidRPr="008D2FF3">
        <w:rPr>
          <w:rFonts w:ascii="Times New Roman" w:eastAsia="Calibri" w:hAnsi="Times New Roman" w:cs="Times New Roman"/>
          <w:sz w:val="24"/>
          <w:szCs w:val="24"/>
          <w:lang w:val="en-ZA"/>
        </w:rPr>
        <w:t xml:space="preserve">there is nothing illogical or unreasonable from the court </w:t>
      </w:r>
      <w:r w:rsidR="007157AC" w:rsidRPr="008D2FF3">
        <w:rPr>
          <w:rFonts w:ascii="Times New Roman" w:eastAsia="Calibri" w:hAnsi="Times New Roman" w:cs="Times New Roman"/>
          <w:i/>
          <w:sz w:val="24"/>
          <w:szCs w:val="24"/>
          <w:lang w:val="en-ZA"/>
        </w:rPr>
        <w:t>a quo’s</w:t>
      </w:r>
      <w:r w:rsidR="007157AC" w:rsidRPr="008D2FF3">
        <w:rPr>
          <w:rFonts w:ascii="Times New Roman" w:eastAsia="Calibri" w:hAnsi="Times New Roman" w:cs="Times New Roman"/>
          <w:sz w:val="24"/>
          <w:szCs w:val="24"/>
          <w:lang w:val="en-ZA"/>
        </w:rPr>
        <w:t xml:space="preserve"> findings.</w:t>
      </w:r>
      <w:r w:rsidR="007F689B" w:rsidRPr="008D2FF3">
        <w:rPr>
          <w:rFonts w:ascii="Times New Roman" w:eastAsia="Calibri" w:hAnsi="Times New Roman" w:cs="Times New Roman"/>
          <w:sz w:val="24"/>
          <w:szCs w:val="24"/>
          <w:lang w:val="en-ZA"/>
        </w:rPr>
        <w:t xml:space="preserve"> Mugwara</w:t>
      </w:r>
      <w:r w:rsidR="000F66ED" w:rsidRPr="008D2FF3">
        <w:rPr>
          <w:rFonts w:ascii="Times New Roman" w:eastAsia="Calibri" w:hAnsi="Times New Roman" w:cs="Times New Roman"/>
          <w:sz w:val="24"/>
          <w:szCs w:val="24"/>
          <w:lang w:val="en-ZA"/>
        </w:rPr>
        <w:t xml:space="preserve"> confi</w:t>
      </w:r>
      <w:r w:rsidR="001713E5" w:rsidRPr="008D2FF3">
        <w:rPr>
          <w:rFonts w:ascii="Times New Roman" w:eastAsia="Calibri" w:hAnsi="Times New Roman" w:cs="Times New Roman"/>
          <w:sz w:val="24"/>
          <w:szCs w:val="24"/>
          <w:lang w:val="en-ZA"/>
        </w:rPr>
        <w:t>rm</w:t>
      </w:r>
      <w:r w:rsidR="000F66ED" w:rsidRPr="008D2FF3">
        <w:rPr>
          <w:rFonts w:ascii="Times New Roman" w:eastAsia="Calibri" w:hAnsi="Times New Roman" w:cs="Times New Roman"/>
          <w:sz w:val="24"/>
          <w:szCs w:val="24"/>
          <w:lang w:val="en-ZA"/>
        </w:rPr>
        <w:t>ed that he</w:t>
      </w:r>
      <w:r w:rsidR="007F689B" w:rsidRPr="008D2FF3">
        <w:rPr>
          <w:rFonts w:ascii="Times New Roman" w:eastAsia="Calibri" w:hAnsi="Times New Roman" w:cs="Times New Roman"/>
          <w:sz w:val="24"/>
          <w:szCs w:val="24"/>
          <w:lang w:val="en-ZA"/>
        </w:rPr>
        <w:t xml:space="preserve"> had authority to carry </w:t>
      </w:r>
      <w:r w:rsidRPr="008D2FF3">
        <w:rPr>
          <w:rFonts w:ascii="Times New Roman" w:eastAsia="Calibri" w:hAnsi="Times New Roman" w:cs="Times New Roman"/>
          <w:sz w:val="24"/>
          <w:szCs w:val="24"/>
          <w:lang w:val="en-ZA"/>
        </w:rPr>
        <w:t>out his duties and the respondent could not be faulted for honouring the guarantees which were issued on behalf of the appellant by its Head of Short Term Loans.</w:t>
      </w:r>
      <w:r w:rsidR="00FF5782" w:rsidRPr="008D2FF3">
        <w:rPr>
          <w:rFonts w:ascii="Times New Roman" w:eastAsia="Calibri" w:hAnsi="Times New Roman" w:cs="Times New Roman"/>
          <w:sz w:val="24"/>
          <w:szCs w:val="24"/>
          <w:lang w:val="en-ZA"/>
        </w:rPr>
        <w:t xml:space="preserve">  The court </w:t>
      </w:r>
      <w:r w:rsidR="00FF5782" w:rsidRPr="008D2FF3">
        <w:rPr>
          <w:rFonts w:ascii="Times New Roman" w:eastAsia="Calibri" w:hAnsi="Times New Roman" w:cs="Times New Roman"/>
          <w:i/>
          <w:sz w:val="24"/>
          <w:szCs w:val="24"/>
          <w:lang w:val="en-ZA"/>
        </w:rPr>
        <w:t xml:space="preserve">a quo </w:t>
      </w:r>
      <w:r w:rsidR="00FF5782" w:rsidRPr="008D2FF3">
        <w:rPr>
          <w:rFonts w:ascii="Times New Roman" w:eastAsia="Calibri" w:hAnsi="Times New Roman" w:cs="Times New Roman"/>
          <w:sz w:val="24"/>
          <w:szCs w:val="24"/>
          <w:lang w:val="en-ZA"/>
        </w:rPr>
        <w:t>found Mugwara to be a reliable witness.</w:t>
      </w:r>
    </w:p>
    <w:p w:rsidR="0021699D" w:rsidRPr="008D2FF3" w:rsidRDefault="0021699D" w:rsidP="00100CF0">
      <w:pPr>
        <w:spacing w:after="0" w:line="240" w:lineRule="auto"/>
        <w:ind w:firstLine="1134"/>
        <w:jc w:val="both"/>
        <w:rPr>
          <w:rFonts w:ascii="Times New Roman" w:eastAsia="Calibri" w:hAnsi="Times New Roman" w:cs="Times New Roman"/>
          <w:sz w:val="24"/>
          <w:szCs w:val="24"/>
          <w:lang w:val="en-ZA"/>
        </w:rPr>
      </w:pPr>
    </w:p>
    <w:p w:rsidR="00944B7D" w:rsidRPr="008D2FF3" w:rsidRDefault="007157AC" w:rsidP="00944B7D">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lastRenderedPageBreak/>
        <w:t>O</w:t>
      </w:r>
      <w:r w:rsidR="009615DA" w:rsidRPr="008D2FF3">
        <w:rPr>
          <w:rFonts w:ascii="Times New Roman" w:eastAsia="Calibri" w:hAnsi="Times New Roman" w:cs="Times New Roman"/>
          <w:sz w:val="24"/>
          <w:szCs w:val="24"/>
          <w:lang w:val="en-ZA"/>
        </w:rPr>
        <w:t>n the basis of the above</w:t>
      </w:r>
      <w:r w:rsidRPr="008D2FF3">
        <w:rPr>
          <w:rFonts w:ascii="Times New Roman" w:eastAsia="Calibri" w:hAnsi="Times New Roman" w:cs="Times New Roman"/>
          <w:sz w:val="24"/>
          <w:szCs w:val="24"/>
          <w:lang w:val="en-ZA"/>
        </w:rPr>
        <w:t xml:space="preserve"> finding it </w:t>
      </w:r>
      <w:r w:rsidR="00412705" w:rsidRPr="008D2FF3">
        <w:rPr>
          <w:rFonts w:ascii="Times New Roman" w:eastAsia="Calibri" w:hAnsi="Times New Roman" w:cs="Times New Roman"/>
          <w:sz w:val="24"/>
          <w:szCs w:val="24"/>
          <w:lang w:val="en-ZA"/>
        </w:rPr>
        <w:t>is therefore my view</w:t>
      </w:r>
      <w:r w:rsidRPr="008D2FF3">
        <w:rPr>
          <w:rFonts w:ascii="Times New Roman" w:eastAsia="Calibri" w:hAnsi="Times New Roman" w:cs="Times New Roman"/>
          <w:sz w:val="24"/>
          <w:szCs w:val="24"/>
          <w:lang w:val="en-ZA"/>
        </w:rPr>
        <w:t xml:space="preserve"> that the appellant is liable to pay the respondent the </w:t>
      </w:r>
      <w:r w:rsidR="00412705" w:rsidRPr="008D2FF3">
        <w:rPr>
          <w:rFonts w:ascii="Times New Roman" w:eastAsia="Calibri" w:hAnsi="Times New Roman" w:cs="Times New Roman"/>
          <w:sz w:val="24"/>
          <w:szCs w:val="24"/>
          <w:lang w:val="en-ZA"/>
        </w:rPr>
        <w:t>s</w:t>
      </w:r>
      <w:r w:rsidRPr="008D2FF3">
        <w:rPr>
          <w:rFonts w:ascii="Times New Roman" w:eastAsia="Calibri" w:hAnsi="Times New Roman" w:cs="Times New Roman"/>
          <w:sz w:val="24"/>
          <w:szCs w:val="24"/>
          <w:lang w:val="en-ZA"/>
        </w:rPr>
        <w:t>ums of money arising from the guarantees.</w:t>
      </w:r>
    </w:p>
    <w:p w:rsidR="00944B7D" w:rsidRPr="008D2FF3" w:rsidRDefault="00944B7D" w:rsidP="00944B7D">
      <w:pPr>
        <w:pStyle w:val="ListParagraph"/>
        <w:rPr>
          <w:rFonts w:ascii="Times New Roman" w:eastAsia="Calibri" w:hAnsi="Times New Roman" w:cs="Times New Roman"/>
          <w:sz w:val="24"/>
          <w:szCs w:val="24"/>
          <w:lang w:val="en-ZA"/>
        </w:rPr>
      </w:pPr>
    </w:p>
    <w:p w:rsidR="007157AC" w:rsidRPr="008D2FF3" w:rsidRDefault="00944B7D" w:rsidP="00944B7D">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I</w:t>
      </w:r>
      <w:r w:rsidR="00412705" w:rsidRPr="008D2FF3">
        <w:rPr>
          <w:rFonts w:ascii="Times New Roman" w:eastAsia="Calibri" w:hAnsi="Times New Roman" w:cs="Times New Roman"/>
          <w:sz w:val="24"/>
          <w:szCs w:val="24"/>
          <w:lang w:val="en-ZA"/>
        </w:rPr>
        <w:t>n view of the 7</w:t>
      </w:r>
      <w:r w:rsidR="00412705" w:rsidRPr="008D2FF3">
        <w:rPr>
          <w:rFonts w:ascii="Times New Roman" w:eastAsia="Calibri" w:hAnsi="Times New Roman" w:cs="Times New Roman"/>
          <w:sz w:val="24"/>
          <w:szCs w:val="24"/>
          <w:vertAlign w:val="superscript"/>
          <w:lang w:val="en-ZA"/>
        </w:rPr>
        <w:t>th</w:t>
      </w:r>
      <w:r w:rsidR="00412705" w:rsidRPr="008D2FF3">
        <w:rPr>
          <w:rFonts w:ascii="Times New Roman" w:eastAsia="Calibri" w:hAnsi="Times New Roman" w:cs="Times New Roman"/>
          <w:sz w:val="24"/>
          <w:szCs w:val="24"/>
          <w:lang w:val="en-ZA"/>
        </w:rPr>
        <w:t xml:space="preserve"> and 8</w:t>
      </w:r>
      <w:r w:rsidR="00412705" w:rsidRPr="008D2FF3">
        <w:rPr>
          <w:rFonts w:ascii="Times New Roman" w:eastAsia="Calibri" w:hAnsi="Times New Roman" w:cs="Times New Roman"/>
          <w:sz w:val="24"/>
          <w:szCs w:val="24"/>
          <w:vertAlign w:val="superscript"/>
          <w:lang w:val="en-ZA"/>
        </w:rPr>
        <w:t>th</w:t>
      </w:r>
      <w:r w:rsidR="00412705" w:rsidRPr="008D2FF3">
        <w:rPr>
          <w:rFonts w:ascii="Times New Roman" w:eastAsia="Calibri" w:hAnsi="Times New Roman" w:cs="Times New Roman"/>
          <w:sz w:val="24"/>
          <w:szCs w:val="24"/>
          <w:lang w:val="en-ZA"/>
        </w:rPr>
        <w:t xml:space="preserve"> ground</w:t>
      </w:r>
      <w:r w:rsidR="00F71FE5" w:rsidRPr="008D2FF3">
        <w:rPr>
          <w:rFonts w:ascii="Times New Roman" w:eastAsia="Calibri" w:hAnsi="Times New Roman" w:cs="Times New Roman"/>
          <w:sz w:val="24"/>
          <w:szCs w:val="24"/>
          <w:lang w:val="en-ZA"/>
        </w:rPr>
        <w:t>s</w:t>
      </w:r>
      <w:r w:rsidR="00412705" w:rsidRPr="008D2FF3">
        <w:rPr>
          <w:rFonts w:ascii="Times New Roman" w:eastAsia="Calibri" w:hAnsi="Times New Roman" w:cs="Times New Roman"/>
          <w:sz w:val="24"/>
          <w:szCs w:val="24"/>
          <w:lang w:val="en-ZA"/>
        </w:rPr>
        <w:t xml:space="preserve"> of appeal t</w:t>
      </w:r>
      <w:r w:rsidR="007157AC" w:rsidRPr="008D2FF3">
        <w:rPr>
          <w:rFonts w:ascii="Times New Roman" w:eastAsia="Calibri" w:hAnsi="Times New Roman" w:cs="Times New Roman"/>
          <w:sz w:val="24"/>
          <w:szCs w:val="24"/>
          <w:lang w:val="en-ZA"/>
        </w:rPr>
        <w:t>he Court h</w:t>
      </w:r>
      <w:r w:rsidR="007F689B" w:rsidRPr="008D2FF3">
        <w:rPr>
          <w:rFonts w:ascii="Times New Roman" w:eastAsia="Calibri" w:hAnsi="Times New Roman" w:cs="Times New Roman"/>
          <w:sz w:val="24"/>
          <w:szCs w:val="24"/>
          <w:lang w:val="en-ZA"/>
        </w:rPr>
        <w:t xml:space="preserve">as been called </w:t>
      </w:r>
      <w:r w:rsidR="00412705" w:rsidRPr="008D2FF3">
        <w:rPr>
          <w:rFonts w:ascii="Times New Roman" w:eastAsia="Calibri" w:hAnsi="Times New Roman" w:cs="Times New Roman"/>
          <w:sz w:val="24"/>
          <w:szCs w:val="24"/>
          <w:lang w:val="en-ZA"/>
        </w:rPr>
        <w:t xml:space="preserve">upon </w:t>
      </w:r>
      <w:r w:rsidR="007F689B" w:rsidRPr="008D2FF3">
        <w:rPr>
          <w:rFonts w:ascii="Times New Roman" w:eastAsia="Calibri" w:hAnsi="Times New Roman" w:cs="Times New Roman"/>
          <w:sz w:val="24"/>
          <w:szCs w:val="24"/>
          <w:lang w:val="en-ZA"/>
        </w:rPr>
        <w:t xml:space="preserve">to determine </w:t>
      </w:r>
      <w:r w:rsidR="007157AC" w:rsidRPr="008D2FF3">
        <w:rPr>
          <w:rFonts w:ascii="Times New Roman" w:eastAsia="Calibri" w:hAnsi="Times New Roman" w:cs="Times New Roman"/>
          <w:sz w:val="24"/>
          <w:szCs w:val="24"/>
          <w:lang w:val="en-ZA"/>
        </w:rPr>
        <w:t xml:space="preserve">the applicability of the </w:t>
      </w:r>
      <w:r w:rsidR="0021699D" w:rsidRPr="008D2FF3">
        <w:rPr>
          <w:rFonts w:ascii="Times New Roman" w:eastAsia="Calibri" w:hAnsi="Times New Roman" w:cs="Times New Roman"/>
          <w:sz w:val="24"/>
          <w:szCs w:val="24"/>
          <w:lang w:val="en-ZA"/>
        </w:rPr>
        <w:t>T</w:t>
      </w:r>
      <w:r w:rsidR="007157AC" w:rsidRPr="008D2FF3">
        <w:rPr>
          <w:rFonts w:ascii="Times New Roman" w:eastAsia="Calibri" w:hAnsi="Times New Roman" w:cs="Times New Roman"/>
          <w:sz w:val="24"/>
          <w:szCs w:val="24"/>
          <w:lang w:val="en-ZA"/>
        </w:rPr>
        <w:t xml:space="preserve">urquand </w:t>
      </w:r>
      <w:r w:rsidR="0021699D" w:rsidRPr="008D2FF3">
        <w:rPr>
          <w:rFonts w:ascii="Times New Roman" w:eastAsia="Calibri" w:hAnsi="Times New Roman" w:cs="Times New Roman"/>
          <w:sz w:val="24"/>
          <w:szCs w:val="24"/>
          <w:lang w:val="en-ZA"/>
        </w:rPr>
        <w:t>R</w:t>
      </w:r>
      <w:r w:rsidR="007157AC" w:rsidRPr="008D2FF3">
        <w:rPr>
          <w:rFonts w:ascii="Times New Roman" w:eastAsia="Calibri" w:hAnsi="Times New Roman" w:cs="Times New Roman"/>
          <w:sz w:val="24"/>
          <w:szCs w:val="24"/>
          <w:lang w:val="en-ZA"/>
        </w:rPr>
        <w:t xml:space="preserve">ule </w:t>
      </w:r>
      <w:r w:rsidR="007F689B" w:rsidRPr="008D2FF3">
        <w:rPr>
          <w:rFonts w:ascii="Times New Roman" w:eastAsia="Calibri" w:hAnsi="Times New Roman" w:cs="Times New Roman"/>
          <w:i/>
          <w:sz w:val="24"/>
          <w:szCs w:val="24"/>
          <w:lang w:val="en-ZA"/>
        </w:rPr>
        <w:t>vis-</w:t>
      </w:r>
      <w:r w:rsidR="007157AC" w:rsidRPr="008D2FF3">
        <w:rPr>
          <w:rFonts w:ascii="Times New Roman" w:eastAsia="Calibri" w:hAnsi="Times New Roman" w:cs="Times New Roman"/>
          <w:i/>
          <w:sz w:val="24"/>
          <w:szCs w:val="24"/>
          <w:lang w:val="en-ZA"/>
        </w:rPr>
        <w:t>a</w:t>
      </w:r>
      <w:r w:rsidR="007F689B" w:rsidRPr="008D2FF3">
        <w:rPr>
          <w:rFonts w:ascii="Times New Roman" w:eastAsia="Calibri" w:hAnsi="Times New Roman" w:cs="Times New Roman"/>
          <w:i/>
          <w:sz w:val="24"/>
          <w:szCs w:val="24"/>
          <w:lang w:val="en-ZA"/>
        </w:rPr>
        <w:t>-</w:t>
      </w:r>
      <w:r w:rsidR="007157AC" w:rsidRPr="008D2FF3">
        <w:rPr>
          <w:rFonts w:ascii="Times New Roman" w:eastAsia="Calibri" w:hAnsi="Times New Roman" w:cs="Times New Roman"/>
          <w:i/>
          <w:sz w:val="24"/>
          <w:szCs w:val="24"/>
          <w:lang w:val="en-ZA"/>
        </w:rPr>
        <w:t xml:space="preserve">vis </w:t>
      </w:r>
      <w:r w:rsidR="007157AC" w:rsidRPr="008D2FF3">
        <w:rPr>
          <w:rFonts w:ascii="Times New Roman" w:eastAsia="Calibri" w:hAnsi="Times New Roman" w:cs="Times New Roman"/>
          <w:sz w:val="24"/>
          <w:szCs w:val="24"/>
          <w:lang w:val="en-ZA"/>
        </w:rPr>
        <w:t>the provisions of the IDBZ Act</w:t>
      </w:r>
      <w:r w:rsidR="002374D7" w:rsidRPr="008D2FF3">
        <w:rPr>
          <w:rFonts w:ascii="Times New Roman" w:eastAsia="Calibri" w:hAnsi="Times New Roman" w:cs="Times New Roman"/>
          <w:sz w:val="24"/>
          <w:szCs w:val="24"/>
          <w:lang w:val="en-ZA"/>
        </w:rPr>
        <w:t xml:space="preserve"> and the effect of such on the present appeal</w:t>
      </w:r>
      <w:r w:rsidR="007157AC" w:rsidRPr="008D2FF3">
        <w:rPr>
          <w:rFonts w:ascii="Times New Roman" w:eastAsia="Calibri" w:hAnsi="Times New Roman" w:cs="Times New Roman"/>
          <w:sz w:val="24"/>
          <w:szCs w:val="24"/>
          <w:lang w:val="en-ZA"/>
        </w:rPr>
        <w:t xml:space="preserve">. </w:t>
      </w:r>
      <w:r w:rsidR="00412705" w:rsidRPr="008D2FF3">
        <w:rPr>
          <w:rFonts w:ascii="Times New Roman" w:eastAsia="Calibri" w:hAnsi="Times New Roman" w:cs="Times New Roman"/>
          <w:sz w:val="24"/>
          <w:szCs w:val="24"/>
          <w:lang w:val="en-ZA"/>
        </w:rPr>
        <w:t>I therefore, for the sake of completeness propose to deal with this issue.</w:t>
      </w:r>
    </w:p>
    <w:p w:rsidR="00100CF0" w:rsidRPr="008D2FF3" w:rsidRDefault="00100CF0" w:rsidP="00100CF0">
      <w:pPr>
        <w:spacing w:before="240" w:after="0" w:line="240" w:lineRule="auto"/>
        <w:ind w:firstLine="1134"/>
        <w:jc w:val="both"/>
        <w:rPr>
          <w:rFonts w:ascii="Times New Roman" w:eastAsia="Calibri" w:hAnsi="Times New Roman" w:cs="Times New Roman"/>
          <w:sz w:val="24"/>
          <w:szCs w:val="24"/>
          <w:lang w:val="en-ZA"/>
        </w:rPr>
      </w:pPr>
    </w:p>
    <w:p w:rsidR="00F92BB7" w:rsidRPr="008D2FF3" w:rsidRDefault="00216321" w:rsidP="002103FC">
      <w:pPr>
        <w:spacing w:before="240" w:after="0" w:line="480" w:lineRule="auto"/>
        <w:jc w:val="both"/>
        <w:rPr>
          <w:rFonts w:ascii="Times New Roman" w:eastAsia="Calibri" w:hAnsi="Times New Roman" w:cs="Times New Roman"/>
          <w:b/>
          <w:sz w:val="24"/>
          <w:szCs w:val="24"/>
          <w:lang w:val="en-ZA"/>
        </w:rPr>
      </w:pPr>
      <w:r w:rsidRPr="008D2FF3">
        <w:rPr>
          <w:rFonts w:ascii="Times New Roman" w:eastAsia="Calibri" w:hAnsi="Times New Roman" w:cs="Times New Roman"/>
          <w:b/>
          <w:sz w:val="24"/>
          <w:szCs w:val="24"/>
          <w:lang w:val="en-ZA"/>
        </w:rPr>
        <w:t>Whether or not the appellant was liable to pay the respondent on the basis of the Turquand</w:t>
      </w:r>
      <w:r w:rsidR="00830593" w:rsidRPr="008D2FF3">
        <w:rPr>
          <w:rFonts w:ascii="Times New Roman" w:eastAsia="Calibri" w:hAnsi="Times New Roman" w:cs="Times New Roman"/>
          <w:b/>
          <w:sz w:val="24"/>
          <w:szCs w:val="24"/>
          <w:lang w:val="en-ZA"/>
        </w:rPr>
        <w:t xml:space="preserve"> Rule</w:t>
      </w:r>
      <w:r w:rsidRPr="008D2FF3">
        <w:rPr>
          <w:rFonts w:ascii="Times New Roman" w:eastAsia="Calibri" w:hAnsi="Times New Roman" w:cs="Times New Roman"/>
          <w:b/>
          <w:sz w:val="24"/>
          <w:szCs w:val="24"/>
          <w:lang w:val="en-ZA"/>
        </w:rPr>
        <w:t>.</w:t>
      </w:r>
      <w:r w:rsidR="00F92BB7" w:rsidRPr="008D2FF3">
        <w:rPr>
          <w:rFonts w:ascii="Times New Roman" w:eastAsia="Calibri" w:hAnsi="Times New Roman" w:cs="Times New Roman"/>
          <w:b/>
          <w:sz w:val="24"/>
          <w:szCs w:val="24"/>
          <w:lang w:val="en-ZA"/>
        </w:rPr>
        <w:tab/>
        <w:t xml:space="preserve"> </w:t>
      </w:r>
    </w:p>
    <w:p w:rsidR="00216321" w:rsidRPr="008D2FF3" w:rsidRDefault="007157AC" w:rsidP="000D4B6B">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w:t>
      </w:r>
      <w:r w:rsidR="009615DA" w:rsidRPr="008D2FF3">
        <w:rPr>
          <w:rFonts w:ascii="Times New Roman" w:eastAsia="Calibri" w:hAnsi="Times New Roman" w:cs="Times New Roman"/>
          <w:sz w:val="24"/>
          <w:szCs w:val="24"/>
          <w:lang w:val="en-ZA"/>
        </w:rPr>
        <w:t xml:space="preserve">appellant in its closing submissions, sought to plead that the </w:t>
      </w:r>
      <w:r w:rsidR="0021699D" w:rsidRPr="008D2FF3">
        <w:rPr>
          <w:rFonts w:ascii="Times New Roman" w:eastAsia="Calibri" w:hAnsi="Times New Roman" w:cs="Times New Roman"/>
          <w:sz w:val="24"/>
          <w:szCs w:val="24"/>
          <w:lang w:val="en-ZA"/>
        </w:rPr>
        <w:t>T</w:t>
      </w:r>
      <w:r w:rsidR="009615DA" w:rsidRPr="008D2FF3">
        <w:rPr>
          <w:rFonts w:ascii="Times New Roman" w:eastAsia="Calibri" w:hAnsi="Times New Roman" w:cs="Times New Roman"/>
          <w:sz w:val="24"/>
          <w:szCs w:val="24"/>
          <w:lang w:val="en-ZA"/>
        </w:rPr>
        <w:t>u</w:t>
      </w:r>
      <w:r w:rsidRPr="008D2FF3">
        <w:rPr>
          <w:rFonts w:ascii="Times New Roman" w:eastAsia="Calibri" w:hAnsi="Times New Roman" w:cs="Times New Roman"/>
          <w:sz w:val="24"/>
          <w:szCs w:val="24"/>
          <w:lang w:val="en-ZA"/>
        </w:rPr>
        <w:t xml:space="preserve">rquand </w:t>
      </w:r>
      <w:r w:rsidR="0021699D" w:rsidRPr="008D2FF3">
        <w:rPr>
          <w:rFonts w:ascii="Times New Roman" w:eastAsia="Calibri" w:hAnsi="Times New Roman" w:cs="Times New Roman"/>
          <w:sz w:val="24"/>
          <w:szCs w:val="24"/>
          <w:lang w:val="en-ZA"/>
        </w:rPr>
        <w:t>R</w:t>
      </w:r>
      <w:r w:rsidRPr="008D2FF3">
        <w:rPr>
          <w:rFonts w:ascii="Times New Roman" w:eastAsia="Calibri" w:hAnsi="Times New Roman" w:cs="Times New Roman"/>
          <w:sz w:val="24"/>
          <w:szCs w:val="24"/>
          <w:lang w:val="en-ZA"/>
        </w:rPr>
        <w:t>ule</w:t>
      </w:r>
      <w:r w:rsidR="009615DA" w:rsidRPr="008D2FF3">
        <w:rPr>
          <w:rFonts w:ascii="Times New Roman" w:eastAsia="Calibri" w:hAnsi="Times New Roman" w:cs="Times New Roman"/>
          <w:sz w:val="24"/>
          <w:szCs w:val="24"/>
          <w:lang w:val="en-ZA"/>
        </w:rPr>
        <w:t xml:space="preserve"> did not apply as the IDBZ Act specif</w:t>
      </w:r>
      <w:r w:rsidR="007F689B" w:rsidRPr="008D2FF3">
        <w:rPr>
          <w:rFonts w:ascii="Times New Roman" w:eastAsia="Calibri" w:hAnsi="Times New Roman" w:cs="Times New Roman"/>
          <w:sz w:val="24"/>
          <w:szCs w:val="24"/>
          <w:lang w:val="en-ZA"/>
        </w:rPr>
        <w:t xml:space="preserve">ically ousted it </w:t>
      </w:r>
      <w:r w:rsidR="009615DA" w:rsidRPr="008D2FF3">
        <w:rPr>
          <w:rFonts w:ascii="Times New Roman" w:eastAsia="Calibri" w:hAnsi="Times New Roman" w:cs="Times New Roman"/>
          <w:sz w:val="24"/>
          <w:szCs w:val="24"/>
          <w:lang w:val="en-ZA"/>
        </w:rPr>
        <w:t>under s 30</w:t>
      </w:r>
      <w:r w:rsidRPr="008D2FF3">
        <w:rPr>
          <w:rFonts w:ascii="Times New Roman" w:eastAsia="Calibri" w:hAnsi="Times New Roman" w:cs="Times New Roman"/>
          <w:sz w:val="24"/>
          <w:szCs w:val="24"/>
          <w:lang w:val="en-ZA"/>
        </w:rPr>
        <w:t xml:space="preserve">. The court </w:t>
      </w:r>
      <w:r w:rsidRPr="008D2FF3">
        <w:rPr>
          <w:rFonts w:ascii="Times New Roman" w:eastAsia="Calibri" w:hAnsi="Times New Roman" w:cs="Times New Roman"/>
          <w:i/>
          <w:sz w:val="24"/>
          <w:szCs w:val="24"/>
          <w:lang w:val="en-ZA"/>
        </w:rPr>
        <w:t>a quo</w:t>
      </w:r>
      <w:r w:rsidR="009615DA" w:rsidRPr="008D2FF3">
        <w:rPr>
          <w:rFonts w:ascii="Times New Roman" w:eastAsia="Calibri" w:hAnsi="Times New Roman" w:cs="Times New Roman"/>
          <w:i/>
          <w:sz w:val="24"/>
          <w:szCs w:val="24"/>
          <w:lang w:val="en-ZA"/>
        </w:rPr>
        <w:t xml:space="preserve"> </w:t>
      </w:r>
      <w:r w:rsidR="009615DA" w:rsidRPr="008D2FF3">
        <w:rPr>
          <w:rFonts w:ascii="Times New Roman" w:eastAsia="Calibri" w:hAnsi="Times New Roman" w:cs="Times New Roman"/>
          <w:sz w:val="24"/>
          <w:szCs w:val="24"/>
          <w:lang w:val="en-ZA"/>
        </w:rPr>
        <w:t>in dealing with the submission made by counsel</w:t>
      </w:r>
      <w:r w:rsidRPr="008D2FF3">
        <w:rPr>
          <w:rFonts w:ascii="Times New Roman" w:eastAsia="Calibri" w:hAnsi="Times New Roman" w:cs="Times New Roman"/>
          <w:sz w:val="24"/>
          <w:szCs w:val="24"/>
          <w:lang w:val="en-ZA"/>
        </w:rPr>
        <w:t xml:space="preserve"> </w:t>
      </w:r>
      <w:r w:rsidR="009615DA" w:rsidRPr="008D2FF3">
        <w:rPr>
          <w:rFonts w:ascii="Times New Roman" w:eastAsia="Calibri" w:hAnsi="Times New Roman" w:cs="Times New Roman"/>
          <w:sz w:val="24"/>
          <w:szCs w:val="24"/>
          <w:lang w:val="en-ZA"/>
        </w:rPr>
        <w:t>noted t</w:t>
      </w:r>
      <w:r w:rsidRPr="008D2FF3">
        <w:rPr>
          <w:rFonts w:ascii="Times New Roman" w:eastAsia="Calibri" w:hAnsi="Times New Roman" w:cs="Times New Roman"/>
          <w:sz w:val="24"/>
          <w:szCs w:val="24"/>
          <w:lang w:val="en-ZA"/>
        </w:rPr>
        <w:t>he follo</w:t>
      </w:r>
      <w:r w:rsidR="009615DA" w:rsidRPr="008D2FF3">
        <w:rPr>
          <w:rFonts w:ascii="Times New Roman" w:eastAsia="Calibri" w:hAnsi="Times New Roman" w:cs="Times New Roman"/>
          <w:sz w:val="24"/>
          <w:szCs w:val="24"/>
          <w:lang w:val="en-ZA"/>
        </w:rPr>
        <w:t>w</w:t>
      </w:r>
      <w:r w:rsidRPr="008D2FF3">
        <w:rPr>
          <w:rFonts w:ascii="Times New Roman" w:eastAsia="Calibri" w:hAnsi="Times New Roman" w:cs="Times New Roman"/>
          <w:sz w:val="24"/>
          <w:szCs w:val="24"/>
          <w:lang w:val="en-ZA"/>
        </w:rPr>
        <w:t>ing:</w:t>
      </w:r>
    </w:p>
    <w:p w:rsidR="007157AC" w:rsidRPr="008D2FF3" w:rsidRDefault="007157AC" w:rsidP="00412705">
      <w:pPr>
        <w:spacing w:after="0" w:line="240" w:lineRule="auto"/>
        <w:ind w:left="1276"/>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“In his closing submissions Mr </w:t>
      </w:r>
      <w:r w:rsidRPr="008D2FF3">
        <w:rPr>
          <w:rFonts w:ascii="Times New Roman" w:eastAsia="Calibri" w:hAnsi="Times New Roman" w:cs="Times New Roman"/>
          <w:i/>
          <w:sz w:val="24"/>
          <w:szCs w:val="24"/>
          <w:lang w:val="en-ZA"/>
        </w:rPr>
        <w:t>Moyo</w:t>
      </w:r>
      <w:r w:rsidRPr="008D2FF3">
        <w:rPr>
          <w:rFonts w:ascii="Times New Roman" w:eastAsia="Calibri" w:hAnsi="Times New Roman" w:cs="Times New Roman"/>
          <w:sz w:val="24"/>
          <w:szCs w:val="24"/>
          <w:lang w:val="en-ZA"/>
        </w:rPr>
        <w:t xml:space="preserve"> sprang a new </w:t>
      </w:r>
      <w:r w:rsidR="009615DA" w:rsidRPr="008D2FF3">
        <w:rPr>
          <w:rFonts w:ascii="Times New Roman" w:eastAsia="Calibri" w:hAnsi="Times New Roman" w:cs="Times New Roman"/>
          <w:sz w:val="24"/>
          <w:szCs w:val="24"/>
          <w:lang w:val="en-ZA"/>
        </w:rPr>
        <w:t xml:space="preserve">argument. It had not been pleaded. It had never referred to </w:t>
      </w:r>
      <w:r w:rsidR="004E231B">
        <w:rPr>
          <w:rFonts w:ascii="Times New Roman" w:eastAsia="Calibri" w:hAnsi="Times New Roman" w:cs="Times New Roman"/>
          <w:sz w:val="24"/>
          <w:szCs w:val="24"/>
          <w:lang w:val="en-ZA"/>
        </w:rPr>
        <w:t xml:space="preserve">it </w:t>
      </w:r>
      <w:r w:rsidR="009615DA" w:rsidRPr="008D2FF3">
        <w:rPr>
          <w:rFonts w:ascii="Times New Roman" w:eastAsia="Calibri" w:hAnsi="Times New Roman" w:cs="Times New Roman"/>
          <w:sz w:val="24"/>
          <w:szCs w:val="24"/>
          <w:lang w:val="en-ZA"/>
        </w:rPr>
        <w:t xml:space="preserve">before. It was that the Bank was a statutory corporation the powers of which were set out in the enabling Act. In summary, Mr </w:t>
      </w:r>
      <w:r w:rsidR="009615DA" w:rsidRPr="008D2FF3">
        <w:rPr>
          <w:rFonts w:ascii="Times New Roman" w:eastAsia="Calibri" w:hAnsi="Times New Roman" w:cs="Times New Roman"/>
          <w:i/>
          <w:sz w:val="24"/>
          <w:szCs w:val="24"/>
          <w:lang w:val="en-ZA"/>
        </w:rPr>
        <w:t>Moyo’s</w:t>
      </w:r>
      <w:r w:rsidR="009615DA" w:rsidRPr="008D2FF3">
        <w:rPr>
          <w:rFonts w:ascii="Times New Roman" w:eastAsia="Calibri" w:hAnsi="Times New Roman" w:cs="Times New Roman"/>
          <w:sz w:val="24"/>
          <w:szCs w:val="24"/>
          <w:lang w:val="en-ZA"/>
        </w:rPr>
        <w:t xml:space="preserve"> new argument was that anyone could check what the Bank could or could not do… Mugwara’s conduct had been in contravention of the law.”</w:t>
      </w:r>
    </w:p>
    <w:p w:rsidR="009615DA" w:rsidRPr="008D2FF3" w:rsidRDefault="009615DA" w:rsidP="00F87943">
      <w:pPr>
        <w:spacing w:after="0" w:line="480" w:lineRule="auto"/>
        <w:ind w:left="720"/>
        <w:jc w:val="both"/>
        <w:rPr>
          <w:rFonts w:ascii="Times New Roman" w:eastAsia="Calibri" w:hAnsi="Times New Roman" w:cs="Times New Roman"/>
          <w:sz w:val="24"/>
          <w:szCs w:val="24"/>
          <w:lang w:val="en-ZA"/>
        </w:rPr>
      </w:pPr>
    </w:p>
    <w:p w:rsidR="00A679C7" w:rsidRPr="008D2FF3" w:rsidRDefault="009615DA" w:rsidP="004C63F6">
      <w:pPr>
        <w:spacing w:before="240" w:after="0" w:line="48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court </w:t>
      </w:r>
      <w:r w:rsidR="00412705" w:rsidRPr="008D2FF3">
        <w:rPr>
          <w:rFonts w:ascii="Times New Roman" w:eastAsia="Calibri" w:hAnsi="Times New Roman" w:cs="Times New Roman"/>
          <w:i/>
          <w:sz w:val="24"/>
          <w:szCs w:val="24"/>
          <w:lang w:val="en-ZA"/>
        </w:rPr>
        <w:t>a quo</w:t>
      </w:r>
      <w:r w:rsidR="00412705"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 xml:space="preserve">held that </w:t>
      </w:r>
      <w:r w:rsidR="00C5466F" w:rsidRPr="008D2FF3">
        <w:rPr>
          <w:rFonts w:ascii="Times New Roman" w:eastAsia="Calibri" w:hAnsi="Times New Roman" w:cs="Times New Roman"/>
          <w:sz w:val="24"/>
          <w:szCs w:val="24"/>
          <w:lang w:val="en-ZA"/>
        </w:rPr>
        <w:t>regardless</w:t>
      </w:r>
      <w:r w:rsidRPr="008D2FF3">
        <w:rPr>
          <w:rFonts w:ascii="Times New Roman" w:eastAsia="Calibri" w:hAnsi="Times New Roman" w:cs="Times New Roman"/>
          <w:sz w:val="24"/>
          <w:szCs w:val="24"/>
          <w:lang w:val="en-ZA"/>
        </w:rPr>
        <w:t xml:space="preserve"> of the provisions of the IDBZ Act and </w:t>
      </w:r>
      <w:r w:rsidR="00C5466F" w:rsidRPr="008D2FF3">
        <w:rPr>
          <w:rFonts w:ascii="Times New Roman" w:eastAsia="Calibri" w:hAnsi="Times New Roman" w:cs="Times New Roman"/>
          <w:sz w:val="24"/>
          <w:szCs w:val="24"/>
          <w:lang w:val="en-ZA"/>
        </w:rPr>
        <w:t>in spite</w:t>
      </w:r>
      <w:r w:rsidRPr="008D2FF3">
        <w:rPr>
          <w:rFonts w:ascii="Times New Roman" w:eastAsia="Calibri" w:hAnsi="Times New Roman" w:cs="Times New Roman"/>
          <w:sz w:val="24"/>
          <w:szCs w:val="24"/>
          <w:lang w:val="en-ZA"/>
        </w:rPr>
        <w:t xml:space="preserve"> of s 30 of the Act which makes the appellant immune to the provisions of the Companies Act, the actions </w:t>
      </w:r>
      <w:r w:rsidR="007F689B" w:rsidRPr="008D2FF3">
        <w:rPr>
          <w:rFonts w:ascii="Times New Roman" w:eastAsia="Calibri" w:hAnsi="Times New Roman" w:cs="Times New Roman"/>
          <w:sz w:val="24"/>
          <w:szCs w:val="24"/>
          <w:lang w:val="en-ZA"/>
        </w:rPr>
        <w:t>of</w:t>
      </w:r>
      <w:r w:rsidRPr="008D2FF3">
        <w:rPr>
          <w:rFonts w:ascii="Times New Roman" w:eastAsia="Calibri" w:hAnsi="Times New Roman" w:cs="Times New Roman"/>
          <w:sz w:val="24"/>
          <w:szCs w:val="24"/>
          <w:lang w:val="en-ZA"/>
        </w:rPr>
        <w:t xml:space="preserve"> Mugwara fell squarely within the scope of the presumptions of ostensible authority as depicted in s 12 of the Companies Act</w:t>
      </w:r>
      <w:r w:rsidR="00C5466F" w:rsidRPr="008D2FF3">
        <w:rPr>
          <w:rFonts w:ascii="Times New Roman" w:eastAsia="Calibri" w:hAnsi="Times New Roman" w:cs="Times New Roman"/>
          <w:sz w:val="24"/>
          <w:szCs w:val="24"/>
          <w:lang w:val="en-ZA"/>
        </w:rPr>
        <w:t>.</w:t>
      </w:r>
    </w:p>
    <w:p w:rsidR="005E0C5A" w:rsidRPr="008D2FF3" w:rsidRDefault="00805F7F" w:rsidP="00F87943">
      <w:pPr>
        <w:spacing w:after="0" w:line="480" w:lineRule="auto"/>
        <w:ind w:firstLine="1134"/>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 </w:t>
      </w:r>
    </w:p>
    <w:p w:rsidR="00805F7F" w:rsidRPr="008D2FF3" w:rsidRDefault="00805F7F" w:rsidP="0080021C">
      <w:pPr>
        <w:pStyle w:val="ListParagraph"/>
        <w:numPr>
          <w:ilvl w:val="0"/>
          <w:numId w:val="16"/>
        </w:numPr>
        <w:spacing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importance of the </w:t>
      </w:r>
      <w:r w:rsidR="007772CF" w:rsidRPr="008D2FF3">
        <w:rPr>
          <w:rFonts w:ascii="Times New Roman" w:eastAsia="Calibri" w:hAnsi="Times New Roman" w:cs="Times New Roman"/>
          <w:sz w:val="24"/>
          <w:szCs w:val="24"/>
          <w:lang w:val="en-ZA"/>
        </w:rPr>
        <w:t>T</w:t>
      </w:r>
      <w:r w:rsidRPr="008D2FF3">
        <w:rPr>
          <w:rFonts w:ascii="Times New Roman" w:eastAsia="Calibri" w:hAnsi="Times New Roman" w:cs="Times New Roman"/>
          <w:sz w:val="24"/>
          <w:szCs w:val="24"/>
          <w:lang w:val="en-ZA"/>
        </w:rPr>
        <w:t xml:space="preserve">urquand </w:t>
      </w:r>
      <w:r w:rsidR="007772CF" w:rsidRPr="008D2FF3">
        <w:rPr>
          <w:rFonts w:ascii="Times New Roman" w:eastAsia="Calibri" w:hAnsi="Times New Roman" w:cs="Times New Roman"/>
          <w:sz w:val="24"/>
          <w:szCs w:val="24"/>
          <w:lang w:val="en-ZA"/>
        </w:rPr>
        <w:t>R</w:t>
      </w:r>
      <w:r w:rsidRPr="008D2FF3">
        <w:rPr>
          <w:rFonts w:ascii="Times New Roman" w:eastAsia="Calibri" w:hAnsi="Times New Roman" w:cs="Times New Roman"/>
          <w:sz w:val="24"/>
          <w:szCs w:val="24"/>
          <w:lang w:val="en-ZA"/>
        </w:rPr>
        <w:t xml:space="preserve">ule was stated in </w:t>
      </w:r>
      <w:r w:rsidRPr="008D2FF3">
        <w:rPr>
          <w:rFonts w:ascii="Times New Roman" w:eastAsia="Calibri" w:hAnsi="Times New Roman" w:cs="Times New Roman"/>
          <w:i/>
          <w:sz w:val="24"/>
          <w:szCs w:val="24"/>
          <w:lang w:val="en-ZA"/>
        </w:rPr>
        <w:t>Arinaitwe v Africana Clays</w:t>
      </w:r>
      <w:r w:rsidR="005E0C5A" w:rsidRPr="008D2FF3">
        <w:rPr>
          <w:rFonts w:ascii="Times New Roman" w:eastAsia="Calibri" w:hAnsi="Times New Roman" w:cs="Times New Roman"/>
          <w:i/>
          <w:sz w:val="24"/>
          <w:szCs w:val="24"/>
          <w:lang w:val="en-ZA"/>
        </w:rPr>
        <w:t xml:space="preserve"> Ltd</w:t>
      </w:r>
      <w:r w:rsidRPr="008D2FF3">
        <w:rPr>
          <w:rFonts w:ascii="Times New Roman" w:eastAsia="Calibri" w:hAnsi="Times New Roman" w:cs="Times New Roman"/>
          <w:i/>
          <w:sz w:val="24"/>
          <w:szCs w:val="24"/>
          <w:lang w:val="en-ZA"/>
        </w:rPr>
        <w:t xml:space="preserve"> [2017] UGCOMMC</w:t>
      </w:r>
      <w:r w:rsidRPr="008D2FF3">
        <w:rPr>
          <w:rFonts w:ascii="Times New Roman" w:eastAsia="Calibri" w:hAnsi="Times New Roman" w:cs="Times New Roman"/>
          <w:sz w:val="24"/>
          <w:szCs w:val="24"/>
          <w:lang w:val="en-ZA"/>
        </w:rPr>
        <w:t xml:space="preserve"> 93 </w:t>
      </w:r>
      <w:r w:rsidR="007F689B" w:rsidRPr="008D2FF3">
        <w:rPr>
          <w:rFonts w:ascii="Times New Roman" w:eastAsia="Calibri" w:hAnsi="Times New Roman" w:cs="Times New Roman"/>
          <w:sz w:val="24"/>
          <w:szCs w:val="24"/>
          <w:lang w:val="en-ZA"/>
        </w:rPr>
        <w:t xml:space="preserve">wherein </w:t>
      </w:r>
      <w:r w:rsidRPr="008D2FF3">
        <w:rPr>
          <w:rFonts w:ascii="Times New Roman" w:eastAsia="Calibri" w:hAnsi="Times New Roman" w:cs="Times New Roman"/>
          <w:sz w:val="24"/>
          <w:szCs w:val="24"/>
          <w:lang w:val="en-ZA"/>
        </w:rPr>
        <w:t>the court stated th</w:t>
      </w:r>
      <w:r w:rsidR="00AE42EB" w:rsidRPr="008D2FF3">
        <w:rPr>
          <w:rFonts w:ascii="Times New Roman" w:eastAsia="Calibri" w:hAnsi="Times New Roman" w:cs="Times New Roman"/>
          <w:sz w:val="24"/>
          <w:szCs w:val="24"/>
          <w:lang w:val="en-ZA"/>
        </w:rPr>
        <w:t>at</w:t>
      </w:r>
      <w:r w:rsidRPr="008D2FF3">
        <w:rPr>
          <w:rFonts w:ascii="Times New Roman" w:eastAsia="Calibri" w:hAnsi="Times New Roman" w:cs="Times New Roman"/>
          <w:sz w:val="24"/>
          <w:szCs w:val="24"/>
          <w:lang w:val="en-ZA"/>
        </w:rPr>
        <w:t>:</w:t>
      </w:r>
    </w:p>
    <w:p w:rsidR="00805F7F" w:rsidRPr="008D2FF3" w:rsidRDefault="00805F7F" w:rsidP="00F36116">
      <w:pPr>
        <w:spacing w:after="0" w:line="240" w:lineRule="auto"/>
        <w:ind w:left="720"/>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rPr>
        <w:lastRenderedPageBreak/>
        <w:t>The rule in </w:t>
      </w:r>
      <w:r w:rsidRPr="008D2FF3">
        <w:rPr>
          <w:rFonts w:ascii="Times New Roman" w:eastAsia="Calibri" w:hAnsi="Times New Roman" w:cs="Times New Roman"/>
          <w:b/>
          <w:bCs/>
          <w:sz w:val="24"/>
          <w:szCs w:val="24"/>
        </w:rPr>
        <w:t>Turquand’s case</w:t>
      </w:r>
      <w:r w:rsidRPr="008D2FF3">
        <w:rPr>
          <w:rFonts w:ascii="Times New Roman" w:eastAsia="Calibri" w:hAnsi="Times New Roman" w:cs="Times New Roman"/>
          <w:sz w:val="24"/>
          <w:szCs w:val="24"/>
        </w:rPr>
        <w:t xml:space="preserve"> also known as the indoor management rule is premised not on logic but </w:t>
      </w:r>
      <w:r w:rsidR="00F36116" w:rsidRPr="008D2FF3">
        <w:rPr>
          <w:rFonts w:ascii="Times New Roman" w:eastAsia="Calibri" w:hAnsi="Times New Roman" w:cs="Times New Roman"/>
          <w:sz w:val="24"/>
          <w:szCs w:val="24"/>
        </w:rPr>
        <w:t>on business convenience because a</w:t>
      </w:r>
      <w:r w:rsidRPr="008D2FF3">
        <w:rPr>
          <w:rFonts w:ascii="Times New Roman" w:eastAsia="Calibri" w:hAnsi="Times New Roman" w:cs="Times New Roman"/>
          <w:sz w:val="24"/>
          <w:szCs w:val="24"/>
        </w:rPr>
        <w:t xml:space="preserve"> 3</w:t>
      </w:r>
      <w:r w:rsidRPr="008D2FF3">
        <w:rPr>
          <w:rFonts w:ascii="Times New Roman" w:eastAsia="Calibri" w:hAnsi="Times New Roman" w:cs="Times New Roman"/>
          <w:sz w:val="24"/>
          <w:szCs w:val="24"/>
          <w:vertAlign w:val="superscript"/>
        </w:rPr>
        <w:t>rd</w:t>
      </w:r>
      <w:r w:rsidRPr="008D2FF3">
        <w:rPr>
          <w:rFonts w:ascii="Times New Roman" w:eastAsia="Calibri" w:hAnsi="Times New Roman" w:cs="Times New Roman"/>
          <w:sz w:val="24"/>
          <w:szCs w:val="24"/>
        </w:rPr>
        <w:t> party dealing with a company has no access to the company’s indoor activities.</w:t>
      </w:r>
    </w:p>
    <w:p w:rsidR="00805F7F" w:rsidRPr="008D2FF3" w:rsidRDefault="00805F7F" w:rsidP="00F36116">
      <w:pPr>
        <w:spacing w:before="240" w:after="0" w:line="240" w:lineRule="auto"/>
        <w:ind w:left="720"/>
        <w:jc w:val="both"/>
        <w:rPr>
          <w:rFonts w:ascii="Times New Roman" w:eastAsia="Calibri" w:hAnsi="Times New Roman" w:cs="Times New Roman"/>
          <w:sz w:val="24"/>
          <w:szCs w:val="24"/>
        </w:rPr>
      </w:pPr>
      <w:r w:rsidRPr="008D2FF3">
        <w:rPr>
          <w:rFonts w:ascii="Times New Roman" w:eastAsia="Calibri" w:hAnsi="Times New Roman" w:cs="Times New Roman"/>
          <w:sz w:val="24"/>
          <w:szCs w:val="24"/>
        </w:rPr>
        <w:t>It would be very unfair to the company’s creditors if their company could escape liability on the ground that i</w:t>
      </w:r>
      <w:r w:rsidR="00F36116" w:rsidRPr="008D2FF3">
        <w:rPr>
          <w:rFonts w:ascii="Times New Roman" w:eastAsia="Calibri" w:hAnsi="Times New Roman" w:cs="Times New Roman"/>
          <w:sz w:val="24"/>
          <w:szCs w:val="24"/>
        </w:rPr>
        <w:t>ts officials acted irregularly when it was unaware of the internal proceedures.</w:t>
      </w:r>
    </w:p>
    <w:p w:rsidR="00805F7F" w:rsidRPr="008D2FF3" w:rsidRDefault="00805F7F" w:rsidP="00F87943">
      <w:pPr>
        <w:spacing w:after="0" w:line="480" w:lineRule="auto"/>
        <w:jc w:val="both"/>
        <w:rPr>
          <w:rFonts w:ascii="Times New Roman" w:eastAsia="Calibri" w:hAnsi="Times New Roman" w:cs="Times New Roman"/>
          <w:sz w:val="24"/>
          <w:szCs w:val="24"/>
        </w:rPr>
      </w:pPr>
    </w:p>
    <w:p w:rsidR="00C5466F" w:rsidRPr="008D2FF3" w:rsidRDefault="00C5466F" w:rsidP="0080021C">
      <w:pPr>
        <w:spacing w:before="240" w:after="0" w:line="48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w:t>
      </w:r>
      <w:r w:rsidR="004D6FF6" w:rsidRPr="008D2FF3">
        <w:rPr>
          <w:rFonts w:ascii="Times New Roman" w:eastAsia="Calibri" w:hAnsi="Times New Roman" w:cs="Times New Roman"/>
          <w:sz w:val="24"/>
          <w:szCs w:val="24"/>
          <w:lang w:val="en-ZA"/>
        </w:rPr>
        <w:t xml:space="preserve">Turquand Rule </w:t>
      </w:r>
      <w:r w:rsidRPr="008D2FF3">
        <w:rPr>
          <w:rFonts w:ascii="Times New Roman" w:eastAsia="Calibri" w:hAnsi="Times New Roman" w:cs="Times New Roman"/>
          <w:sz w:val="24"/>
          <w:szCs w:val="24"/>
          <w:lang w:val="en-ZA"/>
        </w:rPr>
        <w:t xml:space="preserve">flows from the celebrated case of </w:t>
      </w:r>
      <w:r w:rsidRPr="008D2FF3">
        <w:rPr>
          <w:rFonts w:ascii="Times New Roman" w:eastAsia="Calibri" w:hAnsi="Times New Roman" w:cs="Times New Roman"/>
          <w:i/>
          <w:sz w:val="24"/>
          <w:szCs w:val="24"/>
          <w:lang w:val="en-ZA"/>
        </w:rPr>
        <w:t>Royal British Bank v Turquand</w:t>
      </w:r>
      <w:r w:rsidRPr="008D2FF3">
        <w:rPr>
          <w:rFonts w:ascii="Times New Roman" w:eastAsia="Calibri" w:hAnsi="Times New Roman" w:cs="Times New Roman"/>
          <w:sz w:val="24"/>
          <w:szCs w:val="24"/>
          <w:lang w:val="en-ZA"/>
        </w:rPr>
        <w:t xml:space="preserve"> [1943-60] ALL ER Rep. 435 at page 437</w:t>
      </w:r>
      <w:r w:rsidR="00576CC0" w:rsidRPr="008D2FF3">
        <w:rPr>
          <w:rFonts w:ascii="Times New Roman" w:eastAsia="Calibri" w:hAnsi="Times New Roman" w:cs="Times New Roman"/>
          <w:sz w:val="24"/>
          <w:szCs w:val="24"/>
          <w:lang w:val="en-ZA"/>
        </w:rPr>
        <w:t xml:space="preserve"> H</w:t>
      </w:r>
      <w:r w:rsidRPr="008D2FF3">
        <w:rPr>
          <w:rFonts w:ascii="Times New Roman" w:eastAsia="Calibri" w:hAnsi="Times New Roman" w:cs="Times New Roman"/>
          <w:sz w:val="24"/>
          <w:szCs w:val="24"/>
          <w:lang w:val="en-ZA"/>
        </w:rPr>
        <w:t>-</w:t>
      </w:r>
      <w:r w:rsidR="00576CC0"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438</w:t>
      </w:r>
      <w:r w:rsidR="007F689B" w:rsidRPr="008D2FF3">
        <w:rPr>
          <w:rFonts w:ascii="Times New Roman" w:eastAsia="Calibri" w:hAnsi="Times New Roman" w:cs="Times New Roman"/>
          <w:sz w:val="24"/>
          <w:szCs w:val="24"/>
          <w:lang w:val="en-ZA"/>
        </w:rPr>
        <w:t xml:space="preserve"> A where the court held</w:t>
      </w:r>
      <w:r w:rsidR="00576CC0" w:rsidRPr="008D2FF3">
        <w:rPr>
          <w:rFonts w:ascii="Times New Roman" w:eastAsia="Calibri" w:hAnsi="Times New Roman" w:cs="Times New Roman"/>
          <w:sz w:val="24"/>
          <w:szCs w:val="24"/>
          <w:lang w:val="en-ZA"/>
        </w:rPr>
        <w:t xml:space="preserve"> the following:</w:t>
      </w:r>
    </w:p>
    <w:p w:rsidR="00576CC0" w:rsidRPr="008D2FF3" w:rsidRDefault="00576CC0" w:rsidP="00DC3790">
      <w:pPr>
        <w:spacing w:after="0" w:line="240" w:lineRule="auto"/>
        <w:ind w:left="1276"/>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“We may now take for granted that the dealings with these companies are not like dealings with other partnerships, and that the parties dealing with them are bound to read the statute and the deed of settlement. But they are not bound to do more. And the party here, on reading the deed of settlement, would find, not a prohibition from borrowing, but a permission to do so on certain conditions. Finding that the authority might be made complete by a resolution, he would have a right to infer the fact of a resolution authorizing that which on the face of the document appeared to be legitimately done.”</w:t>
      </w:r>
    </w:p>
    <w:p w:rsidR="009801DE" w:rsidRPr="008D2FF3" w:rsidRDefault="009801DE" w:rsidP="00F87943">
      <w:pPr>
        <w:spacing w:after="0" w:line="480" w:lineRule="auto"/>
        <w:ind w:left="851"/>
        <w:jc w:val="both"/>
        <w:rPr>
          <w:rFonts w:ascii="Times New Roman" w:eastAsia="Calibri" w:hAnsi="Times New Roman" w:cs="Times New Roman"/>
          <w:sz w:val="24"/>
          <w:szCs w:val="24"/>
          <w:lang w:val="en-ZA"/>
        </w:rPr>
      </w:pPr>
    </w:p>
    <w:p w:rsidR="00576CC0" w:rsidRPr="008D2FF3" w:rsidRDefault="00576CC0" w:rsidP="0080021C">
      <w:pPr>
        <w:spacing w:before="240" w:after="0" w:line="480" w:lineRule="auto"/>
        <w:ind w:left="851"/>
        <w:jc w:val="both"/>
        <w:rPr>
          <w:rFonts w:ascii="Times New Roman" w:eastAsia="Calibri" w:hAnsi="Times New Roman" w:cs="Times New Roman"/>
          <w:sz w:val="24"/>
          <w:szCs w:val="24"/>
        </w:rPr>
      </w:pPr>
      <w:r w:rsidRPr="008D2FF3">
        <w:rPr>
          <w:rFonts w:ascii="Times New Roman" w:eastAsia="Calibri" w:hAnsi="Times New Roman" w:cs="Times New Roman"/>
          <w:sz w:val="24"/>
          <w:szCs w:val="24"/>
          <w:lang w:val="en-ZA"/>
        </w:rPr>
        <w:t xml:space="preserve">The </w:t>
      </w:r>
      <w:r w:rsidR="009801DE" w:rsidRPr="008D2FF3">
        <w:rPr>
          <w:rFonts w:ascii="Times New Roman" w:eastAsia="Calibri" w:hAnsi="Times New Roman" w:cs="Times New Roman"/>
          <w:sz w:val="24"/>
          <w:szCs w:val="24"/>
          <w:lang w:val="en-ZA"/>
        </w:rPr>
        <w:t xml:space="preserve">Turquand Rule </w:t>
      </w:r>
      <w:r w:rsidRPr="008D2FF3">
        <w:rPr>
          <w:rFonts w:ascii="Times New Roman" w:eastAsia="Calibri" w:hAnsi="Times New Roman" w:cs="Times New Roman"/>
          <w:sz w:val="24"/>
          <w:szCs w:val="24"/>
          <w:lang w:val="en-ZA"/>
        </w:rPr>
        <w:t xml:space="preserve">thus provides that when there are persons conducting the affairs of a company in a manner which appears to be perfectly consonant with the articles of association, those so dealing with them externally are not to be affected by irregularities which may take place in the internal management of the company. See </w:t>
      </w:r>
      <w:r w:rsidRPr="008D2FF3">
        <w:rPr>
          <w:rFonts w:ascii="Times New Roman" w:eastAsia="Calibri" w:hAnsi="Times New Roman" w:cs="Times New Roman"/>
          <w:i/>
          <w:sz w:val="24"/>
          <w:szCs w:val="24"/>
          <w:lang w:val="en-ZA"/>
        </w:rPr>
        <w:t>Mahony v East Holyford Mining Co.</w:t>
      </w:r>
      <w:r w:rsidRPr="008D2FF3">
        <w:rPr>
          <w:rFonts w:ascii="Times New Roman" w:eastAsia="Calibri" w:hAnsi="Times New Roman" w:cs="Times New Roman"/>
          <w:sz w:val="24"/>
          <w:szCs w:val="24"/>
          <w:lang w:val="en-ZA"/>
        </w:rPr>
        <w:t xml:space="preserve"> (1874- 75 LR 7 HL 869</w:t>
      </w:r>
      <w:r w:rsidR="0042143D" w:rsidRPr="008D2FF3">
        <w:rPr>
          <w:rFonts w:ascii="Times New Roman" w:eastAsia="Calibri" w:hAnsi="Times New Roman" w:cs="Times New Roman"/>
          <w:sz w:val="24"/>
          <w:szCs w:val="24"/>
          <w:lang w:val="en-ZA"/>
        </w:rPr>
        <w:t xml:space="preserve">. </w:t>
      </w:r>
      <w:r w:rsidR="0042143D" w:rsidRPr="008D2FF3">
        <w:rPr>
          <w:rFonts w:ascii="Times New Roman" w:eastAsia="Calibri" w:hAnsi="Times New Roman" w:cs="Times New Roman"/>
          <w:sz w:val="24"/>
          <w:szCs w:val="24"/>
        </w:rPr>
        <w:t>The exceptions to this rule are, firstly, if the outsider was aware of the fact that the internal requirements and procedures have not been complied with</w:t>
      </w:r>
      <w:r w:rsidR="00321B74">
        <w:rPr>
          <w:rFonts w:ascii="Times New Roman" w:eastAsia="Calibri" w:hAnsi="Times New Roman" w:cs="Times New Roman"/>
          <w:sz w:val="24"/>
          <w:szCs w:val="24"/>
        </w:rPr>
        <w:t>,</w:t>
      </w:r>
      <w:r w:rsidR="0042143D" w:rsidRPr="008D2FF3">
        <w:rPr>
          <w:rFonts w:ascii="Times New Roman" w:eastAsia="Calibri" w:hAnsi="Times New Roman" w:cs="Times New Roman"/>
          <w:sz w:val="24"/>
          <w:szCs w:val="24"/>
        </w:rPr>
        <w:t xml:space="preserve"> (</w:t>
      </w:r>
      <w:r w:rsidR="00321B74">
        <w:rPr>
          <w:rFonts w:ascii="Times New Roman" w:eastAsia="Calibri" w:hAnsi="Times New Roman" w:cs="Times New Roman"/>
          <w:sz w:val="24"/>
          <w:szCs w:val="24"/>
        </w:rPr>
        <w:t>i</w:t>
      </w:r>
      <w:r w:rsidR="0042143D" w:rsidRPr="008D2FF3">
        <w:rPr>
          <w:rFonts w:ascii="Times New Roman" w:eastAsia="Calibri" w:hAnsi="Times New Roman" w:cs="Times New Roman"/>
          <w:sz w:val="24"/>
          <w:szCs w:val="24"/>
        </w:rPr>
        <w:t xml:space="preserve">n other </w:t>
      </w:r>
      <w:r w:rsidR="002374D7" w:rsidRPr="008D2FF3">
        <w:rPr>
          <w:rFonts w:ascii="Times New Roman" w:eastAsia="Calibri" w:hAnsi="Times New Roman" w:cs="Times New Roman"/>
          <w:sz w:val="24"/>
          <w:szCs w:val="24"/>
        </w:rPr>
        <w:t xml:space="preserve">words, he acted in bad faith) and </w:t>
      </w:r>
      <w:r w:rsidR="00321B74">
        <w:rPr>
          <w:rFonts w:ascii="Times New Roman" w:eastAsia="Calibri" w:hAnsi="Times New Roman" w:cs="Times New Roman"/>
          <w:sz w:val="24"/>
          <w:szCs w:val="24"/>
        </w:rPr>
        <w:t>s</w:t>
      </w:r>
      <w:r w:rsidR="0042143D" w:rsidRPr="008D2FF3">
        <w:rPr>
          <w:rFonts w:ascii="Times New Roman" w:eastAsia="Calibri" w:hAnsi="Times New Roman" w:cs="Times New Roman"/>
          <w:sz w:val="24"/>
          <w:szCs w:val="24"/>
        </w:rPr>
        <w:t>econdly, if the circumstances under which the contract was concluded on behalf</w:t>
      </w:r>
      <w:r w:rsidR="005E0C5A" w:rsidRPr="008D2FF3">
        <w:rPr>
          <w:rFonts w:ascii="Times New Roman" w:eastAsia="Calibri" w:hAnsi="Times New Roman" w:cs="Times New Roman"/>
          <w:sz w:val="24"/>
          <w:szCs w:val="24"/>
        </w:rPr>
        <w:t xml:space="preserve"> of the company were suspicious, then the </w:t>
      </w:r>
      <w:r w:rsidR="009801DE" w:rsidRPr="008D2FF3">
        <w:rPr>
          <w:rFonts w:ascii="Times New Roman" w:eastAsia="Calibri" w:hAnsi="Times New Roman" w:cs="Times New Roman"/>
          <w:sz w:val="24"/>
          <w:szCs w:val="24"/>
        </w:rPr>
        <w:t xml:space="preserve">Turquand Rule </w:t>
      </w:r>
      <w:r w:rsidR="005E0C5A" w:rsidRPr="008D2FF3">
        <w:rPr>
          <w:rFonts w:ascii="Times New Roman" w:eastAsia="Calibri" w:hAnsi="Times New Roman" w:cs="Times New Roman"/>
          <w:sz w:val="24"/>
          <w:szCs w:val="24"/>
        </w:rPr>
        <w:t>cannot be raised as a defence</w:t>
      </w:r>
      <w:r w:rsidR="002374D7" w:rsidRPr="008D2FF3">
        <w:rPr>
          <w:rFonts w:ascii="Times New Roman" w:eastAsia="Calibri" w:hAnsi="Times New Roman" w:cs="Times New Roman"/>
          <w:sz w:val="24"/>
          <w:szCs w:val="24"/>
        </w:rPr>
        <w:t>.</w:t>
      </w:r>
    </w:p>
    <w:p w:rsidR="009801DE" w:rsidRPr="008D2FF3" w:rsidRDefault="009801DE" w:rsidP="00100CF0">
      <w:pPr>
        <w:spacing w:after="0" w:line="240" w:lineRule="auto"/>
        <w:ind w:firstLine="1134"/>
        <w:jc w:val="both"/>
        <w:rPr>
          <w:rFonts w:ascii="Times New Roman" w:eastAsia="Calibri" w:hAnsi="Times New Roman" w:cs="Times New Roman"/>
          <w:sz w:val="24"/>
          <w:szCs w:val="24"/>
          <w:lang w:val="en-ZA"/>
        </w:rPr>
      </w:pPr>
    </w:p>
    <w:p w:rsidR="005E0C5A" w:rsidRPr="008D2FF3" w:rsidRDefault="00576CC0" w:rsidP="0080021C">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w:t>
      </w:r>
      <w:r w:rsidR="009801DE" w:rsidRPr="008D2FF3">
        <w:rPr>
          <w:rFonts w:ascii="Times New Roman" w:eastAsia="Calibri" w:hAnsi="Times New Roman" w:cs="Times New Roman"/>
          <w:sz w:val="24"/>
          <w:szCs w:val="24"/>
          <w:lang w:val="en-ZA"/>
        </w:rPr>
        <w:t xml:space="preserve">Turquand Rule </w:t>
      </w:r>
      <w:r w:rsidRPr="008D2FF3">
        <w:rPr>
          <w:rFonts w:ascii="Times New Roman" w:eastAsia="Calibri" w:hAnsi="Times New Roman" w:cs="Times New Roman"/>
          <w:sz w:val="24"/>
          <w:szCs w:val="24"/>
          <w:lang w:val="en-ZA"/>
        </w:rPr>
        <w:t>is similar to the principle of ostensible a</w:t>
      </w:r>
      <w:r w:rsidR="00775055" w:rsidRPr="008D2FF3">
        <w:rPr>
          <w:rFonts w:ascii="Times New Roman" w:eastAsia="Calibri" w:hAnsi="Times New Roman" w:cs="Times New Roman"/>
          <w:sz w:val="24"/>
          <w:szCs w:val="24"/>
          <w:lang w:val="en-ZA"/>
        </w:rPr>
        <w:t xml:space="preserve">uthority in that both </w:t>
      </w:r>
      <w:r w:rsidR="005E0C5A" w:rsidRPr="008D2FF3">
        <w:rPr>
          <w:rFonts w:ascii="Times New Roman" w:eastAsia="Calibri" w:hAnsi="Times New Roman" w:cs="Times New Roman"/>
          <w:sz w:val="24"/>
          <w:szCs w:val="24"/>
          <w:lang w:val="en-ZA"/>
        </w:rPr>
        <w:t xml:space="preserve">tenets </w:t>
      </w:r>
      <w:r w:rsidRPr="008D2FF3">
        <w:rPr>
          <w:rFonts w:ascii="Times New Roman" w:eastAsia="Calibri" w:hAnsi="Times New Roman" w:cs="Times New Roman"/>
          <w:sz w:val="24"/>
          <w:szCs w:val="24"/>
          <w:lang w:val="en-ZA"/>
        </w:rPr>
        <w:t>se</w:t>
      </w:r>
      <w:r w:rsidR="000B63EE" w:rsidRPr="008D2FF3">
        <w:rPr>
          <w:rFonts w:ascii="Times New Roman" w:eastAsia="Calibri" w:hAnsi="Times New Roman" w:cs="Times New Roman"/>
          <w:sz w:val="24"/>
          <w:szCs w:val="24"/>
          <w:lang w:val="en-ZA"/>
        </w:rPr>
        <w:t>ek to protect a third party</w:t>
      </w:r>
      <w:r w:rsidRPr="008D2FF3">
        <w:rPr>
          <w:rFonts w:ascii="Times New Roman" w:eastAsia="Calibri" w:hAnsi="Times New Roman" w:cs="Times New Roman"/>
          <w:sz w:val="24"/>
          <w:szCs w:val="24"/>
          <w:lang w:val="en-ZA"/>
        </w:rPr>
        <w:t xml:space="preserve"> a</w:t>
      </w:r>
      <w:r w:rsidR="00407510" w:rsidRPr="008D2FF3">
        <w:rPr>
          <w:rFonts w:ascii="Times New Roman" w:eastAsia="Calibri" w:hAnsi="Times New Roman" w:cs="Times New Roman"/>
          <w:sz w:val="24"/>
          <w:szCs w:val="24"/>
          <w:lang w:val="en-ZA"/>
        </w:rPr>
        <w:t>gainst a</w:t>
      </w:r>
      <w:r w:rsidRPr="008D2FF3">
        <w:rPr>
          <w:rFonts w:ascii="Times New Roman" w:eastAsia="Calibri" w:hAnsi="Times New Roman" w:cs="Times New Roman"/>
          <w:sz w:val="24"/>
          <w:szCs w:val="24"/>
          <w:lang w:val="en-ZA"/>
        </w:rPr>
        <w:t xml:space="preserve"> principal or company which refutes actions done by </w:t>
      </w:r>
      <w:r w:rsidR="000B63EE" w:rsidRPr="008D2FF3">
        <w:rPr>
          <w:rFonts w:ascii="Times New Roman" w:eastAsia="Calibri" w:hAnsi="Times New Roman" w:cs="Times New Roman"/>
          <w:sz w:val="24"/>
          <w:szCs w:val="24"/>
          <w:lang w:val="en-ZA"/>
        </w:rPr>
        <w:t xml:space="preserve">agents or representatives without express authority. </w:t>
      </w:r>
      <w:r w:rsidR="00775055" w:rsidRPr="008D2FF3">
        <w:rPr>
          <w:rFonts w:ascii="Times New Roman" w:eastAsia="Calibri" w:hAnsi="Times New Roman" w:cs="Times New Roman"/>
          <w:sz w:val="24"/>
          <w:szCs w:val="24"/>
          <w:lang w:val="en-ZA"/>
        </w:rPr>
        <w:t xml:space="preserve">A </w:t>
      </w:r>
      <w:r w:rsidR="007F689B" w:rsidRPr="008D2FF3">
        <w:rPr>
          <w:rFonts w:ascii="Times New Roman" w:eastAsia="Calibri" w:hAnsi="Times New Roman" w:cs="Times New Roman"/>
          <w:sz w:val="24"/>
          <w:szCs w:val="24"/>
          <w:lang w:val="en-ZA"/>
        </w:rPr>
        <w:t xml:space="preserve">difference between the </w:t>
      </w:r>
      <w:r w:rsidR="000B63EE" w:rsidRPr="008D2FF3">
        <w:rPr>
          <w:rFonts w:ascii="Times New Roman" w:eastAsia="Calibri" w:hAnsi="Times New Roman" w:cs="Times New Roman"/>
          <w:sz w:val="24"/>
          <w:szCs w:val="24"/>
          <w:lang w:val="en-ZA"/>
        </w:rPr>
        <w:t xml:space="preserve">two </w:t>
      </w:r>
      <w:r w:rsidR="000B63EE" w:rsidRPr="008D2FF3">
        <w:rPr>
          <w:rFonts w:ascii="Times New Roman" w:eastAsia="Calibri" w:hAnsi="Times New Roman" w:cs="Times New Roman"/>
          <w:sz w:val="24"/>
          <w:szCs w:val="24"/>
          <w:lang w:val="en-ZA"/>
        </w:rPr>
        <w:lastRenderedPageBreak/>
        <w:t>appears to be based on the point that the</w:t>
      </w:r>
      <w:r w:rsidR="0042143D" w:rsidRPr="008D2FF3">
        <w:rPr>
          <w:rFonts w:ascii="Times New Roman" w:eastAsia="Calibri" w:hAnsi="Times New Roman" w:cs="Times New Roman"/>
          <w:sz w:val="24"/>
          <w:szCs w:val="24"/>
          <w:lang w:val="en-ZA"/>
        </w:rPr>
        <w:t xml:space="preserve"> </w:t>
      </w:r>
      <w:r w:rsidR="00255CE3" w:rsidRPr="008D2FF3">
        <w:rPr>
          <w:rFonts w:ascii="Times New Roman" w:eastAsia="Calibri" w:hAnsi="Times New Roman" w:cs="Times New Roman"/>
          <w:sz w:val="24"/>
          <w:szCs w:val="24"/>
          <w:lang w:val="en-ZA"/>
        </w:rPr>
        <w:t xml:space="preserve">Turquand Rule </w:t>
      </w:r>
      <w:r w:rsidR="0042143D" w:rsidRPr="008D2FF3">
        <w:rPr>
          <w:rFonts w:ascii="Times New Roman" w:eastAsia="Calibri" w:hAnsi="Times New Roman" w:cs="Times New Roman"/>
          <w:sz w:val="24"/>
          <w:szCs w:val="24"/>
          <w:lang w:val="en-ZA"/>
        </w:rPr>
        <w:t>functions as a de</w:t>
      </w:r>
      <w:r w:rsidR="000B63EE" w:rsidRPr="008D2FF3">
        <w:rPr>
          <w:rFonts w:ascii="Times New Roman" w:eastAsia="Calibri" w:hAnsi="Times New Roman" w:cs="Times New Roman"/>
          <w:sz w:val="24"/>
          <w:szCs w:val="24"/>
          <w:lang w:val="en-ZA"/>
        </w:rPr>
        <w:t xml:space="preserve">fence for the principal. Where the principal </w:t>
      </w:r>
      <w:r w:rsidR="0042143D" w:rsidRPr="008D2FF3">
        <w:rPr>
          <w:rFonts w:ascii="Times New Roman" w:eastAsia="Calibri" w:hAnsi="Times New Roman" w:cs="Times New Roman"/>
          <w:sz w:val="24"/>
          <w:szCs w:val="24"/>
          <w:lang w:val="en-ZA"/>
        </w:rPr>
        <w:t>argue</w:t>
      </w:r>
      <w:r w:rsidR="00775055" w:rsidRPr="008D2FF3">
        <w:rPr>
          <w:rFonts w:ascii="Times New Roman" w:eastAsia="Calibri" w:hAnsi="Times New Roman" w:cs="Times New Roman"/>
          <w:sz w:val="24"/>
          <w:szCs w:val="24"/>
          <w:lang w:val="en-ZA"/>
        </w:rPr>
        <w:t>s</w:t>
      </w:r>
      <w:r w:rsidR="000B63EE" w:rsidRPr="008D2FF3">
        <w:rPr>
          <w:rFonts w:ascii="Times New Roman" w:eastAsia="Calibri" w:hAnsi="Times New Roman" w:cs="Times New Roman"/>
          <w:sz w:val="24"/>
          <w:szCs w:val="24"/>
          <w:lang w:val="en-ZA"/>
        </w:rPr>
        <w:t xml:space="preserve"> that the </w:t>
      </w:r>
      <w:r w:rsidR="0042143D" w:rsidRPr="008D2FF3">
        <w:rPr>
          <w:rFonts w:ascii="Times New Roman" w:eastAsia="Calibri" w:hAnsi="Times New Roman" w:cs="Times New Roman"/>
          <w:sz w:val="24"/>
          <w:szCs w:val="24"/>
          <w:lang w:val="en-ZA"/>
        </w:rPr>
        <w:t xml:space="preserve">third party </w:t>
      </w:r>
      <w:r w:rsidR="00132262" w:rsidRPr="008D2FF3">
        <w:rPr>
          <w:rFonts w:ascii="Times New Roman" w:eastAsia="Calibri" w:hAnsi="Times New Roman" w:cs="Times New Roman"/>
          <w:sz w:val="24"/>
          <w:szCs w:val="24"/>
          <w:lang w:val="en-ZA"/>
        </w:rPr>
        <w:t>was</w:t>
      </w:r>
      <w:r w:rsidR="000B63EE" w:rsidRPr="008D2FF3">
        <w:rPr>
          <w:rFonts w:ascii="Times New Roman" w:eastAsia="Calibri" w:hAnsi="Times New Roman" w:cs="Times New Roman"/>
          <w:sz w:val="24"/>
          <w:szCs w:val="24"/>
          <w:lang w:val="en-ZA"/>
        </w:rPr>
        <w:t xml:space="preserve"> aware</w:t>
      </w:r>
      <w:r w:rsidR="0042143D" w:rsidRPr="008D2FF3">
        <w:rPr>
          <w:rFonts w:ascii="Times New Roman" w:eastAsia="Calibri" w:hAnsi="Times New Roman" w:cs="Times New Roman"/>
          <w:sz w:val="24"/>
          <w:szCs w:val="24"/>
          <w:lang w:val="en-ZA"/>
        </w:rPr>
        <w:t xml:space="preserve"> </w:t>
      </w:r>
      <w:r w:rsidR="000B63EE" w:rsidRPr="008D2FF3">
        <w:rPr>
          <w:rFonts w:ascii="Times New Roman" w:eastAsia="Calibri" w:hAnsi="Times New Roman" w:cs="Times New Roman"/>
          <w:sz w:val="24"/>
          <w:szCs w:val="24"/>
        </w:rPr>
        <w:t>that internal procedures were not</w:t>
      </w:r>
      <w:r w:rsidR="0042143D" w:rsidRPr="008D2FF3">
        <w:rPr>
          <w:rFonts w:ascii="Times New Roman" w:eastAsia="Calibri" w:hAnsi="Times New Roman" w:cs="Times New Roman"/>
          <w:sz w:val="24"/>
          <w:szCs w:val="24"/>
        </w:rPr>
        <w:t xml:space="preserve"> followed</w:t>
      </w:r>
      <w:r w:rsidR="000B63EE" w:rsidRPr="008D2FF3">
        <w:rPr>
          <w:rFonts w:ascii="Times New Roman" w:eastAsia="Calibri" w:hAnsi="Times New Roman" w:cs="Times New Roman"/>
          <w:sz w:val="24"/>
          <w:szCs w:val="24"/>
        </w:rPr>
        <w:t xml:space="preserve"> by the agent</w:t>
      </w:r>
      <w:r w:rsidR="0042143D" w:rsidRPr="008D2FF3">
        <w:rPr>
          <w:rFonts w:ascii="Times New Roman" w:eastAsia="Calibri" w:hAnsi="Times New Roman" w:cs="Times New Roman"/>
          <w:sz w:val="24"/>
          <w:szCs w:val="24"/>
        </w:rPr>
        <w:t xml:space="preserve"> and that the contract was concluded on behalf of the company under </w:t>
      </w:r>
      <w:r w:rsidR="000B63EE" w:rsidRPr="008D2FF3">
        <w:rPr>
          <w:rFonts w:ascii="Times New Roman" w:eastAsia="Calibri" w:hAnsi="Times New Roman" w:cs="Times New Roman"/>
          <w:sz w:val="24"/>
          <w:szCs w:val="24"/>
        </w:rPr>
        <w:t>suspicious means,</w:t>
      </w:r>
      <w:r w:rsidR="0042143D" w:rsidRPr="008D2FF3">
        <w:rPr>
          <w:rFonts w:ascii="Times New Roman" w:eastAsia="Calibri" w:hAnsi="Times New Roman" w:cs="Times New Roman"/>
          <w:sz w:val="24"/>
          <w:szCs w:val="24"/>
        </w:rPr>
        <w:t xml:space="preserve"> such third party cannot be heard to claim that the principal is liable for</w:t>
      </w:r>
      <w:r w:rsidR="000B63EE" w:rsidRPr="008D2FF3">
        <w:rPr>
          <w:rFonts w:ascii="Times New Roman" w:eastAsia="Calibri" w:hAnsi="Times New Roman" w:cs="Times New Roman"/>
          <w:sz w:val="24"/>
          <w:szCs w:val="24"/>
        </w:rPr>
        <w:t xml:space="preserve"> the</w:t>
      </w:r>
      <w:r w:rsidR="0042143D" w:rsidRPr="008D2FF3">
        <w:rPr>
          <w:rFonts w:ascii="Times New Roman" w:eastAsia="Calibri" w:hAnsi="Times New Roman" w:cs="Times New Roman"/>
          <w:sz w:val="24"/>
          <w:szCs w:val="24"/>
        </w:rPr>
        <w:t xml:space="preserve"> actions of the agent. The third part</w:t>
      </w:r>
      <w:r w:rsidR="00775055" w:rsidRPr="008D2FF3">
        <w:rPr>
          <w:rFonts w:ascii="Times New Roman" w:eastAsia="Calibri" w:hAnsi="Times New Roman" w:cs="Times New Roman"/>
          <w:sz w:val="24"/>
          <w:szCs w:val="24"/>
        </w:rPr>
        <w:t xml:space="preserve">y should take due diligence in contracting with the principal through the agent. </w:t>
      </w:r>
      <w:r w:rsidR="0042143D" w:rsidRPr="008D2FF3">
        <w:rPr>
          <w:rFonts w:ascii="Times New Roman" w:eastAsia="Calibri" w:hAnsi="Times New Roman" w:cs="Times New Roman"/>
          <w:sz w:val="24"/>
          <w:szCs w:val="24"/>
        </w:rPr>
        <w:t>Ostensible authority on the other hand acts as a defence for the third party who claims that on the basis of the conduct and presentations of the agent on behalf of the principal</w:t>
      </w:r>
      <w:r w:rsidR="00407510" w:rsidRPr="008D2FF3">
        <w:rPr>
          <w:rFonts w:ascii="Times New Roman" w:eastAsia="Calibri" w:hAnsi="Times New Roman" w:cs="Times New Roman"/>
          <w:sz w:val="24"/>
          <w:szCs w:val="24"/>
        </w:rPr>
        <w:t>, s</w:t>
      </w:r>
      <w:r w:rsidR="000B63EE" w:rsidRPr="008D2FF3">
        <w:rPr>
          <w:rFonts w:ascii="Times New Roman" w:eastAsia="Calibri" w:hAnsi="Times New Roman" w:cs="Times New Roman"/>
          <w:sz w:val="24"/>
          <w:szCs w:val="24"/>
        </w:rPr>
        <w:t>uch conduct amounts</w:t>
      </w:r>
      <w:r w:rsidR="00775055" w:rsidRPr="008D2FF3">
        <w:rPr>
          <w:rFonts w:ascii="Times New Roman" w:eastAsia="Calibri" w:hAnsi="Times New Roman" w:cs="Times New Roman"/>
          <w:sz w:val="24"/>
          <w:szCs w:val="24"/>
        </w:rPr>
        <w:t xml:space="preserve"> to apparent authority justifying the third party’s belief to contract. </w:t>
      </w:r>
      <w:r w:rsidR="002374D7" w:rsidRPr="008D2FF3">
        <w:rPr>
          <w:rFonts w:ascii="Times New Roman" w:eastAsia="Calibri" w:hAnsi="Times New Roman" w:cs="Times New Roman"/>
          <w:sz w:val="24"/>
          <w:szCs w:val="24"/>
          <w:lang w:val="en-ZA"/>
        </w:rPr>
        <w:t>In</w:t>
      </w:r>
      <w:r w:rsidR="005E0C5A" w:rsidRPr="008D2FF3">
        <w:rPr>
          <w:rFonts w:ascii="Times New Roman" w:eastAsia="Calibri" w:hAnsi="Times New Roman" w:cs="Times New Roman"/>
          <w:i/>
          <w:sz w:val="24"/>
          <w:szCs w:val="24"/>
          <w:lang w:val="en-ZA"/>
        </w:rPr>
        <w:t xml:space="preserve"> One Stop Financial Services (Pty) Ltd v Neffensaan Ontwikkelings (Pty) Ltd and Another</w:t>
      </w:r>
      <w:r w:rsidR="000A7C25" w:rsidRPr="008D2FF3">
        <w:rPr>
          <w:rFonts w:ascii="Times New Roman" w:eastAsia="Calibri" w:hAnsi="Times New Roman" w:cs="Times New Roman"/>
          <w:i/>
          <w:sz w:val="24"/>
          <w:szCs w:val="24"/>
          <w:lang w:val="en-ZA"/>
        </w:rPr>
        <w:t xml:space="preserve"> </w:t>
      </w:r>
      <w:r w:rsidR="005E0C5A" w:rsidRPr="008D2FF3">
        <w:rPr>
          <w:rFonts w:ascii="Times New Roman" w:eastAsia="Calibri" w:hAnsi="Times New Roman" w:cs="Times New Roman"/>
          <w:sz w:val="24"/>
          <w:szCs w:val="24"/>
          <w:lang w:val="en-ZA"/>
        </w:rPr>
        <w:t xml:space="preserve">2015 (4) SA 623 (WCC); [2015] 4 All SA 88 (WCC) the court at paragraph 25 stated the following in a bid to explain the difference between the </w:t>
      </w:r>
      <w:r w:rsidR="00432C19" w:rsidRPr="008D2FF3">
        <w:rPr>
          <w:rFonts w:ascii="Times New Roman" w:eastAsia="Calibri" w:hAnsi="Times New Roman" w:cs="Times New Roman"/>
          <w:sz w:val="24"/>
          <w:szCs w:val="24"/>
          <w:lang w:val="en-ZA"/>
        </w:rPr>
        <w:t xml:space="preserve">Turquand Rule </w:t>
      </w:r>
      <w:r w:rsidR="005E0C5A" w:rsidRPr="008D2FF3">
        <w:rPr>
          <w:rFonts w:ascii="Times New Roman" w:eastAsia="Calibri" w:hAnsi="Times New Roman" w:cs="Times New Roman"/>
          <w:sz w:val="24"/>
          <w:szCs w:val="24"/>
          <w:lang w:val="en-ZA"/>
        </w:rPr>
        <w:t>and ostensible authority:</w:t>
      </w:r>
    </w:p>
    <w:p w:rsidR="00576CC0" w:rsidRPr="008D2FF3" w:rsidRDefault="005E0C5A" w:rsidP="00DC3790">
      <w:pPr>
        <w:spacing w:after="0" w:line="240" w:lineRule="auto"/>
        <w:ind w:left="1418"/>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w:t>
      </w:r>
      <w:r w:rsidRPr="008D2FF3">
        <w:rPr>
          <w:rFonts w:ascii="Times New Roman" w:eastAsia="Calibri" w:hAnsi="Times New Roman" w:cs="Times New Roman"/>
          <w:sz w:val="24"/>
          <w:szCs w:val="24"/>
        </w:rPr>
        <w:t xml:space="preserve">I think it will be found, from an analysis of these and other leading authorities, that the </w:t>
      </w:r>
      <w:r w:rsidRPr="008D2FF3">
        <w:rPr>
          <w:rFonts w:ascii="Times New Roman" w:eastAsia="Calibri" w:hAnsi="Times New Roman" w:cs="Times New Roman"/>
          <w:b/>
          <w:sz w:val="24"/>
          <w:szCs w:val="24"/>
        </w:rPr>
        <w:t>Turquand rule is simply an adjunct, in the context of companies and other entities with constitutions available to the public, of the law on ostensible authority, which is in turn a particular form of estoppel by representation</w:t>
      </w:r>
      <w:r w:rsidRPr="008D2FF3">
        <w:rPr>
          <w:rFonts w:ascii="Times New Roman" w:eastAsia="Calibri" w:hAnsi="Times New Roman" w:cs="Times New Roman"/>
          <w:sz w:val="24"/>
          <w:szCs w:val="24"/>
        </w:rPr>
        <w:t xml:space="preserve">. (In </w:t>
      </w:r>
      <w:r w:rsidRPr="008D2FF3">
        <w:rPr>
          <w:rFonts w:ascii="Times New Roman" w:eastAsia="Calibri" w:hAnsi="Times New Roman" w:cs="Times New Roman"/>
          <w:i/>
          <w:sz w:val="24"/>
          <w:szCs w:val="24"/>
        </w:rPr>
        <w:t>Northside 10 Developments</w:t>
      </w:r>
      <w:r w:rsidRPr="008D2FF3">
        <w:rPr>
          <w:rFonts w:ascii="Times New Roman" w:eastAsia="Calibri" w:hAnsi="Times New Roman" w:cs="Times New Roman"/>
          <w:sz w:val="24"/>
          <w:szCs w:val="24"/>
        </w:rPr>
        <w:t xml:space="preserve"> supra Brennan J said that Diplock LJ’s lucid exposition in Freeman of the general principles of estoppel ‘provides the framework within which the specifically “indoor management” cases are to be placed’.)”</w:t>
      </w:r>
      <w:r w:rsidR="002374D7" w:rsidRPr="008D2FF3">
        <w:rPr>
          <w:rFonts w:ascii="Times New Roman" w:eastAsia="Calibri" w:hAnsi="Times New Roman" w:cs="Times New Roman"/>
          <w:sz w:val="24"/>
          <w:szCs w:val="24"/>
        </w:rPr>
        <w:t>(emphasis added)</w:t>
      </w:r>
    </w:p>
    <w:p w:rsidR="000B63EE" w:rsidRPr="008D2FF3" w:rsidRDefault="000B63EE" w:rsidP="00F87943">
      <w:pPr>
        <w:spacing w:after="0" w:line="480" w:lineRule="auto"/>
        <w:ind w:firstLine="720"/>
        <w:jc w:val="both"/>
        <w:rPr>
          <w:rFonts w:ascii="Times New Roman" w:eastAsia="Calibri" w:hAnsi="Times New Roman" w:cs="Times New Roman"/>
          <w:sz w:val="24"/>
          <w:szCs w:val="24"/>
          <w:lang w:val="en-ZA"/>
        </w:rPr>
      </w:pPr>
    </w:p>
    <w:p w:rsidR="00F87943" w:rsidRPr="005240E1" w:rsidRDefault="00EF6A69" w:rsidP="005240E1">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Section 12 of the Companies Act codifies the common law </w:t>
      </w:r>
      <w:r w:rsidR="00940682" w:rsidRPr="008D2FF3">
        <w:rPr>
          <w:rFonts w:ascii="Times New Roman" w:eastAsia="Calibri" w:hAnsi="Times New Roman" w:cs="Times New Roman"/>
          <w:sz w:val="24"/>
          <w:szCs w:val="24"/>
          <w:lang w:val="en-ZA"/>
        </w:rPr>
        <w:t xml:space="preserve">principle of </w:t>
      </w:r>
      <w:r w:rsidRPr="008D2FF3">
        <w:rPr>
          <w:rFonts w:ascii="Times New Roman" w:eastAsia="Calibri" w:hAnsi="Times New Roman" w:cs="Times New Roman"/>
          <w:sz w:val="24"/>
          <w:szCs w:val="24"/>
          <w:lang w:val="en-ZA"/>
        </w:rPr>
        <w:t xml:space="preserve">the </w:t>
      </w:r>
      <w:r w:rsidR="00616F65" w:rsidRPr="008D2FF3">
        <w:rPr>
          <w:rFonts w:ascii="Times New Roman" w:eastAsia="Calibri" w:hAnsi="Times New Roman" w:cs="Times New Roman"/>
          <w:sz w:val="24"/>
          <w:szCs w:val="24"/>
          <w:lang w:val="en-ZA"/>
        </w:rPr>
        <w:t>Turquand Rule</w:t>
      </w:r>
      <w:r w:rsidRPr="008D2FF3">
        <w:rPr>
          <w:rFonts w:ascii="Times New Roman" w:eastAsia="Calibri" w:hAnsi="Times New Roman" w:cs="Times New Roman"/>
          <w:sz w:val="24"/>
          <w:szCs w:val="24"/>
          <w:lang w:val="en-ZA"/>
        </w:rPr>
        <w:t xml:space="preserve">. (See </w:t>
      </w:r>
      <w:r w:rsidRPr="008D2FF3">
        <w:rPr>
          <w:rFonts w:ascii="Times New Roman" w:eastAsia="Calibri" w:hAnsi="Times New Roman" w:cs="Times New Roman"/>
          <w:i/>
          <w:sz w:val="24"/>
          <w:szCs w:val="24"/>
          <w:lang w:val="en-ZA"/>
        </w:rPr>
        <w:t>Govero v Ordeco (Private) Limited and Another</w:t>
      </w:r>
      <w:r w:rsidRPr="008D2FF3">
        <w:rPr>
          <w:rFonts w:ascii="Times New Roman" w:eastAsia="Calibri" w:hAnsi="Times New Roman" w:cs="Times New Roman"/>
          <w:sz w:val="24"/>
          <w:szCs w:val="24"/>
          <w:lang w:val="en-ZA"/>
        </w:rPr>
        <w:t xml:space="preserve"> SC 25/14, </w:t>
      </w:r>
      <w:r w:rsidRPr="008D2FF3">
        <w:rPr>
          <w:rFonts w:ascii="Times New Roman" w:eastAsia="Calibri" w:hAnsi="Times New Roman" w:cs="Times New Roman"/>
          <w:i/>
          <w:sz w:val="24"/>
          <w:szCs w:val="24"/>
          <w:lang w:val="en-ZA"/>
        </w:rPr>
        <w:t>Andrew Mills v Tanganda Tea Company Limited</w:t>
      </w:r>
      <w:r w:rsidR="002374D7" w:rsidRPr="008D2FF3">
        <w:rPr>
          <w:rFonts w:ascii="Times New Roman" w:eastAsia="Calibri" w:hAnsi="Times New Roman" w:cs="Times New Roman"/>
          <w:sz w:val="24"/>
          <w:szCs w:val="24"/>
          <w:lang w:val="en-ZA"/>
        </w:rPr>
        <w:t xml:space="preserve"> HH 12/13). The section</w:t>
      </w:r>
      <w:r w:rsidR="00940682" w:rsidRPr="008D2FF3">
        <w:rPr>
          <w:rFonts w:ascii="Times New Roman" w:eastAsia="Calibri" w:hAnsi="Times New Roman" w:cs="Times New Roman"/>
          <w:sz w:val="24"/>
          <w:szCs w:val="24"/>
          <w:lang w:val="en-ZA"/>
        </w:rPr>
        <w:t xml:space="preserve"> provides for the presumption of regularity to an extent that any person who deals with a representative of a company is taken to presume that all procedures are regular. Sectio</w:t>
      </w:r>
      <w:r w:rsidR="00F150E5" w:rsidRPr="008D2FF3">
        <w:rPr>
          <w:rFonts w:ascii="Times New Roman" w:eastAsia="Calibri" w:hAnsi="Times New Roman" w:cs="Times New Roman"/>
          <w:sz w:val="24"/>
          <w:szCs w:val="24"/>
          <w:lang w:val="en-ZA"/>
        </w:rPr>
        <w:t>n 12 is further reinforced by s </w:t>
      </w:r>
      <w:r w:rsidR="00940682" w:rsidRPr="008D2FF3">
        <w:rPr>
          <w:rFonts w:ascii="Times New Roman" w:eastAsia="Calibri" w:hAnsi="Times New Roman" w:cs="Times New Roman"/>
          <w:sz w:val="24"/>
          <w:szCs w:val="24"/>
          <w:lang w:val="en-ZA"/>
        </w:rPr>
        <w:t xml:space="preserve">13 of the same Act which provides that such liability </w:t>
      </w:r>
      <w:r w:rsidR="00407510" w:rsidRPr="008D2FF3">
        <w:rPr>
          <w:rFonts w:ascii="Times New Roman" w:eastAsia="Calibri" w:hAnsi="Times New Roman" w:cs="Times New Roman"/>
          <w:sz w:val="24"/>
          <w:szCs w:val="24"/>
          <w:lang w:val="en-ZA"/>
        </w:rPr>
        <w:t xml:space="preserve">is </w:t>
      </w:r>
      <w:r w:rsidR="00940682" w:rsidRPr="008D2FF3">
        <w:rPr>
          <w:rFonts w:ascii="Times New Roman" w:eastAsia="Calibri" w:hAnsi="Times New Roman" w:cs="Times New Roman"/>
          <w:sz w:val="24"/>
          <w:szCs w:val="24"/>
          <w:lang w:val="en-ZA"/>
        </w:rPr>
        <w:t>not affected even where the company alleges that the representative acted in a fraudulent way.</w:t>
      </w:r>
    </w:p>
    <w:p w:rsidR="00940682" w:rsidRPr="008D2FF3" w:rsidRDefault="002374D7" w:rsidP="002F61FA">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rPr>
      </w:pPr>
      <w:r w:rsidRPr="008D2FF3">
        <w:rPr>
          <w:rFonts w:ascii="Times New Roman" w:eastAsia="Calibri" w:hAnsi="Times New Roman" w:cs="Times New Roman"/>
          <w:sz w:val="24"/>
          <w:szCs w:val="24"/>
        </w:rPr>
        <w:lastRenderedPageBreak/>
        <w:t>It was c</w:t>
      </w:r>
      <w:r w:rsidR="00940682" w:rsidRPr="008D2FF3">
        <w:rPr>
          <w:rFonts w:ascii="Times New Roman" w:eastAsia="Calibri" w:hAnsi="Times New Roman" w:cs="Times New Roman"/>
          <w:sz w:val="24"/>
          <w:szCs w:val="24"/>
        </w:rPr>
        <w:t>ounsel for the appellant</w:t>
      </w:r>
      <w:r w:rsidRPr="008D2FF3">
        <w:rPr>
          <w:rFonts w:ascii="Times New Roman" w:eastAsia="Calibri" w:hAnsi="Times New Roman" w:cs="Times New Roman"/>
          <w:sz w:val="24"/>
          <w:szCs w:val="24"/>
        </w:rPr>
        <w:t xml:space="preserve">’s argument that </w:t>
      </w:r>
      <w:r w:rsidR="005A0573" w:rsidRPr="008D2FF3">
        <w:rPr>
          <w:rFonts w:ascii="Times New Roman" w:eastAsia="Calibri" w:hAnsi="Times New Roman" w:cs="Times New Roman"/>
          <w:sz w:val="24"/>
          <w:szCs w:val="24"/>
        </w:rPr>
        <w:t>as the</w:t>
      </w:r>
      <w:r w:rsidR="00940682" w:rsidRPr="008D2FF3">
        <w:rPr>
          <w:rFonts w:ascii="Times New Roman" w:eastAsia="Calibri" w:hAnsi="Times New Roman" w:cs="Times New Roman"/>
          <w:sz w:val="24"/>
          <w:szCs w:val="24"/>
        </w:rPr>
        <w:t xml:space="preserve"> </w:t>
      </w:r>
      <w:r w:rsidR="0053713C" w:rsidRPr="008D2FF3">
        <w:rPr>
          <w:rFonts w:ascii="Times New Roman" w:eastAsia="Calibri" w:hAnsi="Times New Roman" w:cs="Times New Roman"/>
          <w:sz w:val="24"/>
          <w:szCs w:val="24"/>
        </w:rPr>
        <w:t>Bank is a statutory corporation founded under an enabling Act it cannot be subjected to the provisions of the Comp</w:t>
      </w:r>
      <w:r w:rsidR="00940682" w:rsidRPr="008D2FF3">
        <w:rPr>
          <w:rFonts w:ascii="Times New Roman" w:eastAsia="Calibri" w:hAnsi="Times New Roman" w:cs="Times New Roman"/>
          <w:sz w:val="24"/>
          <w:szCs w:val="24"/>
        </w:rPr>
        <w:t>anies Act. Counsel made</w:t>
      </w:r>
      <w:r w:rsidR="0053713C" w:rsidRPr="008D2FF3">
        <w:rPr>
          <w:rFonts w:ascii="Times New Roman" w:eastAsia="Calibri" w:hAnsi="Times New Roman" w:cs="Times New Roman"/>
          <w:sz w:val="24"/>
          <w:szCs w:val="24"/>
        </w:rPr>
        <w:t xml:space="preserve"> reference to s 30 (2) of the IDBZ Act which provides that the provisions of the Comp</w:t>
      </w:r>
      <w:r w:rsidR="00940682" w:rsidRPr="008D2FF3">
        <w:rPr>
          <w:rFonts w:ascii="Times New Roman" w:eastAsia="Calibri" w:hAnsi="Times New Roman" w:cs="Times New Roman"/>
          <w:sz w:val="24"/>
          <w:szCs w:val="24"/>
        </w:rPr>
        <w:t>anies Act or any other law do</w:t>
      </w:r>
      <w:r w:rsidR="0053713C" w:rsidRPr="008D2FF3">
        <w:rPr>
          <w:rFonts w:ascii="Times New Roman" w:eastAsia="Calibri" w:hAnsi="Times New Roman" w:cs="Times New Roman"/>
          <w:sz w:val="24"/>
          <w:szCs w:val="24"/>
        </w:rPr>
        <w:t xml:space="preserve"> not apply to the Bank. </w:t>
      </w:r>
    </w:p>
    <w:p w:rsidR="00A759D7" w:rsidRPr="008D2FF3" w:rsidRDefault="00A759D7" w:rsidP="00100CF0">
      <w:pPr>
        <w:spacing w:after="0" w:line="240" w:lineRule="auto"/>
        <w:ind w:firstLine="1134"/>
        <w:jc w:val="both"/>
        <w:rPr>
          <w:rFonts w:ascii="Times New Roman" w:eastAsia="Calibri" w:hAnsi="Times New Roman" w:cs="Times New Roman"/>
          <w:sz w:val="24"/>
          <w:szCs w:val="24"/>
        </w:rPr>
      </w:pPr>
    </w:p>
    <w:p w:rsidR="009C4153" w:rsidRPr="008D2FF3" w:rsidRDefault="009C4153" w:rsidP="00B00BEC">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rPr>
      </w:pPr>
      <w:r w:rsidRPr="008D2FF3">
        <w:rPr>
          <w:rFonts w:ascii="Times New Roman" w:eastAsia="Calibri" w:hAnsi="Times New Roman" w:cs="Times New Roman"/>
          <w:sz w:val="24"/>
          <w:szCs w:val="24"/>
        </w:rPr>
        <w:t xml:space="preserve">The appellant </w:t>
      </w:r>
      <w:r w:rsidR="00DC3790" w:rsidRPr="008D2FF3">
        <w:rPr>
          <w:rFonts w:ascii="Times New Roman" w:eastAsia="Calibri" w:hAnsi="Times New Roman" w:cs="Times New Roman"/>
          <w:sz w:val="24"/>
          <w:szCs w:val="24"/>
        </w:rPr>
        <w:t xml:space="preserve">however </w:t>
      </w:r>
      <w:r w:rsidRPr="008D2FF3">
        <w:rPr>
          <w:rFonts w:ascii="Times New Roman" w:eastAsia="Calibri" w:hAnsi="Times New Roman" w:cs="Times New Roman"/>
          <w:sz w:val="24"/>
          <w:szCs w:val="24"/>
        </w:rPr>
        <w:t>did not</w:t>
      </w:r>
      <w:r w:rsidR="00940682" w:rsidRPr="008D2FF3">
        <w:rPr>
          <w:rFonts w:ascii="Times New Roman" w:eastAsia="Calibri" w:hAnsi="Times New Roman" w:cs="Times New Roman"/>
          <w:sz w:val="24"/>
          <w:szCs w:val="24"/>
        </w:rPr>
        <w:t xml:space="preserve"> plead this defence at the beginning of the proceedings</w:t>
      </w:r>
      <w:r w:rsidRPr="008D2FF3">
        <w:rPr>
          <w:rFonts w:ascii="Times New Roman" w:eastAsia="Calibri" w:hAnsi="Times New Roman" w:cs="Times New Roman"/>
          <w:sz w:val="24"/>
          <w:szCs w:val="24"/>
        </w:rPr>
        <w:t xml:space="preserve"> before the court</w:t>
      </w:r>
      <w:r w:rsidRPr="008D2FF3">
        <w:rPr>
          <w:rFonts w:ascii="Times New Roman" w:eastAsia="Calibri" w:hAnsi="Times New Roman" w:cs="Times New Roman"/>
          <w:i/>
          <w:sz w:val="24"/>
          <w:szCs w:val="24"/>
        </w:rPr>
        <w:t xml:space="preserve"> a quo </w:t>
      </w:r>
      <w:r w:rsidRPr="008D2FF3">
        <w:rPr>
          <w:rFonts w:ascii="Times New Roman" w:eastAsia="Calibri" w:hAnsi="Times New Roman" w:cs="Times New Roman"/>
          <w:sz w:val="24"/>
          <w:szCs w:val="24"/>
        </w:rPr>
        <w:t xml:space="preserve">but sought to introduce it </w:t>
      </w:r>
      <w:r w:rsidR="00DC3790" w:rsidRPr="008D2FF3">
        <w:rPr>
          <w:rFonts w:ascii="Times New Roman" w:eastAsia="Calibri" w:hAnsi="Times New Roman" w:cs="Times New Roman"/>
          <w:sz w:val="24"/>
          <w:szCs w:val="24"/>
        </w:rPr>
        <w:t>in</w:t>
      </w:r>
      <w:r w:rsidRPr="008D2FF3">
        <w:rPr>
          <w:rFonts w:ascii="Times New Roman" w:eastAsia="Calibri" w:hAnsi="Times New Roman" w:cs="Times New Roman"/>
          <w:sz w:val="24"/>
          <w:szCs w:val="24"/>
        </w:rPr>
        <w:t xml:space="preserve"> closing submissions. </w:t>
      </w:r>
      <w:r w:rsidR="00FB45F6" w:rsidRPr="008D2FF3">
        <w:rPr>
          <w:rFonts w:ascii="Times New Roman" w:eastAsia="Calibri" w:hAnsi="Times New Roman" w:cs="Times New Roman"/>
          <w:sz w:val="24"/>
          <w:szCs w:val="24"/>
        </w:rPr>
        <w:t xml:space="preserve">The appellant did not make an application for </w:t>
      </w:r>
      <w:r w:rsidR="00152168" w:rsidRPr="008D2FF3">
        <w:rPr>
          <w:rFonts w:ascii="Times New Roman" w:eastAsia="Calibri" w:hAnsi="Times New Roman" w:cs="Times New Roman"/>
          <w:sz w:val="24"/>
          <w:szCs w:val="24"/>
        </w:rPr>
        <w:t xml:space="preserve">amendment of its plea. </w:t>
      </w:r>
      <w:r w:rsidRPr="008D2FF3">
        <w:rPr>
          <w:rFonts w:ascii="Times New Roman" w:eastAsia="Calibri" w:hAnsi="Times New Roman" w:cs="Times New Roman"/>
          <w:sz w:val="24"/>
          <w:szCs w:val="24"/>
        </w:rPr>
        <w:t xml:space="preserve">The court </w:t>
      </w:r>
      <w:r w:rsidRPr="008D2FF3">
        <w:rPr>
          <w:rFonts w:ascii="Times New Roman" w:eastAsia="Calibri" w:hAnsi="Times New Roman" w:cs="Times New Roman"/>
          <w:i/>
          <w:sz w:val="24"/>
          <w:szCs w:val="24"/>
        </w:rPr>
        <w:t>a quo</w:t>
      </w:r>
      <w:r w:rsidRPr="008D2FF3">
        <w:rPr>
          <w:rFonts w:ascii="Times New Roman" w:eastAsia="Calibri" w:hAnsi="Times New Roman" w:cs="Times New Roman"/>
          <w:sz w:val="24"/>
          <w:szCs w:val="24"/>
        </w:rPr>
        <w:t xml:space="preserve">, after acknowledging that the point had </w:t>
      </w:r>
      <w:r w:rsidR="00407510" w:rsidRPr="008D2FF3">
        <w:rPr>
          <w:rFonts w:ascii="Times New Roman" w:eastAsia="Calibri" w:hAnsi="Times New Roman" w:cs="Times New Roman"/>
          <w:sz w:val="24"/>
          <w:szCs w:val="24"/>
        </w:rPr>
        <w:t xml:space="preserve">not been </w:t>
      </w:r>
      <w:r w:rsidRPr="008D2FF3">
        <w:rPr>
          <w:rFonts w:ascii="Times New Roman" w:eastAsia="Calibri" w:hAnsi="Times New Roman" w:cs="Times New Roman"/>
          <w:sz w:val="24"/>
          <w:szCs w:val="24"/>
        </w:rPr>
        <w:t>pleaded by the appellant, went on to make a determination on it.</w:t>
      </w:r>
    </w:p>
    <w:p w:rsidR="00A759D7" w:rsidRPr="008D2FF3" w:rsidRDefault="00A759D7" w:rsidP="00100CF0">
      <w:pPr>
        <w:spacing w:after="0" w:line="240" w:lineRule="auto"/>
        <w:ind w:firstLine="720"/>
        <w:jc w:val="both"/>
        <w:rPr>
          <w:rFonts w:ascii="Times New Roman" w:eastAsia="Calibri" w:hAnsi="Times New Roman" w:cs="Times New Roman"/>
          <w:sz w:val="24"/>
          <w:szCs w:val="24"/>
        </w:rPr>
      </w:pPr>
    </w:p>
    <w:p w:rsidR="005D5B38" w:rsidRPr="008D2FF3" w:rsidRDefault="00DC3790" w:rsidP="00B00BEC">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rPr>
      </w:pPr>
      <w:r w:rsidRPr="008D2FF3">
        <w:rPr>
          <w:rFonts w:ascii="Times New Roman" w:eastAsia="Calibri" w:hAnsi="Times New Roman" w:cs="Times New Roman"/>
          <w:sz w:val="24"/>
          <w:szCs w:val="24"/>
        </w:rPr>
        <w:t>It seems to me that t</w:t>
      </w:r>
      <w:r w:rsidR="005D5B38" w:rsidRPr="008D2FF3">
        <w:rPr>
          <w:rFonts w:ascii="Times New Roman" w:eastAsia="Calibri" w:hAnsi="Times New Roman" w:cs="Times New Roman"/>
          <w:sz w:val="24"/>
          <w:szCs w:val="24"/>
        </w:rPr>
        <w:t xml:space="preserve">he argument raised by the appellant amounted to an amendment of its plea to include </w:t>
      </w:r>
      <w:r w:rsidR="00940682" w:rsidRPr="008D2FF3">
        <w:rPr>
          <w:rFonts w:ascii="Times New Roman" w:eastAsia="Calibri" w:hAnsi="Times New Roman" w:cs="Times New Roman"/>
          <w:sz w:val="24"/>
          <w:szCs w:val="24"/>
        </w:rPr>
        <w:t xml:space="preserve">a defence on a </w:t>
      </w:r>
      <w:r w:rsidR="005D5B38" w:rsidRPr="008D2FF3">
        <w:rPr>
          <w:rFonts w:ascii="Times New Roman" w:eastAsia="Calibri" w:hAnsi="Times New Roman" w:cs="Times New Roman"/>
          <w:sz w:val="24"/>
          <w:szCs w:val="24"/>
        </w:rPr>
        <w:t>point of law</w:t>
      </w:r>
      <w:r w:rsidR="00B00BEC" w:rsidRPr="008D2FF3">
        <w:rPr>
          <w:rFonts w:ascii="Times New Roman" w:eastAsia="Calibri" w:hAnsi="Times New Roman" w:cs="Times New Roman"/>
          <w:sz w:val="24"/>
          <w:szCs w:val="24"/>
        </w:rPr>
        <w:t>,</w:t>
      </w:r>
      <w:r w:rsidR="005D5B38" w:rsidRPr="008D2FF3">
        <w:rPr>
          <w:rFonts w:ascii="Times New Roman" w:eastAsia="Calibri" w:hAnsi="Times New Roman" w:cs="Times New Roman"/>
          <w:sz w:val="24"/>
          <w:szCs w:val="24"/>
        </w:rPr>
        <w:t xml:space="preserve"> that</w:t>
      </w:r>
      <w:r w:rsidR="00B00BEC" w:rsidRPr="008D2FF3">
        <w:rPr>
          <w:rFonts w:ascii="Times New Roman" w:eastAsia="Calibri" w:hAnsi="Times New Roman" w:cs="Times New Roman"/>
          <w:sz w:val="24"/>
          <w:szCs w:val="24"/>
        </w:rPr>
        <w:t>,</w:t>
      </w:r>
      <w:r w:rsidR="005D5B38" w:rsidRPr="008D2FF3">
        <w:rPr>
          <w:rFonts w:ascii="Times New Roman" w:eastAsia="Calibri" w:hAnsi="Times New Roman" w:cs="Times New Roman"/>
          <w:sz w:val="24"/>
          <w:szCs w:val="24"/>
        </w:rPr>
        <w:t xml:space="preserve"> on the basis of s 30 of the IDBZ Act the implied</w:t>
      </w:r>
      <w:r w:rsidR="002374D7" w:rsidRPr="008D2FF3">
        <w:rPr>
          <w:rFonts w:ascii="Times New Roman" w:eastAsia="Calibri" w:hAnsi="Times New Roman" w:cs="Times New Roman"/>
          <w:sz w:val="24"/>
          <w:szCs w:val="24"/>
        </w:rPr>
        <w:t xml:space="preserve"> authority exercised by </w:t>
      </w:r>
      <w:r w:rsidR="005D5B38" w:rsidRPr="008D2FF3">
        <w:rPr>
          <w:rFonts w:ascii="Times New Roman" w:eastAsia="Calibri" w:hAnsi="Times New Roman" w:cs="Times New Roman"/>
          <w:sz w:val="24"/>
          <w:szCs w:val="24"/>
        </w:rPr>
        <w:t xml:space="preserve">Mugwara could not be a basis </w:t>
      </w:r>
      <w:r w:rsidR="00940682" w:rsidRPr="008D2FF3">
        <w:rPr>
          <w:rFonts w:ascii="Times New Roman" w:eastAsia="Calibri" w:hAnsi="Times New Roman" w:cs="Times New Roman"/>
          <w:sz w:val="24"/>
          <w:szCs w:val="24"/>
        </w:rPr>
        <w:t xml:space="preserve">on which the respondent could make its claim. </w:t>
      </w:r>
      <w:r w:rsidRPr="008D2FF3">
        <w:rPr>
          <w:rFonts w:ascii="Times New Roman" w:eastAsia="Calibri" w:hAnsi="Times New Roman" w:cs="Times New Roman"/>
          <w:sz w:val="24"/>
          <w:szCs w:val="24"/>
        </w:rPr>
        <w:t xml:space="preserve">It is </w:t>
      </w:r>
      <w:r w:rsidR="00B00BEC" w:rsidRPr="008D2FF3">
        <w:rPr>
          <w:rFonts w:ascii="Times New Roman" w:eastAsia="Calibri" w:hAnsi="Times New Roman" w:cs="Times New Roman"/>
          <w:sz w:val="24"/>
          <w:szCs w:val="24"/>
        </w:rPr>
        <w:t>tr</w:t>
      </w:r>
      <w:r w:rsidRPr="008D2FF3">
        <w:rPr>
          <w:rFonts w:ascii="Times New Roman" w:eastAsia="Calibri" w:hAnsi="Times New Roman" w:cs="Times New Roman"/>
          <w:sz w:val="24"/>
          <w:szCs w:val="24"/>
        </w:rPr>
        <w:t>i</w:t>
      </w:r>
      <w:r w:rsidR="00B00BEC" w:rsidRPr="008D2FF3">
        <w:rPr>
          <w:rFonts w:ascii="Times New Roman" w:eastAsia="Calibri" w:hAnsi="Times New Roman" w:cs="Times New Roman"/>
          <w:sz w:val="24"/>
          <w:szCs w:val="24"/>
        </w:rPr>
        <w:t>t</w:t>
      </w:r>
      <w:r w:rsidRPr="008D2FF3">
        <w:rPr>
          <w:rFonts w:ascii="Times New Roman" w:eastAsia="Calibri" w:hAnsi="Times New Roman" w:cs="Times New Roman"/>
          <w:sz w:val="24"/>
          <w:szCs w:val="24"/>
        </w:rPr>
        <w:t>e that</w:t>
      </w:r>
      <w:r w:rsidR="00940682" w:rsidRPr="008D2FF3">
        <w:rPr>
          <w:rFonts w:ascii="Times New Roman" w:eastAsia="Calibri" w:hAnsi="Times New Roman" w:cs="Times New Roman"/>
          <w:sz w:val="24"/>
          <w:szCs w:val="24"/>
        </w:rPr>
        <w:t xml:space="preserve"> </w:t>
      </w:r>
      <w:r w:rsidR="00B00BEC" w:rsidRPr="008D2FF3">
        <w:rPr>
          <w:rFonts w:ascii="Times New Roman" w:eastAsia="Calibri" w:hAnsi="Times New Roman" w:cs="Times New Roman"/>
          <w:sz w:val="24"/>
          <w:szCs w:val="24"/>
        </w:rPr>
        <w:t xml:space="preserve">a </w:t>
      </w:r>
      <w:r w:rsidR="00940682" w:rsidRPr="008D2FF3">
        <w:rPr>
          <w:rFonts w:ascii="Times New Roman" w:eastAsia="Calibri" w:hAnsi="Times New Roman" w:cs="Times New Roman"/>
          <w:sz w:val="24"/>
          <w:szCs w:val="24"/>
        </w:rPr>
        <w:t xml:space="preserve">court ought to be guided and to </w:t>
      </w:r>
      <w:r w:rsidR="005D5B38" w:rsidRPr="008D2FF3">
        <w:rPr>
          <w:rFonts w:ascii="Times New Roman" w:eastAsia="Calibri" w:hAnsi="Times New Roman" w:cs="Times New Roman"/>
          <w:sz w:val="24"/>
          <w:szCs w:val="24"/>
        </w:rPr>
        <w:t xml:space="preserve">determine issues which are raised by the parties in the pleadings. In </w:t>
      </w:r>
      <w:r w:rsidR="005D5B38" w:rsidRPr="008D2FF3">
        <w:rPr>
          <w:rFonts w:ascii="Times New Roman" w:eastAsia="Calibri" w:hAnsi="Times New Roman" w:cs="Times New Roman"/>
          <w:i/>
          <w:sz w:val="24"/>
          <w:szCs w:val="24"/>
        </w:rPr>
        <w:t>Imprefed (Pty) Ltd v National Transport Commission</w:t>
      </w:r>
      <w:r w:rsidR="005D5B38" w:rsidRPr="008D2FF3">
        <w:rPr>
          <w:rFonts w:ascii="Times New Roman" w:eastAsia="Calibri" w:hAnsi="Times New Roman" w:cs="Times New Roman"/>
          <w:sz w:val="24"/>
          <w:szCs w:val="24"/>
        </w:rPr>
        <w:t xml:space="preserve"> 1993 (3) SA 94(A), 108, the court cited with approval the case of </w:t>
      </w:r>
      <w:r w:rsidR="005D5B38" w:rsidRPr="008D2FF3">
        <w:rPr>
          <w:rFonts w:ascii="Times New Roman" w:eastAsia="Calibri" w:hAnsi="Times New Roman" w:cs="Times New Roman"/>
          <w:i/>
          <w:sz w:val="24"/>
          <w:szCs w:val="24"/>
        </w:rPr>
        <w:t xml:space="preserve">Robinson v Randfontein Estates GM Co. Ltd </w:t>
      </w:r>
      <w:r w:rsidR="005D5B38" w:rsidRPr="008D2FF3">
        <w:rPr>
          <w:rFonts w:ascii="Times New Roman" w:eastAsia="Calibri" w:hAnsi="Times New Roman" w:cs="Times New Roman"/>
          <w:sz w:val="24"/>
          <w:szCs w:val="24"/>
        </w:rPr>
        <w:t>1925 AD 173 where at page 198 the court emphasised the importance of pleading</w:t>
      </w:r>
      <w:r w:rsidR="000861F5" w:rsidRPr="008D2FF3">
        <w:rPr>
          <w:rFonts w:ascii="Times New Roman" w:eastAsia="Calibri" w:hAnsi="Times New Roman" w:cs="Times New Roman"/>
          <w:sz w:val="24"/>
          <w:szCs w:val="24"/>
        </w:rPr>
        <w:t>s. The court stated as follows:</w:t>
      </w:r>
    </w:p>
    <w:p w:rsidR="00E603AE" w:rsidRPr="008D2FF3" w:rsidRDefault="005D5B38" w:rsidP="00DC3790">
      <w:pPr>
        <w:spacing w:after="0" w:line="240" w:lineRule="auto"/>
        <w:ind w:left="1276"/>
        <w:jc w:val="both"/>
        <w:rPr>
          <w:rFonts w:ascii="Times New Roman" w:eastAsia="Calibri" w:hAnsi="Times New Roman" w:cs="Times New Roman"/>
          <w:sz w:val="24"/>
          <w:szCs w:val="24"/>
        </w:rPr>
      </w:pPr>
      <w:r w:rsidRPr="008D2FF3">
        <w:rPr>
          <w:rFonts w:ascii="Times New Roman" w:eastAsia="Calibri" w:hAnsi="Times New Roman" w:cs="Times New Roman"/>
          <w:sz w:val="24"/>
          <w:szCs w:val="24"/>
        </w:rPr>
        <w:t xml:space="preserve">“The object of pleading is to define the issues; and parties will be kept strictly to their pleas where any departure would cause prejudice or would prevent full enquiry.  But within those limits the court has a wide discretion.  For pleadings are made for the court, not the court for pleadings.  And where a party has had every facility to place all the facts before the trial court and the investigation into all the circumstances has been as thorough and as patient as in this instance, there is no justification for interference by an appellate tribunal, merely because the pleading of the opponent has not been as explicit as it might have been.” </w:t>
      </w:r>
    </w:p>
    <w:p w:rsidR="00100CF0" w:rsidRPr="008D2FF3" w:rsidRDefault="00100CF0" w:rsidP="00100CF0">
      <w:pPr>
        <w:spacing w:after="0" w:line="240" w:lineRule="auto"/>
        <w:ind w:left="567"/>
        <w:jc w:val="both"/>
        <w:rPr>
          <w:rFonts w:ascii="Times New Roman" w:eastAsia="Calibri" w:hAnsi="Times New Roman" w:cs="Times New Roman"/>
          <w:sz w:val="24"/>
          <w:szCs w:val="24"/>
        </w:rPr>
      </w:pPr>
    </w:p>
    <w:p w:rsidR="00100CF0" w:rsidRPr="008D2FF3" w:rsidRDefault="00100CF0" w:rsidP="00100CF0">
      <w:pPr>
        <w:spacing w:after="0" w:line="240" w:lineRule="auto"/>
        <w:ind w:left="567"/>
        <w:jc w:val="both"/>
        <w:rPr>
          <w:rFonts w:ascii="Times New Roman" w:eastAsia="Calibri" w:hAnsi="Times New Roman" w:cs="Times New Roman"/>
          <w:sz w:val="24"/>
          <w:szCs w:val="24"/>
        </w:rPr>
      </w:pPr>
    </w:p>
    <w:p w:rsidR="00E603AE" w:rsidRPr="008D2FF3" w:rsidRDefault="005D5B38" w:rsidP="00DC3790">
      <w:pPr>
        <w:spacing w:before="240" w:after="0" w:line="480" w:lineRule="auto"/>
        <w:ind w:left="1276"/>
        <w:jc w:val="both"/>
        <w:rPr>
          <w:rFonts w:ascii="Times New Roman" w:eastAsia="Calibri" w:hAnsi="Times New Roman" w:cs="Times New Roman"/>
          <w:sz w:val="24"/>
          <w:szCs w:val="24"/>
        </w:rPr>
      </w:pPr>
      <w:r w:rsidRPr="008D2FF3">
        <w:rPr>
          <w:rFonts w:ascii="Times New Roman" w:eastAsia="Calibri" w:hAnsi="Times New Roman" w:cs="Times New Roman"/>
          <w:sz w:val="24"/>
          <w:szCs w:val="24"/>
        </w:rPr>
        <w:lastRenderedPageBreak/>
        <w:t xml:space="preserve">See also </w:t>
      </w:r>
      <w:r w:rsidRPr="008D2FF3">
        <w:rPr>
          <w:rFonts w:ascii="Times New Roman" w:eastAsia="Calibri" w:hAnsi="Times New Roman" w:cs="Times New Roman"/>
          <w:i/>
          <w:sz w:val="24"/>
          <w:szCs w:val="24"/>
        </w:rPr>
        <w:t>Jowell v Bramwell-Jones</w:t>
      </w:r>
      <w:r w:rsidRPr="008D2FF3">
        <w:rPr>
          <w:rFonts w:ascii="Times New Roman" w:eastAsia="Calibri" w:hAnsi="Times New Roman" w:cs="Times New Roman"/>
          <w:sz w:val="24"/>
          <w:szCs w:val="24"/>
        </w:rPr>
        <w:t xml:space="preserve"> 1998 (1) SA 836 at 898, </w:t>
      </w:r>
      <w:r w:rsidRPr="008D2FF3">
        <w:rPr>
          <w:rFonts w:ascii="Times New Roman" w:eastAsia="Calibri" w:hAnsi="Times New Roman" w:cs="Times New Roman"/>
          <w:i/>
          <w:sz w:val="24"/>
          <w:szCs w:val="24"/>
        </w:rPr>
        <w:t>Farrell v Secretary of State for Defence</w:t>
      </w:r>
      <w:r w:rsidRPr="008D2FF3">
        <w:rPr>
          <w:rFonts w:ascii="Times New Roman" w:eastAsia="Calibri" w:hAnsi="Times New Roman" w:cs="Times New Roman"/>
          <w:sz w:val="24"/>
          <w:szCs w:val="24"/>
        </w:rPr>
        <w:t xml:space="preserve"> (1980) 1 All ER 166 at page 173</w:t>
      </w:r>
    </w:p>
    <w:p w:rsidR="004B5267" w:rsidRPr="008D2FF3" w:rsidRDefault="004B5267" w:rsidP="00100CF0">
      <w:pPr>
        <w:spacing w:after="0" w:line="240" w:lineRule="auto"/>
        <w:ind w:left="720"/>
        <w:jc w:val="both"/>
        <w:rPr>
          <w:rFonts w:ascii="Times New Roman" w:eastAsia="Calibri" w:hAnsi="Times New Roman" w:cs="Times New Roman"/>
          <w:sz w:val="24"/>
          <w:szCs w:val="24"/>
        </w:rPr>
      </w:pPr>
    </w:p>
    <w:p w:rsidR="00867AA2" w:rsidRPr="008D2FF3" w:rsidRDefault="00867AA2" w:rsidP="00173F63">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rPr>
      </w:pPr>
      <w:r w:rsidRPr="008D2FF3">
        <w:rPr>
          <w:rFonts w:ascii="Times New Roman" w:eastAsia="Calibri" w:hAnsi="Times New Roman" w:cs="Times New Roman"/>
          <w:sz w:val="24"/>
          <w:szCs w:val="24"/>
        </w:rPr>
        <w:t>Where a pa</w:t>
      </w:r>
      <w:r w:rsidR="002374D7" w:rsidRPr="008D2FF3">
        <w:rPr>
          <w:rFonts w:ascii="Times New Roman" w:eastAsia="Calibri" w:hAnsi="Times New Roman" w:cs="Times New Roman"/>
          <w:sz w:val="24"/>
          <w:szCs w:val="24"/>
        </w:rPr>
        <w:t>rty seeks to have the court determine</w:t>
      </w:r>
      <w:r w:rsidRPr="008D2FF3">
        <w:rPr>
          <w:rFonts w:ascii="Times New Roman" w:eastAsia="Calibri" w:hAnsi="Times New Roman" w:cs="Times New Roman"/>
          <w:sz w:val="24"/>
          <w:szCs w:val="24"/>
        </w:rPr>
        <w:t xml:space="preserve"> an issue or defence which was never pleaded</w:t>
      </w:r>
      <w:r w:rsidR="00173F63" w:rsidRPr="008D2FF3">
        <w:rPr>
          <w:rFonts w:ascii="Times New Roman" w:eastAsia="Calibri" w:hAnsi="Times New Roman" w:cs="Times New Roman"/>
          <w:sz w:val="24"/>
          <w:szCs w:val="24"/>
        </w:rPr>
        <w:t>,</w:t>
      </w:r>
      <w:r w:rsidRPr="008D2FF3">
        <w:rPr>
          <w:rFonts w:ascii="Times New Roman" w:eastAsia="Calibri" w:hAnsi="Times New Roman" w:cs="Times New Roman"/>
          <w:sz w:val="24"/>
          <w:szCs w:val="24"/>
        </w:rPr>
        <w:t xml:space="preserve"> that party </w:t>
      </w:r>
      <w:r w:rsidR="00377AC1" w:rsidRPr="008D2FF3">
        <w:rPr>
          <w:rFonts w:ascii="Times New Roman" w:eastAsia="Calibri" w:hAnsi="Times New Roman" w:cs="Times New Roman"/>
          <w:sz w:val="24"/>
          <w:szCs w:val="24"/>
        </w:rPr>
        <w:t>m</w:t>
      </w:r>
      <w:r w:rsidR="003D5200" w:rsidRPr="008D2FF3">
        <w:rPr>
          <w:rFonts w:ascii="Times New Roman" w:eastAsia="Calibri" w:hAnsi="Times New Roman" w:cs="Times New Roman"/>
          <w:sz w:val="24"/>
          <w:szCs w:val="24"/>
        </w:rPr>
        <w:t>a</w:t>
      </w:r>
      <w:r w:rsidR="00377AC1" w:rsidRPr="008D2FF3">
        <w:rPr>
          <w:rFonts w:ascii="Times New Roman" w:eastAsia="Calibri" w:hAnsi="Times New Roman" w:cs="Times New Roman"/>
          <w:sz w:val="24"/>
          <w:szCs w:val="24"/>
        </w:rPr>
        <w:t>y only do</w:t>
      </w:r>
      <w:r w:rsidRPr="008D2FF3">
        <w:rPr>
          <w:rFonts w:ascii="Times New Roman" w:eastAsia="Calibri" w:hAnsi="Times New Roman" w:cs="Times New Roman"/>
          <w:sz w:val="24"/>
          <w:szCs w:val="24"/>
        </w:rPr>
        <w:t xml:space="preserve"> so by way of application before the court. </w:t>
      </w:r>
      <w:r w:rsidR="00E603AE" w:rsidRPr="008D2FF3">
        <w:rPr>
          <w:rFonts w:ascii="Times New Roman" w:eastAsia="Calibri" w:hAnsi="Times New Roman" w:cs="Times New Roman"/>
          <w:sz w:val="24"/>
          <w:szCs w:val="24"/>
        </w:rPr>
        <w:t xml:space="preserve">In terms of Order 20 of the High Court Rules, 1964 such application will be for an amendment of the pleadings. The appellant sought to introduce a new defence in closing submissions. This was irregular. The appellant ought to have made an application </w:t>
      </w:r>
      <w:r w:rsidR="00377AC1" w:rsidRPr="008D2FF3">
        <w:rPr>
          <w:rFonts w:ascii="Times New Roman" w:eastAsia="Calibri" w:hAnsi="Times New Roman" w:cs="Times New Roman"/>
          <w:sz w:val="24"/>
          <w:szCs w:val="24"/>
        </w:rPr>
        <w:t>to</w:t>
      </w:r>
      <w:r w:rsidR="00E603AE" w:rsidRPr="008D2FF3">
        <w:rPr>
          <w:rFonts w:ascii="Times New Roman" w:eastAsia="Calibri" w:hAnsi="Times New Roman" w:cs="Times New Roman"/>
          <w:sz w:val="24"/>
          <w:szCs w:val="24"/>
        </w:rPr>
        <w:t xml:space="preserve"> re-open its case </w:t>
      </w:r>
      <w:r w:rsidR="00377AC1" w:rsidRPr="008D2FF3">
        <w:rPr>
          <w:rFonts w:ascii="Times New Roman" w:eastAsia="Calibri" w:hAnsi="Times New Roman" w:cs="Times New Roman"/>
          <w:sz w:val="24"/>
          <w:szCs w:val="24"/>
        </w:rPr>
        <w:t xml:space="preserve">and thereafter applied to </w:t>
      </w:r>
      <w:r w:rsidR="0045119D" w:rsidRPr="008D2FF3">
        <w:rPr>
          <w:rFonts w:ascii="Times New Roman" w:eastAsia="Calibri" w:hAnsi="Times New Roman" w:cs="Times New Roman"/>
          <w:sz w:val="24"/>
          <w:szCs w:val="24"/>
        </w:rPr>
        <w:t>amend</w:t>
      </w:r>
      <w:r w:rsidR="00377AC1" w:rsidRPr="008D2FF3">
        <w:rPr>
          <w:rFonts w:ascii="Times New Roman" w:eastAsia="Calibri" w:hAnsi="Times New Roman" w:cs="Times New Roman"/>
          <w:sz w:val="24"/>
          <w:szCs w:val="24"/>
        </w:rPr>
        <w:t xml:space="preserve"> its plea and introduce</w:t>
      </w:r>
      <w:r w:rsidR="00E603AE" w:rsidRPr="008D2FF3">
        <w:rPr>
          <w:rFonts w:ascii="Times New Roman" w:eastAsia="Calibri" w:hAnsi="Times New Roman" w:cs="Times New Roman"/>
          <w:sz w:val="24"/>
          <w:szCs w:val="24"/>
        </w:rPr>
        <w:t xml:space="preserve"> the defence. The respondent would then have </w:t>
      </w:r>
      <w:r w:rsidR="00377AC1" w:rsidRPr="008D2FF3">
        <w:rPr>
          <w:rFonts w:ascii="Times New Roman" w:eastAsia="Calibri" w:hAnsi="Times New Roman" w:cs="Times New Roman"/>
          <w:sz w:val="24"/>
          <w:szCs w:val="24"/>
        </w:rPr>
        <w:t xml:space="preserve">had </w:t>
      </w:r>
      <w:r w:rsidR="00E603AE" w:rsidRPr="008D2FF3">
        <w:rPr>
          <w:rFonts w:ascii="Times New Roman" w:eastAsia="Calibri" w:hAnsi="Times New Roman" w:cs="Times New Roman"/>
          <w:sz w:val="24"/>
          <w:szCs w:val="24"/>
        </w:rPr>
        <w:t>an opportunity to address the defence raised. It was thus improper for the appellant to raise a new point o</w:t>
      </w:r>
      <w:r w:rsidR="00407510" w:rsidRPr="008D2FF3">
        <w:rPr>
          <w:rFonts w:ascii="Times New Roman" w:eastAsia="Calibri" w:hAnsi="Times New Roman" w:cs="Times New Roman"/>
          <w:sz w:val="24"/>
          <w:szCs w:val="24"/>
        </w:rPr>
        <w:t xml:space="preserve">f law at the eleventh </w:t>
      </w:r>
      <w:r w:rsidR="00E603AE" w:rsidRPr="008D2FF3">
        <w:rPr>
          <w:rFonts w:ascii="Times New Roman" w:eastAsia="Calibri" w:hAnsi="Times New Roman" w:cs="Times New Roman"/>
          <w:sz w:val="24"/>
          <w:szCs w:val="24"/>
        </w:rPr>
        <w:t xml:space="preserve">hour, which point the respondent had not been privy to and which </w:t>
      </w:r>
      <w:r w:rsidR="00377AC1" w:rsidRPr="008D2FF3">
        <w:rPr>
          <w:rFonts w:ascii="Times New Roman" w:eastAsia="Calibri" w:hAnsi="Times New Roman" w:cs="Times New Roman"/>
          <w:sz w:val="24"/>
          <w:szCs w:val="24"/>
        </w:rPr>
        <w:t>w</w:t>
      </w:r>
      <w:r w:rsidR="0045119D" w:rsidRPr="008D2FF3">
        <w:rPr>
          <w:rFonts w:ascii="Times New Roman" w:eastAsia="Calibri" w:hAnsi="Times New Roman" w:cs="Times New Roman"/>
          <w:sz w:val="24"/>
          <w:szCs w:val="24"/>
        </w:rPr>
        <w:t>ould</w:t>
      </w:r>
      <w:r w:rsidR="00377AC1" w:rsidRPr="008D2FF3">
        <w:rPr>
          <w:rFonts w:ascii="Times New Roman" w:eastAsia="Calibri" w:hAnsi="Times New Roman" w:cs="Times New Roman"/>
          <w:sz w:val="24"/>
          <w:szCs w:val="24"/>
        </w:rPr>
        <w:t xml:space="preserve"> obviously prejudice it</w:t>
      </w:r>
      <w:r w:rsidR="00E603AE" w:rsidRPr="008D2FF3">
        <w:rPr>
          <w:rFonts w:ascii="Times New Roman" w:eastAsia="Calibri" w:hAnsi="Times New Roman" w:cs="Times New Roman"/>
          <w:sz w:val="24"/>
          <w:szCs w:val="24"/>
        </w:rPr>
        <w:t xml:space="preserve">. </w:t>
      </w:r>
    </w:p>
    <w:p w:rsidR="00100CF0" w:rsidRPr="008D2FF3" w:rsidRDefault="00100CF0" w:rsidP="00100CF0">
      <w:pPr>
        <w:spacing w:before="240" w:after="0" w:line="240" w:lineRule="auto"/>
        <w:ind w:firstLine="1134"/>
        <w:jc w:val="both"/>
        <w:rPr>
          <w:rFonts w:ascii="Times New Roman" w:eastAsia="Calibri" w:hAnsi="Times New Roman" w:cs="Times New Roman"/>
          <w:sz w:val="24"/>
          <w:szCs w:val="24"/>
        </w:rPr>
      </w:pPr>
    </w:p>
    <w:p w:rsidR="00E603AE" w:rsidRPr="008D2FF3" w:rsidRDefault="00E603AE" w:rsidP="00593F4F">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rPr>
      </w:pPr>
      <w:r w:rsidRPr="008D2FF3">
        <w:rPr>
          <w:rFonts w:ascii="Times New Roman" w:eastAsia="Calibri" w:hAnsi="Times New Roman" w:cs="Times New Roman"/>
          <w:sz w:val="24"/>
          <w:szCs w:val="24"/>
        </w:rPr>
        <w:t>I</w:t>
      </w:r>
      <w:r w:rsidR="000365BC" w:rsidRPr="008D2FF3">
        <w:rPr>
          <w:rFonts w:ascii="Times New Roman" w:eastAsia="Calibri" w:hAnsi="Times New Roman" w:cs="Times New Roman"/>
          <w:sz w:val="24"/>
          <w:szCs w:val="24"/>
        </w:rPr>
        <w:t>n any event, it must not be forgotten</w:t>
      </w:r>
      <w:r w:rsidRPr="008D2FF3">
        <w:rPr>
          <w:rFonts w:ascii="Times New Roman" w:eastAsia="Calibri" w:hAnsi="Times New Roman" w:cs="Times New Roman"/>
          <w:sz w:val="24"/>
          <w:szCs w:val="24"/>
        </w:rPr>
        <w:t xml:space="preserve"> that the respondent made its claim on the basis of the os</w:t>
      </w:r>
      <w:r w:rsidR="00E86435" w:rsidRPr="008D2FF3">
        <w:rPr>
          <w:rFonts w:ascii="Times New Roman" w:eastAsia="Calibri" w:hAnsi="Times New Roman" w:cs="Times New Roman"/>
          <w:sz w:val="24"/>
          <w:szCs w:val="24"/>
        </w:rPr>
        <w:t>t</w:t>
      </w:r>
      <w:r w:rsidRPr="008D2FF3">
        <w:rPr>
          <w:rFonts w:ascii="Times New Roman" w:eastAsia="Calibri" w:hAnsi="Times New Roman" w:cs="Times New Roman"/>
          <w:sz w:val="24"/>
          <w:szCs w:val="24"/>
        </w:rPr>
        <w:t xml:space="preserve">ensible authority exercised by Mugwara. The matter before the court </w:t>
      </w:r>
      <w:r w:rsidRPr="008D2FF3">
        <w:rPr>
          <w:rFonts w:ascii="Times New Roman" w:eastAsia="Calibri" w:hAnsi="Times New Roman" w:cs="Times New Roman"/>
          <w:i/>
          <w:sz w:val="24"/>
          <w:szCs w:val="24"/>
        </w:rPr>
        <w:t>a quo</w:t>
      </w:r>
      <w:r w:rsidRPr="008D2FF3">
        <w:rPr>
          <w:rFonts w:ascii="Times New Roman" w:eastAsia="Calibri" w:hAnsi="Times New Roman" w:cs="Times New Roman"/>
          <w:sz w:val="24"/>
          <w:szCs w:val="24"/>
        </w:rPr>
        <w:t xml:space="preserve"> was thus determined on the basis of that ostensible authority. </w:t>
      </w:r>
      <w:r w:rsidR="00872185" w:rsidRPr="008D2FF3">
        <w:rPr>
          <w:rFonts w:ascii="Times New Roman" w:eastAsia="Calibri" w:hAnsi="Times New Roman" w:cs="Times New Roman"/>
          <w:sz w:val="24"/>
          <w:szCs w:val="24"/>
        </w:rPr>
        <w:t>The appellant i</w:t>
      </w:r>
      <w:r w:rsidR="00E86435" w:rsidRPr="008D2FF3">
        <w:rPr>
          <w:rFonts w:ascii="Times New Roman" w:eastAsia="Calibri" w:hAnsi="Times New Roman" w:cs="Times New Roman"/>
          <w:sz w:val="24"/>
          <w:szCs w:val="24"/>
        </w:rPr>
        <w:t>n its closing submission</w:t>
      </w:r>
      <w:r w:rsidR="00872185" w:rsidRPr="008D2FF3">
        <w:rPr>
          <w:rFonts w:ascii="Times New Roman" w:eastAsia="Calibri" w:hAnsi="Times New Roman" w:cs="Times New Roman"/>
          <w:sz w:val="24"/>
          <w:szCs w:val="24"/>
        </w:rPr>
        <w:t>s filed of record, and</w:t>
      </w:r>
      <w:r w:rsidR="00E86435" w:rsidRPr="008D2FF3">
        <w:rPr>
          <w:rFonts w:ascii="Times New Roman" w:eastAsia="Calibri" w:hAnsi="Times New Roman" w:cs="Times New Roman"/>
          <w:sz w:val="24"/>
          <w:szCs w:val="24"/>
        </w:rPr>
        <w:t xml:space="preserve"> in raising th</w:t>
      </w:r>
      <w:r w:rsidR="00872185" w:rsidRPr="008D2FF3">
        <w:rPr>
          <w:rFonts w:ascii="Times New Roman" w:eastAsia="Calibri" w:hAnsi="Times New Roman" w:cs="Times New Roman"/>
          <w:sz w:val="24"/>
          <w:szCs w:val="24"/>
        </w:rPr>
        <w:t>e defence on a new point of law, s</w:t>
      </w:r>
      <w:r w:rsidR="002374D7" w:rsidRPr="008D2FF3">
        <w:rPr>
          <w:rFonts w:ascii="Times New Roman" w:eastAsia="Calibri" w:hAnsi="Times New Roman" w:cs="Times New Roman"/>
          <w:sz w:val="24"/>
          <w:szCs w:val="24"/>
        </w:rPr>
        <w:t>howed that it was aware that the matter was to be resolved on the point of whether or not Mugwara had ostensible authority. The appellant at par</w:t>
      </w:r>
      <w:r w:rsidR="003F6DAC" w:rsidRPr="008D2FF3">
        <w:rPr>
          <w:rFonts w:ascii="Times New Roman" w:eastAsia="Calibri" w:hAnsi="Times New Roman" w:cs="Times New Roman"/>
          <w:sz w:val="24"/>
          <w:szCs w:val="24"/>
        </w:rPr>
        <w:t>a</w:t>
      </w:r>
      <w:r w:rsidR="002374D7" w:rsidRPr="008D2FF3">
        <w:rPr>
          <w:rFonts w:ascii="Times New Roman" w:eastAsia="Calibri" w:hAnsi="Times New Roman" w:cs="Times New Roman"/>
          <w:sz w:val="24"/>
          <w:szCs w:val="24"/>
        </w:rPr>
        <w:t xml:space="preserve"> </w:t>
      </w:r>
      <w:r w:rsidR="00872185" w:rsidRPr="008D2FF3">
        <w:rPr>
          <w:rFonts w:ascii="Times New Roman" w:eastAsia="Calibri" w:hAnsi="Times New Roman" w:cs="Times New Roman"/>
          <w:sz w:val="24"/>
          <w:szCs w:val="24"/>
        </w:rPr>
        <w:t xml:space="preserve">18-22 </w:t>
      </w:r>
      <w:r w:rsidR="000365BC" w:rsidRPr="008D2FF3">
        <w:rPr>
          <w:rFonts w:ascii="Times New Roman" w:eastAsia="Calibri" w:hAnsi="Times New Roman" w:cs="Times New Roman"/>
          <w:sz w:val="24"/>
          <w:szCs w:val="24"/>
        </w:rPr>
        <w:t>stated</w:t>
      </w:r>
      <w:r w:rsidR="00E86435" w:rsidRPr="008D2FF3">
        <w:rPr>
          <w:rFonts w:ascii="Times New Roman" w:eastAsia="Calibri" w:hAnsi="Times New Roman" w:cs="Times New Roman"/>
          <w:sz w:val="24"/>
          <w:szCs w:val="24"/>
        </w:rPr>
        <w:t xml:space="preserve"> the following:</w:t>
      </w:r>
    </w:p>
    <w:p w:rsidR="00E86435" w:rsidRPr="008D2FF3" w:rsidRDefault="00E86435" w:rsidP="00374287">
      <w:pPr>
        <w:spacing w:after="0" w:line="240" w:lineRule="auto"/>
        <w:ind w:left="1418"/>
        <w:jc w:val="both"/>
        <w:rPr>
          <w:rFonts w:ascii="Times New Roman" w:eastAsia="Calibri" w:hAnsi="Times New Roman" w:cs="Times New Roman"/>
          <w:sz w:val="24"/>
          <w:szCs w:val="24"/>
        </w:rPr>
      </w:pPr>
      <w:r w:rsidRPr="008D2FF3">
        <w:rPr>
          <w:rFonts w:ascii="Times New Roman" w:eastAsia="Calibri" w:hAnsi="Times New Roman" w:cs="Times New Roman"/>
          <w:sz w:val="24"/>
          <w:szCs w:val="24"/>
        </w:rPr>
        <w:t>“20. Consequently, this matter thus solely turns on whether Mr F. Mugwara was authorized to issue the guarantees or whether, in the absence of the said authority, the Second Defendant may be liable to the Plaintiff on the basis of the doctrine of ostensible authority as submitted in the Plaintiff’s closing submissions.”</w:t>
      </w:r>
    </w:p>
    <w:p w:rsidR="000365BC" w:rsidRPr="008D2FF3" w:rsidRDefault="000365BC" w:rsidP="00F87943">
      <w:pPr>
        <w:spacing w:after="0" w:line="480" w:lineRule="auto"/>
        <w:jc w:val="both"/>
        <w:rPr>
          <w:rFonts w:ascii="Times New Roman" w:eastAsia="Calibri" w:hAnsi="Times New Roman" w:cs="Times New Roman"/>
          <w:sz w:val="24"/>
          <w:szCs w:val="24"/>
          <w:lang w:val="en-ZA"/>
        </w:rPr>
      </w:pPr>
    </w:p>
    <w:p w:rsidR="00B91971" w:rsidRPr="008D2FF3" w:rsidRDefault="00B91971" w:rsidP="005A0AE8">
      <w:pPr>
        <w:spacing w:before="240" w:after="0" w:line="48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lastRenderedPageBreak/>
        <w:t xml:space="preserve">The court </w:t>
      </w:r>
      <w:r w:rsidRPr="008D2FF3">
        <w:rPr>
          <w:rFonts w:ascii="Times New Roman" w:eastAsia="Calibri" w:hAnsi="Times New Roman" w:cs="Times New Roman"/>
          <w:i/>
          <w:sz w:val="24"/>
          <w:szCs w:val="24"/>
          <w:lang w:val="en-ZA"/>
        </w:rPr>
        <w:t>a quo</w:t>
      </w:r>
      <w:r w:rsidR="00872185" w:rsidRPr="008D2FF3">
        <w:rPr>
          <w:rFonts w:ascii="Times New Roman" w:eastAsia="Calibri" w:hAnsi="Times New Roman" w:cs="Times New Roman"/>
          <w:sz w:val="24"/>
          <w:szCs w:val="24"/>
          <w:lang w:val="en-ZA"/>
        </w:rPr>
        <w:t xml:space="preserve"> though</w:t>
      </w:r>
      <w:r w:rsidRPr="008D2FF3">
        <w:rPr>
          <w:rFonts w:ascii="Times New Roman" w:eastAsia="Calibri" w:hAnsi="Times New Roman" w:cs="Times New Roman"/>
          <w:sz w:val="24"/>
          <w:szCs w:val="24"/>
          <w:lang w:val="en-ZA"/>
        </w:rPr>
        <w:t xml:space="preserve"> </w:t>
      </w:r>
      <w:r w:rsidR="00872185" w:rsidRPr="008D2FF3">
        <w:rPr>
          <w:rFonts w:ascii="Times New Roman" w:eastAsia="Calibri" w:hAnsi="Times New Roman" w:cs="Times New Roman"/>
          <w:sz w:val="24"/>
          <w:szCs w:val="24"/>
          <w:lang w:val="en-ZA"/>
        </w:rPr>
        <w:t>erroneously giving regard to an argument which had not been properly pleaded, still arrived at the correct finding as it noted as follows:</w:t>
      </w:r>
    </w:p>
    <w:p w:rsidR="00B91971" w:rsidRPr="008D2FF3" w:rsidRDefault="00B91971" w:rsidP="00374287">
      <w:pPr>
        <w:spacing w:after="0" w:line="240" w:lineRule="auto"/>
        <w:ind w:left="1276"/>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“However, in spite of the ousting by s 30 of the IDBZ Act of the provisions of the Companies Act, and any other law relating to companies; …, I find that as between himself and the Bank Mugwara had actual or implied authority to issue those guarantees. I find that as between Engen and the Bank, Mugwara had ostensible authority to issue the guarantees and to bind the Bank to third party </w:t>
      </w:r>
      <w:r w:rsidR="005179D7" w:rsidRPr="008D2FF3">
        <w:rPr>
          <w:rFonts w:ascii="Times New Roman" w:eastAsia="Calibri" w:hAnsi="Times New Roman" w:cs="Times New Roman"/>
          <w:sz w:val="24"/>
          <w:szCs w:val="24"/>
          <w:lang w:val="en-ZA"/>
        </w:rPr>
        <w:t>recipients</w:t>
      </w:r>
      <w:r w:rsidRPr="008D2FF3">
        <w:rPr>
          <w:rFonts w:ascii="Times New Roman" w:eastAsia="Calibri" w:hAnsi="Times New Roman" w:cs="Times New Roman"/>
          <w:sz w:val="24"/>
          <w:szCs w:val="24"/>
          <w:lang w:val="en-ZA"/>
        </w:rPr>
        <w:t>.”</w:t>
      </w:r>
    </w:p>
    <w:p w:rsidR="000365BC" w:rsidRPr="008D2FF3" w:rsidRDefault="000365BC" w:rsidP="00100CF0">
      <w:pPr>
        <w:spacing w:before="240" w:after="0" w:line="240" w:lineRule="auto"/>
        <w:ind w:firstLine="720"/>
        <w:jc w:val="both"/>
        <w:rPr>
          <w:rFonts w:ascii="Times New Roman" w:eastAsia="Calibri" w:hAnsi="Times New Roman" w:cs="Times New Roman"/>
          <w:sz w:val="24"/>
          <w:szCs w:val="24"/>
          <w:lang w:val="en-ZA"/>
        </w:rPr>
      </w:pPr>
    </w:p>
    <w:p w:rsidR="00872185" w:rsidRPr="008D2FF3" w:rsidRDefault="00E86435" w:rsidP="000C30D9">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The appellant was thus aware that the respondent’s claim was made on the basis of the ostensible authority whic</w:t>
      </w:r>
      <w:r w:rsidR="000365BC" w:rsidRPr="008D2FF3">
        <w:rPr>
          <w:rFonts w:ascii="Times New Roman" w:eastAsia="Calibri" w:hAnsi="Times New Roman" w:cs="Times New Roman"/>
          <w:sz w:val="24"/>
          <w:szCs w:val="24"/>
          <w:lang w:val="en-ZA"/>
        </w:rPr>
        <w:t xml:space="preserve">h had been exercised by </w:t>
      </w:r>
      <w:r w:rsidRPr="008D2FF3">
        <w:rPr>
          <w:rFonts w:ascii="Times New Roman" w:eastAsia="Calibri" w:hAnsi="Times New Roman" w:cs="Times New Roman"/>
          <w:sz w:val="24"/>
          <w:szCs w:val="24"/>
          <w:lang w:val="en-ZA"/>
        </w:rPr>
        <w:t>Mugwara</w:t>
      </w:r>
      <w:r w:rsidR="00872185" w:rsidRPr="008D2FF3">
        <w:rPr>
          <w:rFonts w:ascii="Times New Roman" w:eastAsia="Calibri" w:hAnsi="Times New Roman" w:cs="Times New Roman"/>
          <w:sz w:val="24"/>
          <w:szCs w:val="24"/>
          <w:lang w:val="en-ZA"/>
        </w:rPr>
        <w:t xml:space="preserve"> as a representative</w:t>
      </w:r>
      <w:r w:rsidR="000365BC" w:rsidRPr="008D2FF3">
        <w:rPr>
          <w:rFonts w:ascii="Times New Roman" w:eastAsia="Calibri" w:hAnsi="Times New Roman" w:cs="Times New Roman"/>
          <w:sz w:val="24"/>
          <w:szCs w:val="24"/>
          <w:lang w:val="en-ZA"/>
        </w:rPr>
        <w:t xml:space="preserve"> of the Bank</w:t>
      </w:r>
      <w:r w:rsidR="00B047E3" w:rsidRPr="008D2FF3">
        <w:rPr>
          <w:rFonts w:ascii="Times New Roman" w:eastAsia="Calibri" w:hAnsi="Times New Roman" w:cs="Times New Roman"/>
          <w:sz w:val="24"/>
          <w:szCs w:val="24"/>
          <w:lang w:val="en-ZA"/>
        </w:rPr>
        <w:t xml:space="preserve">. </w:t>
      </w:r>
    </w:p>
    <w:p w:rsidR="00F545CD" w:rsidRPr="008D2FF3" w:rsidRDefault="00F545CD" w:rsidP="00100CF0">
      <w:pPr>
        <w:spacing w:after="0" w:line="240" w:lineRule="auto"/>
        <w:ind w:firstLine="1134"/>
        <w:jc w:val="both"/>
        <w:rPr>
          <w:rFonts w:ascii="Times New Roman" w:eastAsia="Calibri" w:hAnsi="Times New Roman" w:cs="Times New Roman"/>
          <w:sz w:val="24"/>
          <w:szCs w:val="24"/>
          <w:lang w:val="en-ZA"/>
        </w:rPr>
      </w:pPr>
    </w:p>
    <w:p w:rsidR="00181485" w:rsidRPr="008D2FF3" w:rsidRDefault="00181485" w:rsidP="000C30D9">
      <w:pPr>
        <w:spacing w:before="240" w:after="0" w:line="480" w:lineRule="auto"/>
        <w:ind w:left="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matter before 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was correctly disposed of on whether or not Mugwara had ostensible authority to act on behalf of the</w:t>
      </w:r>
      <w:r w:rsidR="00B91971" w:rsidRPr="008D2FF3">
        <w:rPr>
          <w:rFonts w:ascii="Times New Roman" w:eastAsia="Calibri" w:hAnsi="Times New Roman" w:cs="Times New Roman"/>
          <w:sz w:val="24"/>
          <w:szCs w:val="24"/>
          <w:lang w:val="en-ZA"/>
        </w:rPr>
        <w:t xml:space="preserve"> appellant.</w:t>
      </w:r>
      <w:r w:rsidRPr="008D2FF3">
        <w:rPr>
          <w:rFonts w:ascii="Times New Roman" w:eastAsia="Calibri" w:hAnsi="Times New Roman" w:cs="Times New Roman"/>
          <w:sz w:val="24"/>
          <w:szCs w:val="24"/>
          <w:lang w:val="en-ZA"/>
        </w:rPr>
        <w:t xml:space="preserve"> Having found that </w:t>
      </w:r>
      <w:r w:rsidR="000365BC" w:rsidRPr="008D2FF3">
        <w:rPr>
          <w:rFonts w:ascii="Times New Roman" w:eastAsia="Calibri" w:hAnsi="Times New Roman" w:cs="Times New Roman"/>
          <w:sz w:val="24"/>
          <w:szCs w:val="24"/>
          <w:lang w:val="en-ZA"/>
        </w:rPr>
        <w:t xml:space="preserve">he </w:t>
      </w:r>
      <w:r w:rsidRPr="008D2FF3">
        <w:rPr>
          <w:rFonts w:ascii="Times New Roman" w:eastAsia="Calibri" w:hAnsi="Times New Roman" w:cs="Times New Roman"/>
          <w:sz w:val="24"/>
          <w:szCs w:val="24"/>
          <w:lang w:val="en-ZA"/>
        </w:rPr>
        <w:t>had ostensible authority to act on behalf of the appellant it thus follows that the argument</w:t>
      </w:r>
      <w:r w:rsidR="000365BC" w:rsidRPr="008D2FF3">
        <w:rPr>
          <w:rFonts w:ascii="Times New Roman" w:eastAsia="Calibri" w:hAnsi="Times New Roman" w:cs="Times New Roman"/>
          <w:sz w:val="24"/>
          <w:szCs w:val="24"/>
          <w:lang w:val="en-ZA"/>
        </w:rPr>
        <w:t>s</w:t>
      </w:r>
      <w:r w:rsidRPr="008D2FF3">
        <w:rPr>
          <w:rFonts w:ascii="Times New Roman" w:eastAsia="Calibri" w:hAnsi="Times New Roman" w:cs="Times New Roman"/>
          <w:sz w:val="24"/>
          <w:szCs w:val="24"/>
          <w:lang w:val="en-ZA"/>
        </w:rPr>
        <w:t xml:space="preserve"> raised by the appellant on the effect of the IDBZ Act on the </w:t>
      </w:r>
      <w:r w:rsidR="00F87943" w:rsidRPr="008D2FF3">
        <w:rPr>
          <w:rFonts w:ascii="Times New Roman" w:eastAsia="Calibri" w:hAnsi="Times New Roman" w:cs="Times New Roman"/>
          <w:sz w:val="24"/>
          <w:szCs w:val="24"/>
          <w:lang w:val="en-ZA"/>
        </w:rPr>
        <w:t>T</w:t>
      </w:r>
      <w:r w:rsidRPr="008D2FF3">
        <w:rPr>
          <w:rFonts w:ascii="Times New Roman" w:eastAsia="Calibri" w:hAnsi="Times New Roman" w:cs="Times New Roman"/>
          <w:sz w:val="24"/>
          <w:szCs w:val="24"/>
          <w:lang w:val="en-ZA"/>
        </w:rPr>
        <w:t xml:space="preserve">urquand </w:t>
      </w:r>
      <w:r w:rsidR="003F6DAC" w:rsidRPr="008D2FF3">
        <w:rPr>
          <w:rFonts w:ascii="Times New Roman" w:eastAsia="Calibri" w:hAnsi="Times New Roman" w:cs="Times New Roman"/>
          <w:sz w:val="24"/>
          <w:szCs w:val="24"/>
          <w:lang w:val="en-ZA"/>
        </w:rPr>
        <w:t>R</w:t>
      </w:r>
      <w:r w:rsidRPr="008D2FF3">
        <w:rPr>
          <w:rFonts w:ascii="Times New Roman" w:eastAsia="Calibri" w:hAnsi="Times New Roman" w:cs="Times New Roman"/>
          <w:sz w:val="24"/>
          <w:szCs w:val="24"/>
          <w:lang w:val="en-ZA"/>
        </w:rPr>
        <w:t>ule fall away.</w:t>
      </w:r>
    </w:p>
    <w:p w:rsidR="003F50FB" w:rsidRPr="008D2FF3" w:rsidRDefault="003F50FB" w:rsidP="00100CF0">
      <w:pPr>
        <w:spacing w:after="0" w:line="240" w:lineRule="auto"/>
        <w:ind w:firstLine="1134"/>
        <w:jc w:val="both"/>
        <w:rPr>
          <w:rFonts w:ascii="Times New Roman" w:eastAsia="Calibri" w:hAnsi="Times New Roman" w:cs="Times New Roman"/>
          <w:sz w:val="24"/>
          <w:szCs w:val="24"/>
          <w:lang w:val="en-ZA"/>
        </w:rPr>
      </w:pPr>
    </w:p>
    <w:p w:rsidR="00B91971" w:rsidRPr="008D2FF3" w:rsidRDefault="00B91971" w:rsidP="00F87943">
      <w:pPr>
        <w:spacing w:before="240" w:after="0" w:line="480" w:lineRule="auto"/>
        <w:jc w:val="both"/>
        <w:rPr>
          <w:rFonts w:ascii="Times New Roman" w:eastAsia="Calibri" w:hAnsi="Times New Roman" w:cs="Times New Roman"/>
          <w:b/>
          <w:sz w:val="24"/>
          <w:szCs w:val="24"/>
          <w:lang w:val="en-ZA"/>
        </w:rPr>
      </w:pPr>
      <w:r w:rsidRPr="008D2FF3">
        <w:rPr>
          <w:rFonts w:ascii="Times New Roman" w:eastAsia="Calibri" w:hAnsi="Times New Roman" w:cs="Times New Roman"/>
          <w:b/>
          <w:sz w:val="24"/>
          <w:szCs w:val="24"/>
          <w:lang w:val="en-ZA"/>
        </w:rPr>
        <w:t>DISPOSITION</w:t>
      </w:r>
    </w:p>
    <w:p w:rsidR="00B91971" w:rsidRPr="008D2FF3" w:rsidRDefault="00B91971" w:rsidP="00687F90">
      <w:pPr>
        <w:pStyle w:val="ListParagraph"/>
        <w:numPr>
          <w:ilvl w:val="0"/>
          <w:numId w:val="16"/>
        </w:numPr>
        <w:spacing w:before="240" w:after="0" w:line="480" w:lineRule="auto"/>
        <w:ind w:left="851" w:hanging="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court </w:t>
      </w:r>
      <w:r w:rsidRPr="008D2FF3">
        <w:rPr>
          <w:rFonts w:ascii="Times New Roman" w:eastAsia="Calibri" w:hAnsi="Times New Roman" w:cs="Times New Roman"/>
          <w:i/>
          <w:sz w:val="24"/>
          <w:szCs w:val="24"/>
          <w:lang w:val="en-ZA"/>
        </w:rPr>
        <w:t>a quo</w:t>
      </w:r>
      <w:r w:rsidRPr="008D2FF3">
        <w:rPr>
          <w:rFonts w:ascii="Times New Roman" w:eastAsia="Calibri" w:hAnsi="Times New Roman" w:cs="Times New Roman"/>
          <w:sz w:val="24"/>
          <w:szCs w:val="24"/>
          <w:lang w:val="en-ZA"/>
        </w:rPr>
        <w:t xml:space="preserve"> correctly made factual findings which</w:t>
      </w:r>
      <w:r w:rsidR="005179D7" w:rsidRPr="008D2FF3">
        <w:rPr>
          <w:rFonts w:ascii="Times New Roman" w:eastAsia="Calibri" w:hAnsi="Times New Roman" w:cs="Times New Roman"/>
          <w:sz w:val="24"/>
          <w:szCs w:val="24"/>
          <w:lang w:val="en-ZA"/>
        </w:rPr>
        <w:t xml:space="preserve"> </w:t>
      </w:r>
      <w:r w:rsidRPr="008D2FF3">
        <w:rPr>
          <w:rFonts w:ascii="Times New Roman" w:eastAsia="Calibri" w:hAnsi="Times New Roman" w:cs="Times New Roman"/>
          <w:sz w:val="24"/>
          <w:szCs w:val="24"/>
          <w:lang w:val="en-ZA"/>
        </w:rPr>
        <w:t>c</w:t>
      </w:r>
      <w:r w:rsidR="005179D7" w:rsidRPr="008D2FF3">
        <w:rPr>
          <w:rFonts w:ascii="Times New Roman" w:eastAsia="Calibri" w:hAnsi="Times New Roman" w:cs="Times New Roman"/>
          <w:sz w:val="24"/>
          <w:szCs w:val="24"/>
          <w:lang w:val="en-ZA"/>
        </w:rPr>
        <w:t>an</w:t>
      </w:r>
      <w:r w:rsidRPr="008D2FF3">
        <w:rPr>
          <w:rFonts w:ascii="Times New Roman" w:eastAsia="Calibri" w:hAnsi="Times New Roman" w:cs="Times New Roman"/>
          <w:sz w:val="24"/>
          <w:szCs w:val="24"/>
          <w:lang w:val="en-ZA"/>
        </w:rPr>
        <w:t xml:space="preserve">not be interfered with by this Court. The </w:t>
      </w:r>
      <w:r w:rsidR="00D16EA5" w:rsidRPr="008D2FF3">
        <w:rPr>
          <w:rFonts w:ascii="Times New Roman" w:eastAsia="Calibri" w:hAnsi="Times New Roman" w:cs="Times New Roman"/>
          <w:sz w:val="24"/>
          <w:szCs w:val="24"/>
          <w:lang w:val="en-ZA"/>
        </w:rPr>
        <w:t xml:space="preserve">appeal must therefore </w:t>
      </w:r>
      <w:r w:rsidR="00D20AB5" w:rsidRPr="008D2FF3">
        <w:rPr>
          <w:rFonts w:ascii="Times New Roman" w:eastAsia="Calibri" w:hAnsi="Times New Roman" w:cs="Times New Roman"/>
          <w:sz w:val="24"/>
          <w:szCs w:val="24"/>
          <w:lang w:val="en-ZA"/>
        </w:rPr>
        <w:t>fail</w:t>
      </w:r>
      <w:r w:rsidRPr="008D2FF3">
        <w:rPr>
          <w:rFonts w:ascii="Times New Roman" w:eastAsia="Calibri" w:hAnsi="Times New Roman" w:cs="Times New Roman"/>
          <w:sz w:val="24"/>
          <w:szCs w:val="24"/>
          <w:lang w:val="en-ZA"/>
        </w:rPr>
        <w:t>.  Costs are to follow the cause.</w:t>
      </w:r>
    </w:p>
    <w:p w:rsidR="00B91971" w:rsidRPr="008D2FF3" w:rsidRDefault="00B91971" w:rsidP="00100CF0">
      <w:pPr>
        <w:spacing w:before="240" w:after="0" w:line="240" w:lineRule="auto"/>
        <w:ind w:firstLine="720"/>
        <w:jc w:val="both"/>
        <w:rPr>
          <w:rFonts w:ascii="Times New Roman" w:eastAsia="Calibri" w:hAnsi="Times New Roman" w:cs="Times New Roman"/>
          <w:sz w:val="24"/>
          <w:szCs w:val="24"/>
          <w:lang w:val="en-ZA"/>
        </w:rPr>
      </w:pPr>
    </w:p>
    <w:p w:rsidR="000F4DC6" w:rsidRPr="008D2FF3" w:rsidRDefault="00B91971" w:rsidP="007D6554">
      <w:pPr>
        <w:spacing w:before="240" w:after="0" w:line="480" w:lineRule="auto"/>
        <w:ind w:firstLine="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It is a</w:t>
      </w:r>
      <w:r w:rsidR="000F4DC6" w:rsidRPr="008D2FF3">
        <w:rPr>
          <w:rFonts w:ascii="Times New Roman" w:eastAsia="Calibri" w:hAnsi="Times New Roman" w:cs="Times New Roman"/>
          <w:sz w:val="24"/>
          <w:szCs w:val="24"/>
          <w:lang w:val="en-ZA"/>
        </w:rPr>
        <w:t>ccordingly ordered as follows:-</w:t>
      </w:r>
    </w:p>
    <w:p w:rsidR="005179D7" w:rsidRPr="008D2FF3" w:rsidRDefault="00D16EA5" w:rsidP="007D6554">
      <w:pPr>
        <w:spacing w:before="240" w:after="0" w:line="480" w:lineRule="auto"/>
        <w:ind w:firstLine="851"/>
        <w:jc w:val="both"/>
        <w:rPr>
          <w:rFonts w:ascii="Times New Roman" w:eastAsia="Calibri" w:hAnsi="Times New Roman" w:cs="Times New Roman"/>
          <w:sz w:val="24"/>
          <w:szCs w:val="24"/>
          <w:lang w:val="en-ZA"/>
        </w:rPr>
      </w:pPr>
      <w:r w:rsidRPr="008D2FF3">
        <w:rPr>
          <w:rFonts w:ascii="Times New Roman" w:eastAsia="Calibri" w:hAnsi="Times New Roman" w:cs="Times New Roman"/>
          <w:sz w:val="24"/>
          <w:szCs w:val="24"/>
          <w:lang w:val="en-ZA"/>
        </w:rPr>
        <w:t xml:space="preserve">The appeal </w:t>
      </w:r>
      <w:r w:rsidR="00374287" w:rsidRPr="008D2FF3">
        <w:rPr>
          <w:rFonts w:ascii="Times New Roman" w:eastAsia="Calibri" w:hAnsi="Times New Roman" w:cs="Times New Roman"/>
          <w:sz w:val="24"/>
          <w:szCs w:val="24"/>
          <w:lang w:val="en-ZA"/>
        </w:rPr>
        <w:t xml:space="preserve">be and </w:t>
      </w:r>
      <w:r w:rsidRPr="008D2FF3">
        <w:rPr>
          <w:rFonts w:ascii="Times New Roman" w:eastAsia="Calibri" w:hAnsi="Times New Roman" w:cs="Times New Roman"/>
          <w:sz w:val="24"/>
          <w:szCs w:val="24"/>
          <w:lang w:val="en-ZA"/>
        </w:rPr>
        <w:t xml:space="preserve">is </w:t>
      </w:r>
      <w:r w:rsidR="00374287" w:rsidRPr="008D2FF3">
        <w:rPr>
          <w:rFonts w:ascii="Times New Roman" w:eastAsia="Calibri" w:hAnsi="Times New Roman" w:cs="Times New Roman"/>
          <w:sz w:val="24"/>
          <w:szCs w:val="24"/>
          <w:lang w:val="en-ZA"/>
        </w:rPr>
        <w:t xml:space="preserve">hereby </w:t>
      </w:r>
      <w:r w:rsidRPr="008D2FF3">
        <w:rPr>
          <w:rFonts w:ascii="Times New Roman" w:eastAsia="Calibri" w:hAnsi="Times New Roman" w:cs="Times New Roman"/>
          <w:sz w:val="24"/>
          <w:szCs w:val="24"/>
          <w:lang w:val="en-ZA"/>
        </w:rPr>
        <w:t xml:space="preserve">dismissed </w:t>
      </w:r>
      <w:r w:rsidR="00E83F6E" w:rsidRPr="008D2FF3">
        <w:rPr>
          <w:rFonts w:ascii="Times New Roman" w:eastAsia="Calibri" w:hAnsi="Times New Roman" w:cs="Times New Roman"/>
          <w:sz w:val="24"/>
          <w:szCs w:val="24"/>
          <w:lang w:val="en-ZA"/>
        </w:rPr>
        <w:t>with costs.</w:t>
      </w:r>
    </w:p>
    <w:p w:rsidR="00E83F6E" w:rsidRPr="008D2FF3" w:rsidRDefault="00E83F6E" w:rsidP="00F87943">
      <w:pPr>
        <w:spacing w:after="0" w:line="480" w:lineRule="auto"/>
        <w:ind w:left="720" w:firstLine="720"/>
        <w:jc w:val="both"/>
        <w:rPr>
          <w:rFonts w:ascii="Times New Roman" w:eastAsia="Calibri" w:hAnsi="Times New Roman" w:cs="Times New Roman"/>
          <w:sz w:val="24"/>
          <w:szCs w:val="24"/>
          <w:lang w:val="en-ZA"/>
        </w:rPr>
      </w:pPr>
    </w:p>
    <w:p w:rsidR="00F87943" w:rsidRPr="008D2FF3" w:rsidRDefault="00F87943" w:rsidP="00F87943">
      <w:pPr>
        <w:spacing w:after="0" w:line="480" w:lineRule="auto"/>
        <w:ind w:firstLine="1134"/>
        <w:jc w:val="both"/>
        <w:rPr>
          <w:rFonts w:ascii="Times New Roman" w:eastAsia="Calibri" w:hAnsi="Times New Roman" w:cs="Times New Roman"/>
          <w:b/>
          <w:sz w:val="24"/>
          <w:szCs w:val="24"/>
          <w:lang w:val="en-ZA"/>
        </w:rPr>
      </w:pPr>
    </w:p>
    <w:p w:rsidR="00E83F6E" w:rsidRPr="008D2FF3" w:rsidRDefault="005179D7" w:rsidP="00F87943">
      <w:pPr>
        <w:spacing w:after="0" w:line="480" w:lineRule="auto"/>
        <w:ind w:firstLine="1134"/>
        <w:jc w:val="both"/>
        <w:rPr>
          <w:rFonts w:ascii="Times New Roman" w:hAnsi="Times New Roman" w:cs="Times New Roman"/>
          <w:b/>
          <w:sz w:val="24"/>
          <w:szCs w:val="24"/>
        </w:rPr>
      </w:pPr>
      <w:r w:rsidRPr="008D2FF3">
        <w:rPr>
          <w:rFonts w:ascii="Times New Roman" w:eastAsia="Calibri" w:hAnsi="Times New Roman" w:cs="Times New Roman"/>
          <w:b/>
          <w:sz w:val="24"/>
          <w:szCs w:val="24"/>
          <w:lang w:val="en-ZA"/>
        </w:rPr>
        <w:lastRenderedPageBreak/>
        <w:t>MAVANGIRA JA</w:t>
      </w:r>
      <w:r w:rsidRPr="008D2FF3">
        <w:rPr>
          <w:rFonts w:ascii="Times New Roman" w:eastAsia="Calibri" w:hAnsi="Times New Roman" w:cs="Times New Roman"/>
          <w:sz w:val="24"/>
          <w:szCs w:val="24"/>
          <w:lang w:val="en-ZA"/>
        </w:rPr>
        <w:tab/>
      </w:r>
      <w:r w:rsidRPr="008D2FF3">
        <w:rPr>
          <w:rFonts w:ascii="Times New Roman" w:eastAsia="Calibri" w:hAnsi="Times New Roman" w:cs="Times New Roman"/>
          <w:sz w:val="24"/>
          <w:szCs w:val="24"/>
          <w:lang w:val="en-ZA"/>
        </w:rPr>
        <w:tab/>
      </w:r>
      <w:r w:rsidRPr="008D2FF3">
        <w:rPr>
          <w:rFonts w:ascii="Times New Roman" w:eastAsia="Calibri" w:hAnsi="Times New Roman" w:cs="Times New Roman"/>
          <w:sz w:val="24"/>
          <w:szCs w:val="24"/>
          <w:lang w:val="en-ZA"/>
        </w:rPr>
        <w:tab/>
      </w:r>
      <w:r w:rsidR="00E83F6E" w:rsidRPr="008D2FF3">
        <w:rPr>
          <w:rFonts w:ascii="Times New Roman" w:hAnsi="Times New Roman" w:cs="Times New Roman"/>
          <w:b/>
          <w:sz w:val="24"/>
          <w:szCs w:val="24"/>
        </w:rPr>
        <w:t>:</w:t>
      </w:r>
      <w:r w:rsidR="00E83F6E" w:rsidRPr="008D2FF3">
        <w:rPr>
          <w:rFonts w:ascii="Times New Roman" w:hAnsi="Times New Roman" w:cs="Times New Roman"/>
          <w:b/>
          <w:sz w:val="24"/>
          <w:szCs w:val="24"/>
        </w:rPr>
        <w:tab/>
      </w:r>
      <w:r w:rsidR="00E83F6E" w:rsidRPr="008D2FF3">
        <w:rPr>
          <w:rFonts w:ascii="Times New Roman" w:hAnsi="Times New Roman" w:cs="Times New Roman"/>
          <w:sz w:val="24"/>
          <w:szCs w:val="24"/>
        </w:rPr>
        <w:t>I agree</w:t>
      </w:r>
      <w:r w:rsidR="00E83F6E" w:rsidRPr="008D2FF3">
        <w:rPr>
          <w:rFonts w:ascii="Times New Roman" w:hAnsi="Times New Roman" w:cs="Times New Roman"/>
          <w:b/>
          <w:sz w:val="24"/>
          <w:szCs w:val="24"/>
        </w:rPr>
        <w:tab/>
      </w:r>
    </w:p>
    <w:p w:rsidR="00E83F6E" w:rsidRPr="008D2FF3" w:rsidRDefault="00E83F6E" w:rsidP="00F87943">
      <w:pPr>
        <w:spacing w:after="0" w:line="480" w:lineRule="auto"/>
        <w:ind w:firstLine="1134"/>
        <w:jc w:val="both"/>
        <w:rPr>
          <w:rFonts w:ascii="Times New Roman" w:hAnsi="Times New Roman" w:cs="Times New Roman"/>
          <w:b/>
          <w:sz w:val="24"/>
          <w:szCs w:val="24"/>
        </w:rPr>
      </w:pPr>
    </w:p>
    <w:p w:rsidR="00E83F6E" w:rsidRPr="008D2FF3" w:rsidRDefault="005179D7" w:rsidP="00F87943">
      <w:pPr>
        <w:spacing w:after="0" w:line="480" w:lineRule="auto"/>
        <w:ind w:firstLine="1134"/>
        <w:jc w:val="both"/>
        <w:rPr>
          <w:rFonts w:ascii="Times New Roman" w:hAnsi="Times New Roman" w:cs="Times New Roman"/>
          <w:b/>
          <w:sz w:val="24"/>
          <w:szCs w:val="24"/>
        </w:rPr>
      </w:pPr>
      <w:r w:rsidRPr="008D2FF3">
        <w:rPr>
          <w:rFonts w:ascii="Times New Roman" w:eastAsia="Calibri" w:hAnsi="Times New Roman" w:cs="Times New Roman"/>
          <w:b/>
          <w:sz w:val="24"/>
          <w:szCs w:val="24"/>
          <w:lang w:val="en-ZA"/>
        </w:rPr>
        <w:t xml:space="preserve">ZIYAMBI </w:t>
      </w:r>
      <w:r w:rsidR="000F4DC6" w:rsidRPr="008D2FF3">
        <w:rPr>
          <w:rFonts w:ascii="Times New Roman" w:eastAsia="Calibri" w:hAnsi="Times New Roman" w:cs="Times New Roman"/>
          <w:b/>
          <w:sz w:val="24"/>
          <w:szCs w:val="24"/>
          <w:lang w:val="en-ZA"/>
        </w:rPr>
        <w:t>A</w:t>
      </w:r>
      <w:r w:rsidRPr="008D2FF3">
        <w:rPr>
          <w:rFonts w:ascii="Times New Roman" w:eastAsia="Calibri" w:hAnsi="Times New Roman" w:cs="Times New Roman"/>
          <w:b/>
          <w:sz w:val="24"/>
          <w:szCs w:val="24"/>
          <w:lang w:val="en-ZA"/>
        </w:rPr>
        <w:t>JA</w:t>
      </w:r>
      <w:r w:rsidRPr="008D2FF3">
        <w:rPr>
          <w:rFonts w:ascii="Times New Roman" w:eastAsia="Calibri" w:hAnsi="Times New Roman" w:cs="Times New Roman"/>
          <w:sz w:val="24"/>
          <w:szCs w:val="24"/>
          <w:lang w:val="en-ZA"/>
        </w:rPr>
        <w:tab/>
      </w:r>
      <w:r w:rsidRPr="008D2FF3">
        <w:rPr>
          <w:rFonts w:ascii="Times New Roman" w:eastAsia="Calibri" w:hAnsi="Times New Roman" w:cs="Times New Roman"/>
          <w:sz w:val="24"/>
          <w:szCs w:val="24"/>
          <w:lang w:val="en-ZA"/>
        </w:rPr>
        <w:tab/>
      </w:r>
      <w:r w:rsidRPr="008D2FF3">
        <w:rPr>
          <w:rFonts w:ascii="Times New Roman" w:eastAsia="Calibri" w:hAnsi="Times New Roman" w:cs="Times New Roman"/>
          <w:sz w:val="24"/>
          <w:szCs w:val="24"/>
          <w:lang w:val="en-ZA"/>
        </w:rPr>
        <w:tab/>
      </w:r>
      <w:r w:rsidR="00713856">
        <w:rPr>
          <w:rFonts w:ascii="Times New Roman" w:eastAsia="Calibri" w:hAnsi="Times New Roman" w:cs="Times New Roman"/>
          <w:sz w:val="24"/>
          <w:szCs w:val="24"/>
          <w:lang w:val="en-ZA"/>
        </w:rPr>
        <w:tab/>
      </w:r>
      <w:r w:rsidR="00E83F6E" w:rsidRPr="008D2FF3">
        <w:rPr>
          <w:rFonts w:ascii="Times New Roman" w:hAnsi="Times New Roman" w:cs="Times New Roman"/>
          <w:b/>
          <w:sz w:val="24"/>
          <w:szCs w:val="24"/>
        </w:rPr>
        <w:t>:</w:t>
      </w:r>
      <w:r w:rsidR="00E83F6E" w:rsidRPr="008D2FF3">
        <w:rPr>
          <w:rFonts w:ascii="Times New Roman" w:hAnsi="Times New Roman" w:cs="Times New Roman"/>
          <w:b/>
          <w:sz w:val="24"/>
          <w:szCs w:val="24"/>
        </w:rPr>
        <w:tab/>
      </w:r>
      <w:r w:rsidR="00E83F6E" w:rsidRPr="008D2FF3">
        <w:rPr>
          <w:rFonts w:ascii="Times New Roman" w:hAnsi="Times New Roman" w:cs="Times New Roman"/>
          <w:sz w:val="24"/>
          <w:szCs w:val="24"/>
        </w:rPr>
        <w:t>I agree</w:t>
      </w:r>
      <w:r w:rsidR="00E83F6E" w:rsidRPr="008D2FF3">
        <w:rPr>
          <w:rFonts w:ascii="Times New Roman" w:hAnsi="Times New Roman" w:cs="Times New Roman"/>
          <w:b/>
          <w:sz w:val="24"/>
          <w:szCs w:val="24"/>
        </w:rPr>
        <w:tab/>
      </w:r>
    </w:p>
    <w:p w:rsidR="005179D7" w:rsidRPr="008D2FF3" w:rsidRDefault="005179D7" w:rsidP="00F87943">
      <w:pPr>
        <w:spacing w:after="0" w:line="480" w:lineRule="auto"/>
        <w:jc w:val="both"/>
        <w:rPr>
          <w:rFonts w:ascii="Times New Roman" w:eastAsia="Calibri" w:hAnsi="Times New Roman" w:cs="Times New Roman"/>
          <w:sz w:val="24"/>
          <w:szCs w:val="24"/>
          <w:lang w:val="en-ZA"/>
        </w:rPr>
      </w:pPr>
    </w:p>
    <w:p w:rsidR="005179D7" w:rsidRPr="008D2FF3" w:rsidRDefault="005179D7" w:rsidP="00374287">
      <w:pPr>
        <w:spacing w:before="240" w:after="0" w:line="480" w:lineRule="auto"/>
        <w:jc w:val="both"/>
        <w:rPr>
          <w:rFonts w:ascii="Times New Roman" w:eastAsia="Calibri" w:hAnsi="Times New Roman" w:cs="Times New Roman"/>
          <w:sz w:val="24"/>
          <w:szCs w:val="24"/>
          <w:lang w:val="en-ZA"/>
        </w:rPr>
      </w:pPr>
      <w:r w:rsidRPr="008D2FF3">
        <w:rPr>
          <w:rFonts w:ascii="Times New Roman" w:eastAsia="Calibri" w:hAnsi="Times New Roman" w:cs="Times New Roman"/>
          <w:i/>
          <w:sz w:val="24"/>
          <w:szCs w:val="24"/>
          <w:lang w:val="en-ZA"/>
        </w:rPr>
        <w:t>Kantor</w:t>
      </w:r>
      <w:r w:rsidR="00374287" w:rsidRPr="008D2FF3">
        <w:rPr>
          <w:rFonts w:ascii="Times New Roman" w:eastAsia="Calibri" w:hAnsi="Times New Roman" w:cs="Times New Roman"/>
          <w:i/>
          <w:sz w:val="24"/>
          <w:szCs w:val="24"/>
          <w:lang w:val="en-ZA"/>
        </w:rPr>
        <w:t xml:space="preserve"> </w:t>
      </w:r>
      <w:r w:rsidRPr="008D2FF3">
        <w:rPr>
          <w:rFonts w:ascii="Times New Roman" w:eastAsia="Calibri" w:hAnsi="Times New Roman" w:cs="Times New Roman"/>
          <w:i/>
          <w:sz w:val="24"/>
          <w:szCs w:val="24"/>
          <w:lang w:val="en-ZA"/>
        </w:rPr>
        <w:t>&amp; Immerman</w:t>
      </w:r>
      <w:r w:rsidRPr="008D2FF3">
        <w:rPr>
          <w:rFonts w:ascii="Times New Roman" w:eastAsia="Calibri" w:hAnsi="Times New Roman" w:cs="Times New Roman"/>
          <w:sz w:val="24"/>
          <w:szCs w:val="24"/>
          <w:lang w:val="en-ZA"/>
        </w:rPr>
        <w:t>, appellant’s legal practitioner</w:t>
      </w:r>
    </w:p>
    <w:p w:rsidR="005179D7" w:rsidRPr="008D2FF3" w:rsidRDefault="005179D7" w:rsidP="00374287">
      <w:pPr>
        <w:spacing w:before="240" w:after="0" w:line="480" w:lineRule="auto"/>
        <w:jc w:val="both"/>
        <w:rPr>
          <w:rFonts w:ascii="Times New Roman" w:eastAsia="Calibri" w:hAnsi="Times New Roman" w:cs="Times New Roman"/>
          <w:sz w:val="24"/>
          <w:szCs w:val="24"/>
          <w:lang w:val="en-ZA"/>
        </w:rPr>
      </w:pPr>
      <w:r w:rsidRPr="008D2FF3">
        <w:rPr>
          <w:rFonts w:ascii="Times New Roman" w:eastAsia="Calibri" w:hAnsi="Times New Roman" w:cs="Times New Roman"/>
          <w:i/>
          <w:sz w:val="24"/>
          <w:szCs w:val="24"/>
          <w:lang w:val="en-ZA"/>
        </w:rPr>
        <w:t>Wintertons</w:t>
      </w:r>
      <w:r w:rsidRPr="008D2FF3">
        <w:rPr>
          <w:rFonts w:ascii="Times New Roman" w:eastAsia="Calibri" w:hAnsi="Times New Roman" w:cs="Times New Roman"/>
          <w:sz w:val="24"/>
          <w:szCs w:val="24"/>
          <w:lang w:val="en-ZA"/>
        </w:rPr>
        <w:t>, respondent’s legal practitioner</w:t>
      </w:r>
    </w:p>
    <w:sectPr w:rsidR="005179D7" w:rsidRPr="008D2FF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FDA" w:rsidRDefault="00347FDA" w:rsidP="0078625B">
      <w:pPr>
        <w:spacing w:after="0" w:line="240" w:lineRule="auto"/>
      </w:pPr>
      <w:r>
        <w:separator/>
      </w:r>
    </w:p>
  </w:endnote>
  <w:endnote w:type="continuationSeparator" w:id="0">
    <w:p w:rsidR="00347FDA" w:rsidRDefault="00347FDA" w:rsidP="0078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FDA" w:rsidRDefault="00347FDA" w:rsidP="0078625B">
      <w:pPr>
        <w:spacing w:after="0" w:line="240" w:lineRule="auto"/>
      </w:pPr>
      <w:r>
        <w:separator/>
      </w:r>
    </w:p>
  </w:footnote>
  <w:footnote w:type="continuationSeparator" w:id="0">
    <w:p w:rsidR="00347FDA" w:rsidRDefault="00347FDA" w:rsidP="0078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C1D" w:rsidRPr="00AD1069" w:rsidRDefault="00921C1D" w:rsidP="00E85B9C">
    <w:pPr>
      <w:pStyle w:val="Header"/>
      <w:rPr>
        <w:rFonts w:ascii="Courier New" w:hAnsi="Courier New" w:cs="Courier New"/>
        <w:sz w:val="24"/>
        <w:szCs w:val="24"/>
      </w:rPr>
    </w:pPr>
    <w:r>
      <w:rPr>
        <w:noProof/>
        <w:lang w:eastAsia="en-ZW"/>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C1D" w:rsidRPr="009363BD" w:rsidRDefault="00921C1D" w:rsidP="00AD1069">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Judgment No. SC </w:t>
                          </w:r>
                          <w:r w:rsidR="00B531E3">
                            <w:rPr>
                              <w:rFonts w:ascii="Times New Roman" w:hAnsi="Times New Roman" w:cs="Times New Roman"/>
                              <w:b/>
                              <w:noProof/>
                              <w:sz w:val="24"/>
                              <w:szCs w:val="24"/>
                            </w:rPr>
                            <w:t>16</w:t>
                          </w:r>
                          <w:r w:rsidRPr="009363BD">
                            <w:rPr>
                              <w:rFonts w:ascii="Times New Roman" w:hAnsi="Times New Roman" w:cs="Times New Roman"/>
                              <w:b/>
                              <w:noProof/>
                              <w:sz w:val="24"/>
                              <w:szCs w:val="24"/>
                            </w:rPr>
                            <w:t>/</w:t>
                          </w:r>
                          <w:r>
                            <w:rPr>
                              <w:rFonts w:ascii="Times New Roman" w:hAnsi="Times New Roman" w:cs="Times New Roman"/>
                              <w:b/>
                              <w:noProof/>
                              <w:sz w:val="24"/>
                              <w:szCs w:val="24"/>
                            </w:rPr>
                            <w:t>20</w:t>
                          </w:r>
                        </w:p>
                        <w:p w:rsidR="00921C1D" w:rsidRPr="009363BD" w:rsidRDefault="00921C1D" w:rsidP="00AD1069">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Civil Appeal No. SC </w:t>
                          </w:r>
                          <w:r>
                            <w:rPr>
                              <w:rFonts w:ascii="Times New Roman" w:hAnsi="Times New Roman" w:cs="Times New Roman"/>
                              <w:b/>
                              <w:noProof/>
                              <w:sz w:val="24"/>
                              <w:szCs w:val="24"/>
                            </w:rPr>
                            <w:t>242</w:t>
                          </w:r>
                          <w:r w:rsidRPr="009363BD">
                            <w:rPr>
                              <w:rFonts w:ascii="Times New Roman" w:hAnsi="Times New Roman" w:cs="Times New Roman"/>
                              <w:b/>
                              <w:noProof/>
                              <w:sz w:val="24"/>
                              <w:szCs w:val="24"/>
                            </w:rPr>
                            <w:t>/1</w:t>
                          </w:r>
                          <w:r>
                            <w:rPr>
                              <w:rFonts w:ascii="Times New Roman" w:hAnsi="Times New Roman" w:cs="Times New Roman"/>
                              <w:b/>
                              <w:noProof/>
                              <w:sz w:val="24"/>
                              <w:szCs w:val="24"/>
                            </w:rPr>
                            <w:t>6</w:t>
                          </w:r>
                        </w:p>
                        <w:p w:rsidR="00921C1D" w:rsidRDefault="00921C1D">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21C1D" w:rsidRPr="009363BD" w:rsidRDefault="00921C1D" w:rsidP="00AD1069">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Judgment No. SC </w:t>
                    </w:r>
                    <w:r w:rsidR="00B531E3">
                      <w:rPr>
                        <w:rFonts w:ascii="Times New Roman" w:hAnsi="Times New Roman" w:cs="Times New Roman"/>
                        <w:b/>
                        <w:noProof/>
                        <w:sz w:val="24"/>
                        <w:szCs w:val="24"/>
                      </w:rPr>
                      <w:t>16</w:t>
                    </w:r>
                    <w:r w:rsidRPr="009363BD">
                      <w:rPr>
                        <w:rFonts w:ascii="Times New Roman" w:hAnsi="Times New Roman" w:cs="Times New Roman"/>
                        <w:b/>
                        <w:noProof/>
                        <w:sz w:val="24"/>
                        <w:szCs w:val="24"/>
                      </w:rPr>
                      <w:t>/</w:t>
                    </w:r>
                    <w:r>
                      <w:rPr>
                        <w:rFonts w:ascii="Times New Roman" w:hAnsi="Times New Roman" w:cs="Times New Roman"/>
                        <w:b/>
                        <w:noProof/>
                        <w:sz w:val="24"/>
                        <w:szCs w:val="24"/>
                      </w:rPr>
                      <w:t>20</w:t>
                    </w:r>
                  </w:p>
                  <w:p w:rsidR="00921C1D" w:rsidRPr="009363BD" w:rsidRDefault="00921C1D" w:rsidP="00AD1069">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Civil Appeal No. SC </w:t>
                    </w:r>
                    <w:r>
                      <w:rPr>
                        <w:rFonts w:ascii="Times New Roman" w:hAnsi="Times New Roman" w:cs="Times New Roman"/>
                        <w:b/>
                        <w:noProof/>
                        <w:sz w:val="24"/>
                        <w:szCs w:val="24"/>
                      </w:rPr>
                      <w:t>242</w:t>
                    </w:r>
                    <w:r w:rsidRPr="009363BD">
                      <w:rPr>
                        <w:rFonts w:ascii="Times New Roman" w:hAnsi="Times New Roman" w:cs="Times New Roman"/>
                        <w:b/>
                        <w:noProof/>
                        <w:sz w:val="24"/>
                        <w:szCs w:val="24"/>
                      </w:rPr>
                      <w:t>/1</w:t>
                    </w:r>
                    <w:r>
                      <w:rPr>
                        <w:rFonts w:ascii="Times New Roman" w:hAnsi="Times New Roman" w:cs="Times New Roman"/>
                        <w:b/>
                        <w:noProof/>
                        <w:sz w:val="24"/>
                        <w:szCs w:val="24"/>
                      </w:rPr>
                      <w:t>6</w:t>
                    </w:r>
                  </w:p>
                  <w:p w:rsidR="00921C1D" w:rsidRDefault="00921C1D">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21C1D" w:rsidRDefault="00921C1D">
                          <w:pPr>
                            <w:spacing w:after="0" w:line="240" w:lineRule="auto"/>
                            <w:rPr>
                              <w:color w:val="FFFFFF" w:themeColor="background1"/>
                            </w:rPr>
                          </w:pPr>
                          <w:r>
                            <w:fldChar w:fldCharType="begin"/>
                          </w:r>
                          <w:r>
                            <w:instrText xml:space="preserve"> PAGE   \* MERGEFORMAT </w:instrText>
                          </w:r>
                          <w:r>
                            <w:fldChar w:fldCharType="separate"/>
                          </w:r>
                          <w:r w:rsidR="00F73447" w:rsidRPr="00F7344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921C1D" w:rsidRDefault="00921C1D">
                    <w:pPr>
                      <w:spacing w:after="0" w:line="240" w:lineRule="auto"/>
                      <w:rPr>
                        <w:color w:val="FFFFFF" w:themeColor="background1"/>
                      </w:rPr>
                    </w:pPr>
                    <w:r>
                      <w:fldChar w:fldCharType="begin"/>
                    </w:r>
                    <w:r>
                      <w:instrText xml:space="preserve"> PAGE   \* MERGEFORMAT </w:instrText>
                    </w:r>
                    <w:r>
                      <w:fldChar w:fldCharType="separate"/>
                    </w:r>
                    <w:r w:rsidR="00F73447" w:rsidRPr="00F7344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F0F6D"/>
    <w:multiLevelType w:val="hybridMultilevel"/>
    <w:tmpl w:val="8B2A31DA"/>
    <w:lvl w:ilvl="0" w:tplc="E6669D50">
      <w:start w:val="3"/>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 w15:restartNumberingAfterBreak="0">
    <w:nsid w:val="1CF22BDA"/>
    <w:multiLevelType w:val="hybridMultilevel"/>
    <w:tmpl w:val="4EEACA38"/>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1FDE3A07"/>
    <w:multiLevelType w:val="hybridMultilevel"/>
    <w:tmpl w:val="F4109254"/>
    <w:lvl w:ilvl="0" w:tplc="92681B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1864FC8"/>
    <w:multiLevelType w:val="hybridMultilevel"/>
    <w:tmpl w:val="1C869D48"/>
    <w:lvl w:ilvl="0" w:tplc="30090015">
      <w:start w:val="1"/>
      <w:numFmt w:val="upp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20E2421"/>
    <w:multiLevelType w:val="hybridMultilevel"/>
    <w:tmpl w:val="C3D685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A6D6567"/>
    <w:multiLevelType w:val="multilevel"/>
    <w:tmpl w:val="D222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11C86"/>
    <w:multiLevelType w:val="hybridMultilevel"/>
    <w:tmpl w:val="C07E2F4E"/>
    <w:lvl w:ilvl="0" w:tplc="4552B0E4">
      <w:start w:val="1"/>
      <w:numFmt w:val="decimal"/>
      <w:lvlText w:val="%1."/>
      <w:lvlJc w:val="left"/>
      <w:pPr>
        <w:ind w:left="1080" w:hanging="360"/>
      </w:pPr>
      <w:rPr>
        <w:rFonts w:ascii="Times New Roman" w:eastAsia="Calibr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4085AA8"/>
    <w:multiLevelType w:val="hybridMultilevel"/>
    <w:tmpl w:val="61625EFA"/>
    <w:lvl w:ilvl="0" w:tplc="2A02D614">
      <w:start w:val="1"/>
      <w:numFmt w:val="lowerRoman"/>
      <w:lvlText w:val="(%1)"/>
      <w:lvlJc w:val="right"/>
      <w:pPr>
        <w:ind w:left="786" w:hanging="360"/>
      </w:pPr>
      <w:rPr>
        <w:rFonts w:ascii="Courier New" w:eastAsia="Calibri" w:hAnsi="Courier New" w:cs="Courier New"/>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8" w15:restartNumberingAfterBreak="0">
    <w:nsid w:val="3B7E0D58"/>
    <w:multiLevelType w:val="hybridMultilevel"/>
    <w:tmpl w:val="2C9261C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D953746"/>
    <w:multiLevelType w:val="hybridMultilevel"/>
    <w:tmpl w:val="BA061B6E"/>
    <w:lvl w:ilvl="0" w:tplc="FC829C4C">
      <w:start w:val="1"/>
      <w:numFmt w:val="decimal"/>
      <w:lvlText w:val="(%1)"/>
      <w:lvlJc w:val="left"/>
      <w:pPr>
        <w:ind w:left="1353" w:hanging="36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10" w15:restartNumberingAfterBreak="0">
    <w:nsid w:val="3FAC6A31"/>
    <w:multiLevelType w:val="hybridMultilevel"/>
    <w:tmpl w:val="1B96928E"/>
    <w:lvl w:ilvl="0" w:tplc="B5FC31A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2C75095"/>
    <w:multiLevelType w:val="hybridMultilevel"/>
    <w:tmpl w:val="1BB407EA"/>
    <w:lvl w:ilvl="0" w:tplc="116466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65D9081F"/>
    <w:multiLevelType w:val="hybridMultilevel"/>
    <w:tmpl w:val="F7B47BEE"/>
    <w:lvl w:ilvl="0" w:tplc="57A23246">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3" w15:restartNumberingAfterBreak="0">
    <w:nsid w:val="664D5B73"/>
    <w:multiLevelType w:val="multilevel"/>
    <w:tmpl w:val="30ACB73A"/>
    <w:lvl w:ilvl="0">
      <w:start w:val="1"/>
      <w:numFmt w:val="decimal"/>
      <w:lvlText w:val="%1."/>
      <w:lvlJc w:val="left"/>
      <w:pPr>
        <w:ind w:left="1080" w:hanging="360"/>
      </w:pPr>
      <w:rPr>
        <w:rFonts w:hint="default"/>
      </w:rPr>
    </w:lvl>
    <w:lvl w:ilvl="1">
      <w:start w:val="1"/>
      <w:numFmt w:val="decimal"/>
      <w:isLgl/>
      <w:lvlText w:val="%1.%2"/>
      <w:lvlJc w:val="left"/>
      <w:pPr>
        <w:ind w:left="1452" w:hanging="372"/>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6D274537"/>
    <w:multiLevelType w:val="hybridMultilevel"/>
    <w:tmpl w:val="B254F6AE"/>
    <w:lvl w:ilvl="0" w:tplc="00088D96">
      <w:start w:val="1"/>
      <w:numFmt w:val="decimal"/>
      <w:lvlText w:val="%1."/>
      <w:lvlJc w:val="left"/>
      <w:pPr>
        <w:ind w:left="644" w:hanging="360"/>
      </w:pPr>
      <w:rPr>
        <w:rFonts w:ascii="Courier New" w:eastAsia="Calibri" w:hAnsi="Courier New" w:cs="Courier New"/>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5367D0A"/>
    <w:multiLevelType w:val="hybridMultilevel"/>
    <w:tmpl w:val="C87CEF76"/>
    <w:lvl w:ilvl="0" w:tplc="0478DE88">
      <w:start w:val="2"/>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3"/>
  </w:num>
  <w:num w:numId="2">
    <w:abstractNumId w:val="9"/>
  </w:num>
  <w:num w:numId="3">
    <w:abstractNumId w:val="15"/>
  </w:num>
  <w:num w:numId="4">
    <w:abstractNumId w:val="11"/>
  </w:num>
  <w:num w:numId="5">
    <w:abstractNumId w:val="6"/>
  </w:num>
  <w:num w:numId="6">
    <w:abstractNumId w:val="2"/>
  </w:num>
  <w:num w:numId="7">
    <w:abstractNumId w:val="1"/>
  </w:num>
  <w:num w:numId="8">
    <w:abstractNumId w:val="4"/>
  </w:num>
  <w:num w:numId="9">
    <w:abstractNumId w:val="10"/>
  </w:num>
  <w:num w:numId="10">
    <w:abstractNumId w:val="12"/>
  </w:num>
  <w:num w:numId="11">
    <w:abstractNumId w:val="0"/>
  </w:num>
  <w:num w:numId="12">
    <w:abstractNumId w:val="5"/>
  </w:num>
  <w:num w:numId="13">
    <w:abstractNumId w:val="7"/>
  </w:num>
  <w:num w:numId="14">
    <w:abstractNumId w:val="3"/>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5B"/>
    <w:rsid w:val="00002F1E"/>
    <w:rsid w:val="000048BE"/>
    <w:rsid w:val="000075D9"/>
    <w:rsid w:val="00027904"/>
    <w:rsid w:val="000321AF"/>
    <w:rsid w:val="00034660"/>
    <w:rsid w:val="000365BC"/>
    <w:rsid w:val="00052CB2"/>
    <w:rsid w:val="00080D70"/>
    <w:rsid w:val="0008399B"/>
    <w:rsid w:val="000841FE"/>
    <w:rsid w:val="000861F5"/>
    <w:rsid w:val="00091BCE"/>
    <w:rsid w:val="000A7361"/>
    <w:rsid w:val="000A7C25"/>
    <w:rsid w:val="000B46A5"/>
    <w:rsid w:val="000B63EE"/>
    <w:rsid w:val="000C30D9"/>
    <w:rsid w:val="000D13E3"/>
    <w:rsid w:val="000D3B68"/>
    <w:rsid w:val="000D4B6B"/>
    <w:rsid w:val="000E3632"/>
    <w:rsid w:val="000E37B8"/>
    <w:rsid w:val="000E5159"/>
    <w:rsid w:val="000F33B9"/>
    <w:rsid w:val="000F4DC6"/>
    <w:rsid w:val="000F66ED"/>
    <w:rsid w:val="000F73D5"/>
    <w:rsid w:val="000F7C1B"/>
    <w:rsid w:val="00100CF0"/>
    <w:rsid w:val="00103AFF"/>
    <w:rsid w:val="00104AFA"/>
    <w:rsid w:val="00123D85"/>
    <w:rsid w:val="00127E15"/>
    <w:rsid w:val="00132262"/>
    <w:rsid w:val="00140B48"/>
    <w:rsid w:val="00144B06"/>
    <w:rsid w:val="00145F79"/>
    <w:rsid w:val="00152168"/>
    <w:rsid w:val="00154DEA"/>
    <w:rsid w:val="001562BD"/>
    <w:rsid w:val="001713E5"/>
    <w:rsid w:val="00173F63"/>
    <w:rsid w:val="00181485"/>
    <w:rsid w:val="00182C02"/>
    <w:rsid w:val="00184FED"/>
    <w:rsid w:val="001871BE"/>
    <w:rsid w:val="001A5508"/>
    <w:rsid w:val="001B0A3D"/>
    <w:rsid w:val="001B40CF"/>
    <w:rsid w:val="001B61CE"/>
    <w:rsid w:val="001D3CFE"/>
    <w:rsid w:val="002103FC"/>
    <w:rsid w:val="00212065"/>
    <w:rsid w:val="002123C3"/>
    <w:rsid w:val="00212AC6"/>
    <w:rsid w:val="00212F85"/>
    <w:rsid w:val="00216321"/>
    <w:rsid w:val="0021699D"/>
    <w:rsid w:val="002268BD"/>
    <w:rsid w:val="002374D7"/>
    <w:rsid w:val="0024743B"/>
    <w:rsid w:val="00255CE3"/>
    <w:rsid w:val="00282AD2"/>
    <w:rsid w:val="00285BBE"/>
    <w:rsid w:val="00286BB0"/>
    <w:rsid w:val="002952DB"/>
    <w:rsid w:val="002B284E"/>
    <w:rsid w:val="002B6377"/>
    <w:rsid w:val="002B786A"/>
    <w:rsid w:val="002D22EB"/>
    <w:rsid w:val="002D2C2C"/>
    <w:rsid w:val="002D4974"/>
    <w:rsid w:val="002F0612"/>
    <w:rsid w:val="002F41DC"/>
    <w:rsid w:val="002F61FA"/>
    <w:rsid w:val="00301C6D"/>
    <w:rsid w:val="0031298E"/>
    <w:rsid w:val="00321B74"/>
    <w:rsid w:val="003257AE"/>
    <w:rsid w:val="0034021A"/>
    <w:rsid w:val="003438F1"/>
    <w:rsid w:val="0034661E"/>
    <w:rsid w:val="00347FDA"/>
    <w:rsid w:val="00352F20"/>
    <w:rsid w:val="003561F2"/>
    <w:rsid w:val="00356CED"/>
    <w:rsid w:val="00374287"/>
    <w:rsid w:val="00377AC1"/>
    <w:rsid w:val="00381863"/>
    <w:rsid w:val="00383290"/>
    <w:rsid w:val="00385B42"/>
    <w:rsid w:val="00385F2B"/>
    <w:rsid w:val="003901B1"/>
    <w:rsid w:val="003B15F4"/>
    <w:rsid w:val="003C1776"/>
    <w:rsid w:val="003D5200"/>
    <w:rsid w:val="003E0551"/>
    <w:rsid w:val="003E2E38"/>
    <w:rsid w:val="003E761F"/>
    <w:rsid w:val="003F10D6"/>
    <w:rsid w:val="003F50FB"/>
    <w:rsid w:val="003F6DAC"/>
    <w:rsid w:val="00407510"/>
    <w:rsid w:val="0041234C"/>
    <w:rsid w:val="00412705"/>
    <w:rsid w:val="0041311A"/>
    <w:rsid w:val="0042143D"/>
    <w:rsid w:val="00426721"/>
    <w:rsid w:val="00432C19"/>
    <w:rsid w:val="00436B95"/>
    <w:rsid w:val="00446D9A"/>
    <w:rsid w:val="0045119D"/>
    <w:rsid w:val="00455D49"/>
    <w:rsid w:val="00460D73"/>
    <w:rsid w:val="004B5267"/>
    <w:rsid w:val="004C63F6"/>
    <w:rsid w:val="004D2D7C"/>
    <w:rsid w:val="004D6FF6"/>
    <w:rsid w:val="004D7A3E"/>
    <w:rsid w:val="004E231B"/>
    <w:rsid w:val="004E2362"/>
    <w:rsid w:val="004F1850"/>
    <w:rsid w:val="004F25E2"/>
    <w:rsid w:val="005179D7"/>
    <w:rsid w:val="005240E1"/>
    <w:rsid w:val="00525C54"/>
    <w:rsid w:val="00536519"/>
    <w:rsid w:val="0053713C"/>
    <w:rsid w:val="00537A52"/>
    <w:rsid w:val="005404CD"/>
    <w:rsid w:val="00546325"/>
    <w:rsid w:val="00546A1A"/>
    <w:rsid w:val="00553937"/>
    <w:rsid w:val="00556932"/>
    <w:rsid w:val="00565929"/>
    <w:rsid w:val="005753CF"/>
    <w:rsid w:val="00576CC0"/>
    <w:rsid w:val="00582969"/>
    <w:rsid w:val="00593F4F"/>
    <w:rsid w:val="005A0573"/>
    <w:rsid w:val="005A0AE8"/>
    <w:rsid w:val="005A1A10"/>
    <w:rsid w:val="005B243B"/>
    <w:rsid w:val="005B2F18"/>
    <w:rsid w:val="005B73DB"/>
    <w:rsid w:val="005C2397"/>
    <w:rsid w:val="005D19F0"/>
    <w:rsid w:val="005D2B41"/>
    <w:rsid w:val="005D5B38"/>
    <w:rsid w:val="005E0C5A"/>
    <w:rsid w:val="005F4A1A"/>
    <w:rsid w:val="0060433C"/>
    <w:rsid w:val="00616F65"/>
    <w:rsid w:val="006227F7"/>
    <w:rsid w:val="00633B0D"/>
    <w:rsid w:val="00666162"/>
    <w:rsid w:val="00670421"/>
    <w:rsid w:val="00677D61"/>
    <w:rsid w:val="006817B5"/>
    <w:rsid w:val="00687F90"/>
    <w:rsid w:val="00691BCE"/>
    <w:rsid w:val="006933E6"/>
    <w:rsid w:val="00694587"/>
    <w:rsid w:val="0069782D"/>
    <w:rsid w:val="00697980"/>
    <w:rsid w:val="006D3D05"/>
    <w:rsid w:val="006E1E72"/>
    <w:rsid w:val="006E3099"/>
    <w:rsid w:val="006E69F4"/>
    <w:rsid w:val="00702D18"/>
    <w:rsid w:val="00702DAA"/>
    <w:rsid w:val="00713856"/>
    <w:rsid w:val="007157AC"/>
    <w:rsid w:val="00717E9B"/>
    <w:rsid w:val="00722840"/>
    <w:rsid w:val="00727723"/>
    <w:rsid w:val="00732318"/>
    <w:rsid w:val="00736216"/>
    <w:rsid w:val="007379B5"/>
    <w:rsid w:val="00750119"/>
    <w:rsid w:val="00760855"/>
    <w:rsid w:val="00761101"/>
    <w:rsid w:val="00775055"/>
    <w:rsid w:val="00775E6D"/>
    <w:rsid w:val="007772CF"/>
    <w:rsid w:val="0078625B"/>
    <w:rsid w:val="00795FD2"/>
    <w:rsid w:val="007A0199"/>
    <w:rsid w:val="007C3D28"/>
    <w:rsid w:val="007D6554"/>
    <w:rsid w:val="007E04E8"/>
    <w:rsid w:val="007E2308"/>
    <w:rsid w:val="007E5E88"/>
    <w:rsid w:val="007F689B"/>
    <w:rsid w:val="0080021C"/>
    <w:rsid w:val="00805868"/>
    <w:rsid w:val="00805F7F"/>
    <w:rsid w:val="008106A5"/>
    <w:rsid w:val="00830593"/>
    <w:rsid w:val="0083122E"/>
    <w:rsid w:val="00842D13"/>
    <w:rsid w:val="00867AA2"/>
    <w:rsid w:val="00867C7B"/>
    <w:rsid w:val="00872185"/>
    <w:rsid w:val="008775ED"/>
    <w:rsid w:val="00885041"/>
    <w:rsid w:val="008965DE"/>
    <w:rsid w:val="008A1329"/>
    <w:rsid w:val="008B0FA7"/>
    <w:rsid w:val="008B29A3"/>
    <w:rsid w:val="008B5548"/>
    <w:rsid w:val="008C2D38"/>
    <w:rsid w:val="008C5C2D"/>
    <w:rsid w:val="008D2FF3"/>
    <w:rsid w:val="008D335E"/>
    <w:rsid w:val="008D6CAB"/>
    <w:rsid w:val="008E053F"/>
    <w:rsid w:val="008F0B8D"/>
    <w:rsid w:val="008F682F"/>
    <w:rsid w:val="008F7040"/>
    <w:rsid w:val="00921C1D"/>
    <w:rsid w:val="00925850"/>
    <w:rsid w:val="00927322"/>
    <w:rsid w:val="00927A16"/>
    <w:rsid w:val="00940682"/>
    <w:rsid w:val="00941164"/>
    <w:rsid w:val="00944B7D"/>
    <w:rsid w:val="00945531"/>
    <w:rsid w:val="009548DB"/>
    <w:rsid w:val="009615DA"/>
    <w:rsid w:val="00967ADB"/>
    <w:rsid w:val="00972025"/>
    <w:rsid w:val="009801DE"/>
    <w:rsid w:val="009971EA"/>
    <w:rsid w:val="009C4153"/>
    <w:rsid w:val="009E2A61"/>
    <w:rsid w:val="009F0380"/>
    <w:rsid w:val="009F7B97"/>
    <w:rsid w:val="00A006ED"/>
    <w:rsid w:val="00A108AA"/>
    <w:rsid w:val="00A10C83"/>
    <w:rsid w:val="00A10F47"/>
    <w:rsid w:val="00A1460C"/>
    <w:rsid w:val="00A21219"/>
    <w:rsid w:val="00A25A87"/>
    <w:rsid w:val="00A26744"/>
    <w:rsid w:val="00A3420D"/>
    <w:rsid w:val="00A3467D"/>
    <w:rsid w:val="00A4268B"/>
    <w:rsid w:val="00A679C7"/>
    <w:rsid w:val="00A705B3"/>
    <w:rsid w:val="00A72189"/>
    <w:rsid w:val="00A759D7"/>
    <w:rsid w:val="00A81B9B"/>
    <w:rsid w:val="00A85686"/>
    <w:rsid w:val="00A85C66"/>
    <w:rsid w:val="00A96FB0"/>
    <w:rsid w:val="00AA5B07"/>
    <w:rsid w:val="00AD1069"/>
    <w:rsid w:val="00AD6813"/>
    <w:rsid w:val="00AE0AA9"/>
    <w:rsid w:val="00AE42EB"/>
    <w:rsid w:val="00AE74BD"/>
    <w:rsid w:val="00AE7A0C"/>
    <w:rsid w:val="00B00BEC"/>
    <w:rsid w:val="00B025E3"/>
    <w:rsid w:val="00B047E3"/>
    <w:rsid w:val="00B11F87"/>
    <w:rsid w:val="00B16B74"/>
    <w:rsid w:val="00B321C3"/>
    <w:rsid w:val="00B41760"/>
    <w:rsid w:val="00B52794"/>
    <w:rsid w:val="00B531E3"/>
    <w:rsid w:val="00B54042"/>
    <w:rsid w:val="00B715F0"/>
    <w:rsid w:val="00B86B4F"/>
    <w:rsid w:val="00B90411"/>
    <w:rsid w:val="00B91971"/>
    <w:rsid w:val="00B953BC"/>
    <w:rsid w:val="00B9619B"/>
    <w:rsid w:val="00BA0F9D"/>
    <w:rsid w:val="00BB5895"/>
    <w:rsid w:val="00BD1272"/>
    <w:rsid w:val="00BD1373"/>
    <w:rsid w:val="00BF07A7"/>
    <w:rsid w:val="00BF661E"/>
    <w:rsid w:val="00C0637D"/>
    <w:rsid w:val="00C11CFC"/>
    <w:rsid w:val="00C12C80"/>
    <w:rsid w:val="00C15B71"/>
    <w:rsid w:val="00C174AE"/>
    <w:rsid w:val="00C20AC7"/>
    <w:rsid w:val="00C23AAA"/>
    <w:rsid w:val="00C42B39"/>
    <w:rsid w:val="00C443E3"/>
    <w:rsid w:val="00C466E3"/>
    <w:rsid w:val="00C52287"/>
    <w:rsid w:val="00C53A6D"/>
    <w:rsid w:val="00C5466F"/>
    <w:rsid w:val="00C64E74"/>
    <w:rsid w:val="00C75120"/>
    <w:rsid w:val="00C76290"/>
    <w:rsid w:val="00C87DA4"/>
    <w:rsid w:val="00C91881"/>
    <w:rsid w:val="00CC1143"/>
    <w:rsid w:val="00CD36DE"/>
    <w:rsid w:val="00CF2031"/>
    <w:rsid w:val="00CF2762"/>
    <w:rsid w:val="00D16EA5"/>
    <w:rsid w:val="00D20AB5"/>
    <w:rsid w:val="00D434AB"/>
    <w:rsid w:val="00D52487"/>
    <w:rsid w:val="00D56B70"/>
    <w:rsid w:val="00D6072C"/>
    <w:rsid w:val="00D60F22"/>
    <w:rsid w:val="00D70A02"/>
    <w:rsid w:val="00DC1033"/>
    <w:rsid w:val="00DC28B6"/>
    <w:rsid w:val="00DC3790"/>
    <w:rsid w:val="00DD2109"/>
    <w:rsid w:val="00DD275B"/>
    <w:rsid w:val="00DD5043"/>
    <w:rsid w:val="00DD65CF"/>
    <w:rsid w:val="00DD7623"/>
    <w:rsid w:val="00DE3A47"/>
    <w:rsid w:val="00E0042D"/>
    <w:rsid w:val="00E04520"/>
    <w:rsid w:val="00E2112A"/>
    <w:rsid w:val="00E44099"/>
    <w:rsid w:val="00E516D2"/>
    <w:rsid w:val="00E603AE"/>
    <w:rsid w:val="00E7324C"/>
    <w:rsid w:val="00E75704"/>
    <w:rsid w:val="00E7684A"/>
    <w:rsid w:val="00E83F6E"/>
    <w:rsid w:val="00E85B9C"/>
    <w:rsid w:val="00E86435"/>
    <w:rsid w:val="00E94C5A"/>
    <w:rsid w:val="00E962BA"/>
    <w:rsid w:val="00EA7066"/>
    <w:rsid w:val="00EA7470"/>
    <w:rsid w:val="00EC59C2"/>
    <w:rsid w:val="00EC7AC3"/>
    <w:rsid w:val="00ED0BFB"/>
    <w:rsid w:val="00EE17E4"/>
    <w:rsid w:val="00EF6A69"/>
    <w:rsid w:val="00F04089"/>
    <w:rsid w:val="00F150E5"/>
    <w:rsid w:val="00F35063"/>
    <w:rsid w:val="00F36116"/>
    <w:rsid w:val="00F36E31"/>
    <w:rsid w:val="00F521AC"/>
    <w:rsid w:val="00F537B5"/>
    <w:rsid w:val="00F545CD"/>
    <w:rsid w:val="00F67682"/>
    <w:rsid w:val="00F71FE5"/>
    <w:rsid w:val="00F73447"/>
    <w:rsid w:val="00F7767B"/>
    <w:rsid w:val="00F87943"/>
    <w:rsid w:val="00F912CF"/>
    <w:rsid w:val="00F92BB7"/>
    <w:rsid w:val="00F945DF"/>
    <w:rsid w:val="00FA4BC4"/>
    <w:rsid w:val="00FB45F6"/>
    <w:rsid w:val="00FD1638"/>
    <w:rsid w:val="00FD21E6"/>
    <w:rsid w:val="00FD605E"/>
    <w:rsid w:val="00FE1663"/>
    <w:rsid w:val="00FF5782"/>
    <w:rsid w:val="00FF60A6"/>
    <w:rsid w:val="00FF72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926CA7-2CB0-4936-BA93-EF319625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25B"/>
  </w:style>
  <w:style w:type="paragraph" w:styleId="Footer">
    <w:name w:val="footer"/>
    <w:basedOn w:val="Normal"/>
    <w:link w:val="FooterChar"/>
    <w:uiPriority w:val="99"/>
    <w:unhideWhenUsed/>
    <w:rsid w:val="00786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25B"/>
  </w:style>
  <w:style w:type="paragraph" w:styleId="ListParagraph">
    <w:name w:val="List Paragraph"/>
    <w:basedOn w:val="Normal"/>
    <w:uiPriority w:val="34"/>
    <w:qFormat/>
    <w:rsid w:val="0078625B"/>
    <w:pPr>
      <w:ind w:left="720"/>
      <w:contextualSpacing/>
    </w:pPr>
  </w:style>
  <w:style w:type="paragraph" w:styleId="FootnoteText">
    <w:name w:val="footnote text"/>
    <w:basedOn w:val="Normal"/>
    <w:link w:val="FootnoteTextChar"/>
    <w:uiPriority w:val="99"/>
    <w:semiHidden/>
    <w:unhideWhenUsed/>
    <w:rsid w:val="00032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21AF"/>
    <w:rPr>
      <w:sz w:val="20"/>
      <w:szCs w:val="20"/>
    </w:rPr>
  </w:style>
  <w:style w:type="character" w:styleId="FootnoteReference">
    <w:name w:val="footnote reference"/>
    <w:uiPriority w:val="99"/>
    <w:semiHidden/>
    <w:unhideWhenUsed/>
    <w:rsid w:val="000321AF"/>
    <w:rPr>
      <w:vertAlign w:val="superscript"/>
    </w:rPr>
  </w:style>
  <w:style w:type="character" w:styleId="Emphasis">
    <w:name w:val="Emphasis"/>
    <w:basedOn w:val="DefaultParagraphFont"/>
    <w:uiPriority w:val="20"/>
    <w:qFormat/>
    <w:rsid w:val="000321AF"/>
    <w:rPr>
      <w:i/>
      <w:iCs/>
    </w:rPr>
  </w:style>
  <w:style w:type="paragraph" w:styleId="NormalWeb">
    <w:name w:val="Normal (Web)"/>
    <w:basedOn w:val="Normal"/>
    <w:uiPriority w:val="99"/>
    <w:semiHidden/>
    <w:unhideWhenUsed/>
    <w:rsid w:val="00805F7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02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18"/>
    <w:rPr>
      <w:rFonts w:ascii="Segoe UI" w:hAnsi="Segoe UI" w:cs="Segoe UI"/>
      <w:sz w:val="18"/>
      <w:szCs w:val="18"/>
    </w:rPr>
  </w:style>
  <w:style w:type="paragraph" w:styleId="NoSpacing">
    <w:name w:val="No Spacing"/>
    <w:uiPriority w:val="1"/>
    <w:qFormat/>
    <w:rsid w:val="00694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51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9E26-056A-4612-82C8-E38EB03F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5511</Words>
  <Characters>31419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cp:lastPrinted>2020-01-23T07:15:00Z</cp:lastPrinted>
  <dcterms:created xsi:type="dcterms:W3CDTF">2020-05-14T09:01:00Z</dcterms:created>
  <dcterms:modified xsi:type="dcterms:W3CDTF">2020-05-14T09:01:00Z</dcterms:modified>
</cp:coreProperties>
</file>