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4C7F88" w:rsidRDefault="00C748C9" w:rsidP="004C7F88">
      <w:pPr>
        <w:pStyle w:val="NoSpacing"/>
        <w:jc w:val="both"/>
        <w:rPr>
          <w:b/>
          <w:szCs w:val="24"/>
        </w:rPr>
      </w:pPr>
      <w:r w:rsidRPr="004C7F88">
        <w:rPr>
          <w:b/>
          <w:szCs w:val="24"/>
        </w:rPr>
        <w:t>ILASHA MINING (PVT) LTD</w:t>
      </w: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  <w:r w:rsidRPr="004C7F88">
        <w:rPr>
          <w:b/>
          <w:szCs w:val="24"/>
        </w:rPr>
        <w:t>Versus</w:t>
      </w: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  <w:r w:rsidRPr="004C7F88">
        <w:rPr>
          <w:b/>
          <w:szCs w:val="24"/>
        </w:rPr>
        <w:t>YATAKALA TRADING (PVT) LTD</w:t>
      </w: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szCs w:val="24"/>
        </w:rPr>
        <w:t>IN THE HIGH COURT OF ZIMBABWE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szCs w:val="24"/>
        </w:rPr>
        <w:t>MOYO J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szCs w:val="24"/>
        </w:rPr>
        <w:t xml:space="preserve">BULAWAYO 6 MARCH &amp; </w:t>
      </w:r>
      <w:r w:rsidR="00624BD1">
        <w:rPr>
          <w:szCs w:val="24"/>
        </w:rPr>
        <w:t>4 JUNE</w:t>
      </w:r>
      <w:r w:rsidRPr="004C7F88">
        <w:rPr>
          <w:szCs w:val="24"/>
        </w:rPr>
        <w:t xml:space="preserve"> 2020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  <w:r w:rsidRPr="004C7F88">
        <w:rPr>
          <w:b/>
          <w:szCs w:val="24"/>
        </w:rPr>
        <w:t>Urgent Chamber Application</w:t>
      </w:r>
    </w:p>
    <w:p w:rsidR="00C748C9" w:rsidRPr="004C7F88" w:rsidRDefault="00C748C9" w:rsidP="004C7F88">
      <w:pPr>
        <w:pStyle w:val="NoSpacing"/>
        <w:jc w:val="both"/>
        <w:rPr>
          <w:b/>
          <w:szCs w:val="24"/>
        </w:rPr>
      </w:pP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i/>
          <w:szCs w:val="24"/>
        </w:rPr>
        <w:t>Advocate S. Siziba</w:t>
      </w:r>
      <w:r w:rsidRPr="004C7F88">
        <w:rPr>
          <w:szCs w:val="24"/>
        </w:rPr>
        <w:t xml:space="preserve"> for the applicant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i/>
          <w:szCs w:val="24"/>
        </w:rPr>
        <w:t>M. Mangena</w:t>
      </w:r>
      <w:r w:rsidRPr="004C7F88">
        <w:rPr>
          <w:szCs w:val="24"/>
        </w:rPr>
        <w:t xml:space="preserve"> for the respondent</w:t>
      </w:r>
    </w:p>
    <w:p w:rsidR="00C748C9" w:rsidRPr="004C7F88" w:rsidRDefault="00C748C9" w:rsidP="004C7F88">
      <w:pPr>
        <w:jc w:val="both"/>
        <w:rPr>
          <w:szCs w:val="24"/>
        </w:rPr>
      </w:pPr>
      <w:r w:rsidRPr="004C7F88">
        <w:rPr>
          <w:szCs w:val="24"/>
        </w:rPr>
        <w:tab/>
      </w:r>
      <w:r w:rsidRPr="004C7F88">
        <w:rPr>
          <w:b/>
          <w:szCs w:val="24"/>
        </w:rPr>
        <w:t>MOYO J:</w:t>
      </w:r>
      <w:r w:rsidRPr="004C7F88">
        <w:rPr>
          <w:b/>
          <w:szCs w:val="24"/>
        </w:rPr>
        <w:tab/>
      </w:r>
      <w:r w:rsidRPr="004C7F88">
        <w:rPr>
          <w:szCs w:val="24"/>
        </w:rPr>
        <w:t>In this matter, the applicant seeks the following interim relief: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  <w:r w:rsidRPr="004C7F88">
        <w:rPr>
          <w:szCs w:val="24"/>
        </w:rPr>
        <w:tab/>
        <w:t>“It is hereby ordered that: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</w:p>
    <w:p w:rsidR="00C748C9" w:rsidRPr="004C7F88" w:rsidRDefault="00C748C9" w:rsidP="004C7F88">
      <w:pPr>
        <w:pStyle w:val="NoSpacing"/>
        <w:numPr>
          <w:ilvl w:val="0"/>
          <w:numId w:val="1"/>
        </w:numPr>
        <w:jc w:val="both"/>
        <w:rPr>
          <w:szCs w:val="24"/>
        </w:rPr>
      </w:pPr>
      <w:r w:rsidRPr="004C7F88">
        <w:rPr>
          <w:szCs w:val="24"/>
        </w:rPr>
        <w:t>Applicant be and is hereby granted leave to execute the judgment of this court in HC 2680/19 notwithstanding the appeal filed by the respondent to the Supreme Court.</w:t>
      </w:r>
    </w:p>
    <w:p w:rsidR="00C748C9" w:rsidRPr="004C7F88" w:rsidRDefault="00C748C9" w:rsidP="004C7F88">
      <w:pPr>
        <w:pStyle w:val="NoSpacing"/>
        <w:numPr>
          <w:ilvl w:val="0"/>
          <w:numId w:val="1"/>
        </w:numPr>
        <w:jc w:val="both"/>
        <w:rPr>
          <w:szCs w:val="24"/>
        </w:rPr>
      </w:pPr>
      <w:r w:rsidRPr="004C7F88">
        <w:rPr>
          <w:szCs w:val="24"/>
        </w:rPr>
        <w:t>The respondent to pay the applicant’s costs of suit on a legal practitioner and client scale.”</w:t>
      </w:r>
    </w:p>
    <w:p w:rsidR="00C748C9" w:rsidRPr="004C7F88" w:rsidRDefault="00C748C9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>The facts of the matter are that applicant was on 23 January 2020 granted interim relief under HC 2680/19 in the form of a mandatory interdict compelling the respondent forthwith to release certain mining equipment and consumables to applicant against payment of storage charges.</w:t>
      </w:r>
      <w:r w:rsidR="00655CBE" w:rsidRPr="004C7F88">
        <w:rPr>
          <w:szCs w:val="24"/>
        </w:rPr>
        <w:t>. Respondent then noted an appeal against that judgment on 24 January 2020 under SC-07-20 and the effect of the appeal is to suspend the operation of the judgment of this honourable court.</w:t>
      </w:r>
    </w:p>
    <w:p w:rsidR="00655CBE" w:rsidRPr="004C7F88" w:rsidRDefault="00655CBE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 xml:space="preserve">At the hearing of the matter, the respondent raised a number of points </w:t>
      </w:r>
      <w:r w:rsidRPr="004C7F88">
        <w:rPr>
          <w:i/>
          <w:szCs w:val="24"/>
        </w:rPr>
        <w:t>in limine</w:t>
      </w:r>
      <w:r w:rsidRPr="004C7F88">
        <w:rPr>
          <w:szCs w:val="24"/>
        </w:rPr>
        <w:t xml:space="preserve"> the fir</w:t>
      </w:r>
      <w:r w:rsidR="001956CB" w:rsidRPr="004C7F88">
        <w:rPr>
          <w:szCs w:val="24"/>
        </w:rPr>
        <w:t>s</w:t>
      </w:r>
      <w:r w:rsidRPr="004C7F88">
        <w:rPr>
          <w:szCs w:val="24"/>
        </w:rPr>
        <w:t xml:space="preserve">t one being that the matter is not urgent as applicant had obligations to fulfill contractually to </w:t>
      </w:r>
      <w:r w:rsidR="001956CB" w:rsidRPr="004C7F88">
        <w:rPr>
          <w:szCs w:val="24"/>
        </w:rPr>
        <w:t xml:space="preserve">Fidelity Printers and had </w:t>
      </w:r>
      <w:r w:rsidR="00D32736" w:rsidRPr="004C7F88">
        <w:rPr>
          <w:szCs w:val="24"/>
        </w:rPr>
        <w:t>always known that it was in breach dating back to July 2019.  Respondent’s counsel argued that the consequences of breach could not formulate t</w:t>
      </w:r>
      <w:r w:rsidR="004C7F88" w:rsidRPr="004C7F88">
        <w:rPr>
          <w:szCs w:val="24"/>
        </w:rPr>
        <w:t>h</w:t>
      </w:r>
      <w:r w:rsidR="00D32736" w:rsidRPr="004C7F88">
        <w:rPr>
          <w:szCs w:val="24"/>
        </w:rPr>
        <w:t>e basis for urgency.</w:t>
      </w:r>
    </w:p>
    <w:p w:rsidR="00D32736" w:rsidRPr="004C7F88" w:rsidRDefault="00D32736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lastRenderedPageBreak/>
        <w:t>The 2</w:t>
      </w:r>
      <w:r w:rsidRPr="004C7F88">
        <w:rPr>
          <w:szCs w:val="24"/>
          <w:vertAlign w:val="superscript"/>
        </w:rPr>
        <w:t>nd</w:t>
      </w:r>
      <w:r w:rsidRPr="004C7F88">
        <w:rPr>
          <w:szCs w:val="24"/>
        </w:rPr>
        <w:t xml:space="preserve"> point was that the certificate of urgency itself was copied and pasted from another application previously filed by the applicant in HC 201/20 and that specifically paragraphs 1, (c), (d), (h) and paragraph 2 were a duplicate from that application.</w:t>
      </w:r>
    </w:p>
    <w:p w:rsidR="00624BD1" w:rsidRDefault="00D32736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>The 3</w:t>
      </w:r>
      <w:r w:rsidRPr="004C7F88">
        <w:rPr>
          <w:szCs w:val="24"/>
          <w:vertAlign w:val="superscript"/>
        </w:rPr>
        <w:t>rd</w:t>
      </w:r>
      <w:r w:rsidRPr="004C7F88">
        <w:rPr>
          <w:szCs w:val="24"/>
        </w:rPr>
        <w:t xml:space="preserve"> point </w:t>
      </w:r>
      <w:r w:rsidRPr="004C7F88">
        <w:rPr>
          <w:i/>
          <w:szCs w:val="24"/>
        </w:rPr>
        <w:t>in limine</w:t>
      </w:r>
      <w:r w:rsidRPr="004C7F88">
        <w:rPr>
          <w:szCs w:val="24"/>
        </w:rPr>
        <w:t xml:space="preserve"> was that of material non-disclosure as the relief sought has been previously sought in HC 201</w:t>
      </w:r>
      <w:r w:rsidR="00624BD1">
        <w:rPr>
          <w:szCs w:val="24"/>
        </w:rPr>
        <w:t>/</w:t>
      </w:r>
      <w:r w:rsidRPr="004C7F88">
        <w:rPr>
          <w:szCs w:val="24"/>
        </w:rPr>
        <w:t xml:space="preserve">20 </w:t>
      </w:r>
      <w:r w:rsidR="00624BD1">
        <w:rPr>
          <w:szCs w:val="24"/>
        </w:rPr>
        <w:t xml:space="preserve">wherein </w:t>
      </w:r>
      <w:r w:rsidRPr="004C7F88">
        <w:rPr>
          <w:szCs w:val="24"/>
        </w:rPr>
        <w:t>th</w:t>
      </w:r>
      <w:r w:rsidR="00624BD1">
        <w:rPr>
          <w:szCs w:val="24"/>
        </w:rPr>
        <w:t>is</w:t>
      </w:r>
      <w:r w:rsidRPr="004C7F88">
        <w:rPr>
          <w:szCs w:val="24"/>
        </w:rPr>
        <w:t xml:space="preserve"> honourable court found that the matter is not urgent.  1</w:t>
      </w:r>
      <w:r w:rsidRPr="004C7F88">
        <w:rPr>
          <w:szCs w:val="24"/>
          <w:vertAlign w:val="superscript"/>
        </w:rPr>
        <w:t>st</w:t>
      </w:r>
      <w:r w:rsidRPr="004C7F88">
        <w:rPr>
          <w:szCs w:val="24"/>
        </w:rPr>
        <w:t xml:space="preserve"> respondent’s counsel argued that the current application and the relief sought as well as the previous application and the relief sought therein are substantially similar.  The 1</w:t>
      </w:r>
      <w:r w:rsidRPr="004C7F88">
        <w:rPr>
          <w:szCs w:val="24"/>
          <w:vertAlign w:val="superscript"/>
        </w:rPr>
        <w:t>st</w:t>
      </w:r>
      <w:r w:rsidRPr="004C7F88">
        <w:rPr>
          <w:szCs w:val="24"/>
        </w:rPr>
        <w:t xml:space="preserve"> respondent also submitted that the matter stand</w:t>
      </w:r>
      <w:r w:rsidR="00624BD1">
        <w:rPr>
          <w:szCs w:val="24"/>
        </w:rPr>
        <w:t>s</w:t>
      </w:r>
      <w:r w:rsidRPr="004C7F88">
        <w:rPr>
          <w:szCs w:val="24"/>
        </w:rPr>
        <w:t xml:space="preserve"> decided in HC 201/2</w:t>
      </w:r>
      <w:r w:rsidR="00624BD1">
        <w:rPr>
          <w:szCs w:val="24"/>
        </w:rPr>
        <w:t>0</w:t>
      </w:r>
      <w:r w:rsidRPr="004C7F88">
        <w:rPr>
          <w:szCs w:val="24"/>
        </w:rPr>
        <w:t xml:space="preserve"> and is therefore </w:t>
      </w:r>
      <w:r w:rsidRPr="004C7F88">
        <w:rPr>
          <w:i/>
          <w:szCs w:val="24"/>
        </w:rPr>
        <w:t>res judicata</w:t>
      </w:r>
      <w:r w:rsidRPr="004C7F88">
        <w:rPr>
          <w:szCs w:val="24"/>
        </w:rPr>
        <w:t>.  1</w:t>
      </w:r>
      <w:r w:rsidRPr="004C7F88">
        <w:rPr>
          <w:szCs w:val="24"/>
          <w:vertAlign w:val="superscript"/>
        </w:rPr>
        <w:t>st</w:t>
      </w:r>
      <w:r w:rsidRPr="004C7F88">
        <w:rPr>
          <w:szCs w:val="24"/>
        </w:rPr>
        <w:t xml:space="preserve"> respondent’s counsel also prayed for costs at a punitive scale citing that applicant should have been candid and open </w:t>
      </w:r>
      <w:r w:rsidR="00624BD1">
        <w:rPr>
          <w:szCs w:val="24"/>
        </w:rPr>
        <w:t>with</w:t>
      </w:r>
      <w:r w:rsidRPr="004C7F88">
        <w:rPr>
          <w:szCs w:val="24"/>
        </w:rPr>
        <w:t xml:space="preserve"> the court.  Applicant’s counsel argued that the letter of demand by Fidelity Printers brought the application within the ambit of urgency and that it was a break from the circumstances surrounding the 1</w:t>
      </w:r>
      <w:r w:rsidRPr="004C7F88">
        <w:rPr>
          <w:szCs w:val="24"/>
          <w:vertAlign w:val="superscript"/>
        </w:rPr>
        <w:t>st</w:t>
      </w:r>
      <w:r w:rsidRPr="004C7F88">
        <w:rPr>
          <w:szCs w:val="24"/>
        </w:rPr>
        <w:t xml:space="preserve"> application.  Applicant’s counsel argued that when HC 201/20 was filed applicant was already in breach but it had not been put on terms to remedy its breach  He also argued that on that</w:t>
      </w:r>
      <w:r w:rsidR="00526AE1" w:rsidRPr="004C7F88">
        <w:rPr>
          <w:szCs w:val="24"/>
        </w:rPr>
        <w:t xml:space="preserve"> basis the matter was therefore not </w:t>
      </w:r>
      <w:r w:rsidR="00526AE1" w:rsidRPr="004C7F88">
        <w:rPr>
          <w:i/>
          <w:szCs w:val="24"/>
        </w:rPr>
        <w:t>res judicata</w:t>
      </w:r>
      <w:r w:rsidR="00526AE1" w:rsidRPr="004C7F88">
        <w:rPr>
          <w:szCs w:val="24"/>
        </w:rPr>
        <w:t xml:space="preserve">.  He further submitted that the issue of material non-disclosure also falls away on the same basis.  He submitted that the reasons for urgency were now different from the ones in HC 201/20.  </w:t>
      </w:r>
    </w:p>
    <w:p w:rsidR="00D32736" w:rsidRPr="004C7F88" w:rsidRDefault="00526AE1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>I have read HC 201/20 and I</w:t>
      </w:r>
      <w:r w:rsidR="004C7F88" w:rsidRPr="004C7F88">
        <w:rPr>
          <w:szCs w:val="24"/>
        </w:rPr>
        <w:t xml:space="preserve"> </w:t>
      </w:r>
      <w:r w:rsidRPr="004C7F88">
        <w:rPr>
          <w:szCs w:val="24"/>
        </w:rPr>
        <w:t xml:space="preserve">hold the view that it is indeed substantially similar to the current application and the relief sought is also similar save for the aspect of the letter from Fidelity Printers.  I hold the view that the 2 applications being substantially similar and seeking the same relief, applicant did have a duty to disclose to this court the facts and circumstances surrounding the filing of HC 201/20 as well as its referral to the non-urgent roll.  To quietly sneak a substantially similar application with one additional fact and term </w:t>
      </w:r>
      <w:r w:rsidR="00624BD1">
        <w:rPr>
          <w:szCs w:val="24"/>
        </w:rPr>
        <w:t>it</w:t>
      </w:r>
      <w:r w:rsidRPr="004C7F88">
        <w:rPr>
          <w:szCs w:val="24"/>
        </w:rPr>
        <w:t xml:space="preserve"> a different matter altogether is </w:t>
      </w:r>
      <w:r w:rsidR="004C7F88" w:rsidRPr="004C7F88">
        <w:rPr>
          <w:szCs w:val="24"/>
        </w:rPr>
        <w:t>n</w:t>
      </w:r>
      <w:r w:rsidRPr="004C7F88">
        <w:rPr>
          <w:szCs w:val="24"/>
        </w:rPr>
        <w:t>ot being candid with the court.  Even if applicant held its own views about the similarities of the 2 applications, it was still duty bound to tell this court the whole background of the matter and even quote the previous application as a cross-reference but explain why it believes this matter can be filed separately a</w:t>
      </w:r>
      <w:r w:rsidR="00624BD1">
        <w:rPr>
          <w:szCs w:val="24"/>
        </w:rPr>
        <w:t>n</w:t>
      </w:r>
      <w:r w:rsidRPr="004C7F88">
        <w:rPr>
          <w:szCs w:val="24"/>
        </w:rPr>
        <w:t>d dealt with as a new application.  The applicant has thus not been candid with the court</w:t>
      </w:r>
      <w:r w:rsidR="00624BD1">
        <w:rPr>
          <w:szCs w:val="24"/>
        </w:rPr>
        <w:t>.</w:t>
      </w:r>
      <w:r w:rsidRPr="004C7F88">
        <w:rPr>
          <w:szCs w:val="24"/>
        </w:rPr>
        <w:t xml:space="preserve">.  In fact, I hold the view that the letter from Fidelity Printers does not formulate any new basis for urgency as even at the time that HC 201/20 was </w:t>
      </w:r>
      <w:r w:rsidRPr="004C7F88">
        <w:rPr>
          <w:szCs w:val="24"/>
        </w:rPr>
        <w:lastRenderedPageBreak/>
        <w:t xml:space="preserve">filed applicant was </w:t>
      </w:r>
      <w:r w:rsidR="00624BD1">
        <w:rPr>
          <w:szCs w:val="24"/>
        </w:rPr>
        <w:t xml:space="preserve">already </w:t>
      </w:r>
      <w:r w:rsidRPr="004C7F88">
        <w:rPr>
          <w:szCs w:val="24"/>
        </w:rPr>
        <w:t xml:space="preserve">in arrears.  That </w:t>
      </w:r>
      <w:r w:rsidR="00624BD1">
        <w:rPr>
          <w:szCs w:val="24"/>
        </w:rPr>
        <w:t xml:space="preserve">applicant </w:t>
      </w:r>
      <w:r w:rsidRPr="004C7F88">
        <w:rPr>
          <w:szCs w:val="24"/>
        </w:rPr>
        <w:t xml:space="preserve">was further put </w:t>
      </w:r>
      <w:r w:rsidR="00964C3F" w:rsidRPr="004C7F88">
        <w:rPr>
          <w:szCs w:val="24"/>
        </w:rPr>
        <w:t xml:space="preserve">on terms cannot be held to be a novel issue on its failure to pay the dues in terms of the contract. </w:t>
      </w:r>
      <w:r w:rsidR="00624BD1">
        <w:rPr>
          <w:szCs w:val="24"/>
        </w:rPr>
        <w:t xml:space="preserve"> Applicant filed HC 201/20 because it believed that it was in a pre</w:t>
      </w:r>
      <w:r w:rsidR="001D4F1A">
        <w:rPr>
          <w:szCs w:val="24"/>
        </w:rPr>
        <w:t>carious</w:t>
      </w:r>
      <w:r w:rsidR="00624BD1">
        <w:rPr>
          <w:szCs w:val="24"/>
        </w:rPr>
        <w:t xml:space="preserve"> position that founded urgency and the letter from Fidelity was just the day of reckoning not a new issue.  That day was always hanging on applicant since the time it defaulted</w:t>
      </w:r>
    </w:p>
    <w:p w:rsidR="00964C3F" w:rsidRPr="004C7F88" w:rsidRDefault="00964C3F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 xml:space="preserve">The letter from Fidelity Printers is just a scapegoat applicant is using in my view to file the same application again in a bid to defeat the findings of this court </w:t>
      </w:r>
      <w:r w:rsidR="004C7F88" w:rsidRPr="004C7F88">
        <w:rPr>
          <w:szCs w:val="24"/>
        </w:rPr>
        <w:t>i</w:t>
      </w:r>
      <w:r w:rsidRPr="004C7F88">
        <w:rPr>
          <w:szCs w:val="24"/>
        </w:rPr>
        <w:t xml:space="preserve">n HC 201/20.  Litigants cannot be allowed to </w:t>
      </w:r>
      <w:r w:rsidR="00624BD1">
        <w:rPr>
          <w:szCs w:val="24"/>
        </w:rPr>
        <w:t>forum</w:t>
      </w:r>
      <w:r w:rsidRPr="004C7F88">
        <w:rPr>
          <w:szCs w:val="24"/>
        </w:rPr>
        <w:t xml:space="preserve"> shop and to play around with facts so that they are able to file the same cases all over again.</w:t>
      </w:r>
    </w:p>
    <w:p w:rsidR="00964C3F" w:rsidRPr="004C7F88" w:rsidRDefault="00964C3F" w:rsidP="004C7F88">
      <w:pPr>
        <w:ind w:firstLine="720"/>
        <w:jc w:val="both"/>
        <w:rPr>
          <w:szCs w:val="24"/>
        </w:rPr>
      </w:pPr>
      <w:r w:rsidRPr="004C7F88">
        <w:rPr>
          <w:szCs w:val="24"/>
        </w:rPr>
        <w:t xml:space="preserve">It is for these reasons that I uphold the points </w:t>
      </w:r>
      <w:r w:rsidRPr="004C7F88">
        <w:rPr>
          <w:i/>
          <w:szCs w:val="24"/>
        </w:rPr>
        <w:t>in limine</w:t>
      </w:r>
      <w:r w:rsidRPr="004C7F88">
        <w:rPr>
          <w:szCs w:val="24"/>
        </w:rPr>
        <w:t xml:space="preserve"> raised by the respondent and I accordingly dismiss the application with costs.</w:t>
      </w:r>
    </w:p>
    <w:p w:rsidR="00C748C9" w:rsidRPr="004C7F88" w:rsidRDefault="00C748C9" w:rsidP="004C7F88">
      <w:pPr>
        <w:pStyle w:val="NoSpacing"/>
        <w:jc w:val="both"/>
        <w:rPr>
          <w:szCs w:val="24"/>
        </w:rPr>
      </w:pPr>
    </w:p>
    <w:p w:rsidR="00964C3F" w:rsidRPr="004C7F88" w:rsidRDefault="00964C3F" w:rsidP="004C7F88">
      <w:pPr>
        <w:pStyle w:val="NoSpacing"/>
        <w:jc w:val="both"/>
        <w:rPr>
          <w:szCs w:val="24"/>
        </w:rPr>
      </w:pPr>
    </w:p>
    <w:p w:rsidR="00964C3F" w:rsidRPr="004C7F88" w:rsidRDefault="00964C3F" w:rsidP="004C7F88">
      <w:pPr>
        <w:pStyle w:val="NoSpacing"/>
        <w:jc w:val="both"/>
        <w:rPr>
          <w:szCs w:val="24"/>
        </w:rPr>
      </w:pPr>
    </w:p>
    <w:p w:rsidR="00964C3F" w:rsidRPr="004C7F88" w:rsidRDefault="00964C3F" w:rsidP="004C7F88">
      <w:pPr>
        <w:pStyle w:val="NoSpacing"/>
        <w:jc w:val="both"/>
        <w:rPr>
          <w:szCs w:val="24"/>
        </w:rPr>
      </w:pPr>
    </w:p>
    <w:p w:rsidR="00964C3F" w:rsidRPr="004C7F88" w:rsidRDefault="00964C3F" w:rsidP="004C7F88">
      <w:pPr>
        <w:pStyle w:val="NoSpacing"/>
        <w:jc w:val="both"/>
        <w:rPr>
          <w:szCs w:val="24"/>
        </w:rPr>
      </w:pPr>
    </w:p>
    <w:p w:rsidR="00964C3F" w:rsidRPr="004C7F88" w:rsidRDefault="00964C3F" w:rsidP="004C7F88">
      <w:pPr>
        <w:pStyle w:val="NoSpacing"/>
        <w:jc w:val="both"/>
        <w:rPr>
          <w:szCs w:val="24"/>
        </w:rPr>
      </w:pPr>
      <w:r w:rsidRPr="004C7F88">
        <w:rPr>
          <w:i/>
          <w:szCs w:val="24"/>
        </w:rPr>
        <w:t>Mashayamombe &amp; Co. Attorneys</w:t>
      </w:r>
      <w:r w:rsidRPr="004C7F88">
        <w:rPr>
          <w:szCs w:val="24"/>
        </w:rPr>
        <w:t>, applicant’s legal practitioners</w:t>
      </w:r>
    </w:p>
    <w:p w:rsidR="00964C3F" w:rsidRPr="004C7F88" w:rsidRDefault="00964C3F" w:rsidP="004C7F88">
      <w:pPr>
        <w:pStyle w:val="NoSpacing"/>
        <w:jc w:val="both"/>
        <w:rPr>
          <w:szCs w:val="24"/>
        </w:rPr>
      </w:pPr>
      <w:r w:rsidRPr="004C7F88">
        <w:rPr>
          <w:i/>
          <w:szCs w:val="24"/>
        </w:rPr>
        <w:t>Coghlan &amp; Welsh</w:t>
      </w:r>
      <w:r w:rsidRPr="004C7F88">
        <w:rPr>
          <w:szCs w:val="24"/>
        </w:rPr>
        <w:t>, respondent’s legal practitioners</w:t>
      </w:r>
    </w:p>
    <w:sectPr w:rsidR="00964C3F" w:rsidRPr="004C7F88" w:rsidSect="00543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2ED" w:rsidRDefault="008D62ED" w:rsidP="00C748C9">
      <w:pPr>
        <w:spacing w:before="0" w:after="0" w:line="240" w:lineRule="auto"/>
      </w:pPr>
      <w:r>
        <w:separator/>
      </w:r>
    </w:p>
  </w:endnote>
  <w:endnote w:type="continuationSeparator" w:id="1">
    <w:p w:rsidR="008D62ED" w:rsidRDefault="008D62ED" w:rsidP="00C748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2ED" w:rsidRDefault="008D62ED" w:rsidP="00C748C9">
      <w:pPr>
        <w:spacing w:before="0" w:after="0" w:line="240" w:lineRule="auto"/>
      </w:pPr>
      <w:r>
        <w:separator/>
      </w:r>
    </w:p>
  </w:footnote>
  <w:footnote w:type="continuationSeparator" w:id="1">
    <w:p w:rsidR="008D62ED" w:rsidRDefault="008D62ED" w:rsidP="00C748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60660"/>
      <w:docPartObj>
        <w:docPartGallery w:val="Page Numbers (Top of Page)"/>
        <w:docPartUnique/>
      </w:docPartObj>
    </w:sdtPr>
    <w:sdtContent>
      <w:p w:rsidR="004C7F88" w:rsidRDefault="00803556">
        <w:pPr>
          <w:pStyle w:val="Header"/>
          <w:jc w:val="right"/>
        </w:pPr>
        <w:fldSimple w:instr=" PAGE   \* MERGEFORMAT ">
          <w:r w:rsidR="001D4F1A">
            <w:rPr>
              <w:noProof/>
            </w:rPr>
            <w:t>3</w:t>
          </w:r>
        </w:fldSimple>
      </w:p>
      <w:p w:rsidR="004C7F88" w:rsidRDefault="004C7F88" w:rsidP="004C7F88">
        <w:pPr>
          <w:pStyle w:val="NoSpacing"/>
          <w:ind w:left="7200" w:firstLine="720"/>
        </w:pPr>
        <w:r>
          <w:t xml:space="preserve">     HB 103/20</w:t>
        </w:r>
      </w:p>
      <w:p w:rsidR="004C7F88" w:rsidRDefault="004C7F88" w:rsidP="004C7F88">
        <w:pPr>
          <w:pStyle w:val="NoSpacing"/>
          <w:ind w:left="7200" w:firstLine="720"/>
        </w:pPr>
        <w:r>
          <w:t xml:space="preserve">    HC 407/20</w:t>
        </w:r>
      </w:p>
      <w:p w:rsidR="004C7F88" w:rsidRDefault="004C7F88" w:rsidP="004C7F88">
        <w:pPr>
          <w:pStyle w:val="NoSpacing"/>
          <w:ind w:left="7200"/>
        </w:pPr>
        <w:r>
          <w:t xml:space="preserve">   X REF HC 201/20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93F"/>
    <w:multiLevelType w:val="hybridMultilevel"/>
    <w:tmpl w:val="05143E5A"/>
    <w:lvl w:ilvl="0" w:tplc="89A28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8C9"/>
    <w:rsid w:val="000164AE"/>
    <w:rsid w:val="001956CB"/>
    <w:rsid w:val="001D126B"/>
    <w:rsid w:val="001D4F1A"/>
    <w:rsid w:val="002C7F8A"/>
    <w:rsid w:val="003A3365"/>
    <w:rsid w:val="003E5BAA"/>
    <w:rsid w:val="00477B02"/>
    <w:rsid w:val="004C7F88"/>
    <w:rsid w:val="00526AE1"/>
    <w:rsid w:val="0054317D"/>
    <w:rsid w:val="00580C29"/>
    <w:rsid w:val="00624BD1"/>
    <w:rsid w:val="00655CBE"/>
    <w:rsid w:val="0068662E"/>
    <w:rsid w:val="006A03C9"/>
    <w:rsid w:val="00701C30"/>
    <w:rsid w:val="007B49A6"/>
    <w:rsid w:val="007D0B26"/>
    <w:rsid w:val="007D2790"/>
    <w:rsid w:val="00803556"/>
    <w:rsid w:val="008A7672"/>
    <w:rsid w:val="008C3209"/>
    <w:rsid w:val="008D62ED"/>
    <w:rsid w:val="00964C3F"/>
    <w:rsid w:val="009E5C1A"/>
    <w:rsid w:val="00A1592D"/>
    <w:rsid w:val="00A50BC8"/>
    <w:rsid w:val="00B575C1"/>
    <w:rsid w:val="00C61900"/>
    <w:rsid w:val="00C748C9"/>
    <w:rsid w:val="00CF5534"/>
    <w:rsid w:val="00D20B4C"/>
    <w:rsid w:val="00D32736"/>
    <w:rsid w:val="00DA23A5"/>
    <w:rsid w:val="00E10C27"/>
    <w:rsid w:val="00E4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48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8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748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8C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sabawu</cp:lastModifiedBy>
  <cp:revision>8</cp:revision>
  <cp:lastPrinted>2020-05-29T13:07:00Z</cp:lastPrinted>
  <dcterms:created xsi:type="dcterms:W3CDTF">2020-05-27T07:42:00Z</dcterms:created>
  <dcterms:modified xsi:type="dcterms:W3CDTF">2020-05-29T13:08:00Z</dcterms:modified>
</cp:coreProperties>
</file>