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529" w:rsidRPr="004B0194" w:rsidRDefault="00470294" w:rsidP="008008DF">
      <w:pPr>
        <w:pStyle w:val="NoSpacing"/>
        <w:jc w:val="both"/>
        <w:rPr>
          <w:b/>
          <w:sz w:val="24"/>
          <w:szCs w:val="24"/>
          <w:lang w:val="en-US"/>
        </w:rPr>
      </w:pPr>
      <w:bookmarkStart w:id="0" w:name="_GoBack"/>
      <w:bookmarkEnd w:id="0"/>
      <w:r w:rsidRPr="004B0194">
        <w:rPr>
          <w:b/>
          <w:sz w:val="24"/>
          <w:szCs w:val="24"/>
          <w:lang w:val="en-US"/>
        </w:rPr>
        <w:t>IGNATIOUS MATANDA (under power of attorney)</w:t>
      </w:r>
    </w:p>
    <w:p w:rsidR="00470294" w:rsidRPr="004B0194" w:rsidRDefault="00470294" w:rsidP="008008DF">
      <w:pPr>
        <w:pStyle w:val="NoSpacing"/>
        <w:jc w:val="both"/>
        <w:rPr>
          <w:b/>
          <w:sz w:val="24"/>
          <w:szCs w:val="24"/>
          <w:lang w:val="en-US"/>
        </w:rPr>
      </w:pPr>
    </w:p>
    <w:p w:rsidR="00470294" w:rsidRPr="004B0194" w:rsidRDefault="00470294" w:rsidP="008008DF">
      <w:pPr>
        <w:pStyle w:val="NoSpacing"/>
        <w:jc w:val="both"/>
        <w:rPr>
          <w:b/>
          <w:sz w:val="24"/>
          <w:szCs w:val="24"/>
          <w:lang w:val="en-US"/>
        </w:rPr>
      </w:pPr>
      <w:r w:rsidRPr="004B0194">
        <w:rPr>
          <w:b/>
          <w:sz w:val="24"/>
          <w:szCs w:val="24"/>
          <w:lang w:val="en-US"/>
        </w:rPr>
        <w:t>Versus</w:t>
      </w:r>
    </w:p>
    <w:p w:rsidR="00470294" w:rsidRPr="004B0194" w:rsidRDefault="00470294" w:rsidP="008008DF">
      <w:pPr>
        <w:pStyle w:val="NoSpacing"/>
        <w:jc w:val="both"/>
        <w:rPr>
          <w:b/>
          <w:sz w:val="24"/>
          <w:szCs w:val="24"/>
          <w:lang w:val="en-US"/>
        </w:rPr>
      </w:pPr>
    </w:p>
    <w:p w:rsidR="00470294" w:rsidRPr="004B0194" w:rsidRDefault="00470294" w:rsidP="008008DF">
      <w:pPr>
        <w:pStyle w:val="NoSpacing"/>
        <w:jc w:val="both"/>
        <w:rPr>
          <w:b/>
          <w:sz w:val="24"/>
          <w:szCs w:val="24"/>
          <w:lang w:val="en-US"/>
        </w:rPr>
      </w:pPr>
      <w:r w:rsidRPr="004B0194">
        <w:rPr>
          <w:b/>
          <w:sz w:val="24"/>
          <w:szCs w:val="24"/>
          <w:lang w:val="en-US"/>
        </w:rPr>
        <w:t>KWANELE KHANYE</w:t>
      </w:r>
    </w:p>
    <w:p w:rsidR="00470294" w:rsidRPr="004B0194" w:rsidRDefault="00470294" w:rsidP="008008DF">
      <w:pPr>
        <w:pStyle w:val="NoSpacing"/>
        <w:jc w:val="both"/>
        <w:rPr>
          <w:b/>
          <w:sz w:val="24"/>
          <w:szCs w:val="24"/>
          <w:lang w:val="en-US"/>
        </w:rPr>
      </w:pPr>
    </w:p>
    <w:p w:rsidR="00470294" w:rsidRPr="004B0194" w:rsidRDefault="00470294" w:rsidP="008008DF">
      <w:pPr>
        <w:pStyle w:val="NoSpacing"/>
        <w:jc w:val="both"/>
        <w:rPr>
          <w:b/>
          <w:sz w:val="24"/>
          <w:szCs w:val="24"/>
          <w:lang w:val="en-US"/>
        </w:rPr>
      </w:pPr>
      <w:r w:rsidRPr="004B0194">
        <w:rPr>
          <w:b/>
          <w:sz w:val="24"/>
          <w:szCs w:val="24"/>
          <w:lang w:val="en-US"/>
        </w:rPr>
        <w:t>And</w:t>
      </w:r>
    </w:p>
    <w:p w:rsidR="00470294" w:rsidRPr="004B0194" w:rsidRDefault="00470294" w:rsidP="008008DF">
      <w:pPr>
        <w:pStyle w:val="NoSpacing"/>
        <w:jc w:val="both"/>
        <w:rPr>
          <w:b/>
          <w:sz w:val="24"/>
          <w:szCs w:val="24"/>
          <w:lang w:val="en-US"/>
        </w:rPr>
      </w:pPr>
    </w:p>
    <w:p w:rsidR="00470294" w:rsidRPr="004B0194" w:rsidRDefault="00470294" w:rsidP="008008DF">
      <w:pPr>
        <w:pStyle w:val="NoSpacing"/>
        <w:jc w:val="both"/>
        <w:rPr>
          <w:b/>
          <w:sz w:val="24"/>
          <w:szCs w:val="24"/>
          <w:lang w:val="en-US"/>
        </w:rPr>
      </w:pPr>
      <w:r w:rsidRPr="004B0194">
        <w:rPr>
          <w:b/>
          <w:sz w:val="24"/>
          <w:szCs w:val="24"/>
          <w:lang w:val="en-US"/>
        </w:rPr>
        <w:t>ANZAC INVESTMENTS (PVT) LTD</w:t>
      </w:r>
    </w:p>
    <w:p w:rsidR="00470294" w:rsidRPr="004B0194" w:rsidRDefault="00470294" w:rsidP="008008DF">
      <w:pPr>
        <w:pStyle w:val="NoSpacing"/>
        <w:jc w:val="both"/>
        <w:rPr>
          <w:b/>
          <w:sz w:val="24"/>
          <w:szCs w:val="24"/>
          <w:lang w:val="en-US"/>
        </w:rPr>
      </w:pPr>
    </w:p>
    <w:p w:rsidR="00470294" w:rsidRPr="004B0194" w:rsidRDefault="00470294" w:rsidP="008008DF">
      <w:pPr>
        <w:pStyle w:val="NoSpacing"/>
        <w:jc w:val="both"/>
        <w:rPr>
          <w:b/>
          <w:sz w:val="24"/>
          <w:szCs w:val="24"/>
          <w:lang w:val="en-US"/>
        </w:rPr>
      </w:pPr>
      <w:r w:rsidRPr="004B0194">
        <w:rPr>
          <w:b/>
          <w:sz w:val="24"/>
          <w:szCs w:val="24"/>
          <w:lang w:val="en-US"/>
        </w:rPr>
        <w:t>And</w:t>
      </w:r>
    </w:p>
    <w:p w:rsidR="00470294" w:rsidRPr="004B0194" w:rsidRDefault="00470294" w:rsidP="008008DF">
      <w:pPr>
        <w:pStyle w:val="NoSpacing"/>
        <w:jc w:val="both"/>
        <w:rPr>
          <w:b/>
          <w:sz w:val="24"/>
          <w:szCs w:val="24"/>
          <w:lang w:val="en-US"/>
        </w:rPr>
      </w:pPr>
    </w:p>
    <w:p w:rsidR="00470294" w:rsidRPr="004B0194" w:rsidRDefault="00470294" w:rsidP="008008DF">
      <w:pPr>
        <w:pStyle w:val="NoSpacing"/>
        <w:jc w:val="both"/>
        <w:rPr>
          <w:b/>
          <w:sz w:val="24"/>
          <w:szCs w:val="24"/>
          <w:lang w:val="en-US"/>
        </w:rPr>
      </w:pPr>
      <w:r w:rsidRPr="004B0194">
        <w:rPr>
          <w:b/>
          <w:sz w:val="24"/>
          <w:szCs w:val="24"/>
          <w:lang w:val="en-US"/>
        </w:rPr>
        <w:t>GRANT THONYE LAND SURVEYORS</w:t>
      </w:r>
    </w:p>
    <w:p w:rsidR="00470294" w:rsidRPr="004B0194" w:rsidRDefault="00470294" w:rsidP="008008DF">
      <w:pPr>
        <w:pStyle w:val="NoSpacing"/>
        <w:jc w:val="both"/>
        <w:rPr>
          <w:b/>
          <w:sz w:val="24"/>
          <w:szCs w:val="24"/>
          <w:lang w:val="en-US"/>
        </w:rPr>
      </w:pPr>
    </w:p>
    <w:p w:rsidR="00470294" w:rsidRPr="004B0194" w:rsidRDefault="00470294" w:rsidP="008008DF">
      <w:pPr>
        <w:pStyle w:val="NoSpacing"/>
        <w:jc w:val="both"/>
        <w:rPr>
          <w:b/>
          <w:sz w:val="24"/>
          <w:szCs w:val="24"/>
          <w:lang w:val="en-US"/>
        </w:rPr>
      </w:pPr>
      <w:r w:rsidRPr="004B0194">
        <w:rPr>
          <w:b/>
          <w:sz w:val="24"/>
          <w:szCs w:val="24"/>
          <w:lang w:val="en-US"/>
        </w:rPr>
        <w:t>And</w:t>
      </w:r>
    </w:p>
    <w:p w:rsidR="00470294" w:rsidRPr="004B0194" w:rsidRDefault="00470294" w:rsidP="008008DF">
      <w:pPr>
        <w:pStyle w:val="NoSpacing"/>
        <w:jc w:val="both"/>
        <w:rPr>
          <w:b/>
          <w:sz w:val="24"/>
          <w:szCs w:val="24"/>
          <w:lang w:val="en-US"/>
        </w:rPr>
      </w:pPr>
    </w:p>
    <w:p w:rsidR="00470294" w:rsidRPr="004B0194" w:rsidRDefault="00470294" w:rsidP="008008DF">
      <w:pPr>
        <w:pStyle w:val="NoSpacing"/>
        <w:jc w:val="both"/>
        <w:rPr>
          <w:b/>
          <w:sz w:val="24"/>
          <w:szCs w:val="24"/>
          <w:lang w:val="en-US"/>
        </w:rPr>
      </w:pPr>
      <w:r w:rsidRPr="004B0194">
        <w:rPr>
          <w:b/>
          <w:sz w:val="24"/>
          <w:szCs w:val="24"/>
          <w:lang w:val="en-US"/>
        </w:rPr>
        <w:t>REGISTRAR OF DEEDS (N.O.)</w:t>
      </w:r>
    </w:p>
    <w:p w:rsidR="00470294" w:rsidRPr="004B0194" w:rsidRDefault="00470294" w:rsidP="008008DF">
      <w:pPr>
        <w:pStyle w:val="NoSpacing"/>
        <w:jc w:val="both"/>
        <w:rPr>
          <w:b/>
          <w:sz w:val="24"/>
          <w:szCs w:val="24"/>
          <w:lang w:val="en-US"/>
        </w:rPr>
      </w:pPr>
    </w:p>
    <w:p w:rsidR="00470294" w:rsidRPr="004B0194" w:rsidRDefault="00470294" w:rsidP="008008DF">
      <w:pPr>
        <w:pStyle w:val="NoSpacing"/>
        <w:jc w:val="both"/>
        <w:rPr>
          <w:sz w:val="24"/>
          <w:szCs w:val="24"/>
          <w:lang w:val="en-US"/>
        </w:rPr>
      </w:pPr>
      <w:r w:rsidRPr="004B0194">
        <w:rPr>
          <w:sz w:val="24"/>
          <w:szCs w:val="24"/>
          <w:lang w:val="en-US"/>
        </w:rPr>
        <w:t>IN THE HIGH COURT OF ZIMBABWE</w:t>
      </w:r>
    </w:p>
    <w:p w:rsidR="00470294" w:rsidRPr="004B0194" w:rsidRDefault="00470294" w:rsidP="008008DF">
      <w:pPr>
        <w:pStyle w:val="NoSpacing"/>
        <w:jc w:val="both"/>
        <w:rPr>
          <w:sz w:val="24"/>
          <w:szCs w:val="24"/>
          <w:lang w:val="en-US"/>
        </w:rPr>
      </w:pPr>
      <w:r w:rsidRPr="004B0194">
        <w:rPr>
          <w:sz w:val="24"/>
          <w:szCs w:val="24"/>
          <w:lang w:val="en-US"/>
        </w:rPr>
        <w:t>TAKUVA J</w:t>
      </w:r>
    </w:p>
    <w:p w:rsidR="00470294" w:rsidRPr="004B0194" w:rsidRDefault="00470294" w:rsidP="008008DF">
      <w:pPr>
        <w:pStyle w:val="NoSpacing"/>
        <w:jc w:val="both"/>
        <w:rPr>
          <w:sz w:val="24"/>
          <w:szCs w:val="24"/>
          <w:lang w:val="en-US"/>
        </w:rPr>
      </w:pPr>
      <w:r w:rsidRPr="004B0194">
        <w:rPr>
          <w:sz w:val="24"/>
          <w:szCs w:val="24"/>
          <w:lang w:val="en-US"/>
        </w:rPr>
        <w:t>BULAWYO 11 MAY 2021 &amp; 10 MARCH 2022</w:t>
      </w:r>
    </w:p>
    <w:p w:rsidR="00470294" w:rsidRPr="004B0194" w:rsidRDefault="00470294" w:rsidP="008008DF">
      <w:pPr>
        <w:pStyle w:val="NoSpacing"/>
        <w:jc w:val="both"/>
        <w:rPr>
          <w:sz w:val="24"/>
          <w:szCs w:val="24"/>
          <w:lang w:val="en-US"/>
        </w:rPr>
      </w:pPr>
    </w:p>
    <w:p w:rsidR="00470294" w:rsidRPr="004B0194" w:rsidRDefault="00470294" w:rsidP="008008DF">
      <w:pPr>
        <w:pStyle w:val="NoSpacing"/>
        <w:jc w:val="both"/>
        <w:rPr>
          <w:b/>
          <w:sz w:val="24"/>
          <w:szCs w:val="24"/>
          <w:lang w:val="en-US"/>
        </w:rPr>
      </w:pPr>
      <w:r w:rsidRPr="004B0194">
        <w:rPr>
          <w:b/>
          <w:sz w:val="24"/>
          <w:szCs w:val="24"/>
          <w:lang w:val="en-US"/>
        </w:rPr>
        <w:t>Opposed Application</w:t>
      </w:r>
    </w:p>
    <w:p w:rsidR="00470294" w:rsidRPr="004B0194" w:rsidRDefault="00470294" w:rsidP="008008DF">
      <w:pPr>
        <w:pStyle w:val="NoSpacing"/>
        <w:jc w:val="both"/>
        <w:rPr>
          <w:b/>
          <w:sz w:val="24"/>
          <w:szCs w:val="24"/>
          <w:lang w:val="en-US"/>
        </w:rPr>
      </w:pPr>
    </w:p>
    <w:p w:rsidR="00470294" w:rsidRPr="004B0194" w:rsidRDefault="00470294" w:rsidP="008008DF">
      <w:pPr>
        <w:pStyle w:val="NoSpacing"/>
        <w:jc w:val="both"/>
        <w:rPr>
          <w:sz w:val="24"/>
          <w:szCs w:val="24"/>
          <w:lang w:val="en-US"/>
        </w:rPr>
      </w:pPr>
      <w:r w:rsidRPr="004B0194">
        <w:rPr>
          <w:i/>
          <w:sz w:val="24"/>
          <w:szCs w:val="24"/>
          <w:lang w:val="en-US"/>
        </w:rPr>
        <w:t>M Chimwanda</w:t>
      </w:r>
      <w:r w:rsidRPr="004B0194">
        <w:rPr>
          <w:sz w:val="24"/>
          <w:szCs w:val="24"/>
          <w:lang w:val="en-US"/>
        </w:rPr>
        <w:t xml:space="preserve"> for the applicant</w:t>
      </w:r>
    </w:p>
    <w:p w:rsidR="00470294" w:rsidRPr="004B0194" w:rsidRDefault="00470294" w:rsidP="008008DF">
      <w:pPr>
        <w:pStyle w:val="NoSpacing"/>
        <w:jc w:val="both"/>
        <w:rPr>
          <w:sz w:val="24"/>
          <w:szCs w:val="24"/>
          <w:lang w:val="en-US"/>
        </w:rPr>
      </w:pPr>
      <w:r w:rsidRPr="004B0194">
        <w:rPr>
          <w:i/>
          <w:sz w:val="24"/>
          <w:szCs w:val="24"/>
          <w:lang w:val="en-US"/>
        </w:rPr>
        <w:t>E. Mlalazi</w:t>
      </w:r>
      <w:r w:rsidRPr="004B0194">
        <w:rPr>
          <w:sz w:val="24"/>
          <w:szCs w:val="24"/>
          <w:lang w:val="en-US"/>
        </w:rPr>
        <w:t xml:space="preserve"> for the 1</w:t>
      </w:r>
      <w:r w:rsidRPr="004B0194">
        <w:rPr>
          <w:sz w:val="24"/>
          <w:szCs w:val="24"/>
          <w:vertAlign w:val="superscript"/>
          <w:lang w:val="en-US"/>
        </w:rPr>
        <w:t>st</w:t>
      </w:r>
      <w:r w:rsidRPr="004B0194">
        <w:rPr>
          <w:sz w:val="24"/>
          <w:szCs w:val="24"/>
          <w:lang w:val="en-US"/>
        </w:rPr>
        <w:t xml:space="preserve"> respondent</w:t>
      </w:r>
    </w:p>
    <w:p w:rsidR="00470294" w:rsidRPr="004B0194" w:rsidRDefault="00470294" w:rsidP="008008DF">
      <w:pPr>
        <w:pStyle w:val="NoSpacing"/>
        <w:jc w:val="both"/>
        <w:rPr>
          <w:sz w:val="24"/>
          <w:szCs w:val="24"/>
          <w:lang w:val="en-US"/>
        </w:rPr>
      </w:pPr>
      <w:r w:rsidRPr="004B0194">
        <w:rPr>
          <w:sz w:val="24"/>
          <w:szCs w:val="24"/>
          <w:lang w:val="en-US"/>
        </w:rPr>
        <w:t>No appearance for 2</w:t>
      </w:r>
      <w:r w:rsidRPr="004B0194">
        <w:rPr>
          <w:sz w:val="24"/>
          <w:szCs w:val="24"/>
          <w:vertAlign w:val="superscript"/>
          <w:lang w:val="en-US"/>
        </w:rPr>
        <w:t>nd</w:t>
      </w:r>
      <w:r w:rsidRPr="004B0194">
        <w:rPr>
          <w:sz w:val="24"/>
          <w:szCs w:val="24"/>
          <w:lang w:val="en-US"/>
        </w:rPr>
        <w:t>, 3</w:t>
      </w:r>
      <w:r w:rsidRPr="004B0194">
        <w:rPr>
          <w:sz w:val="24"/>
          <w:szCs w:val="24"/>
          <w:vertAlign w:val="superscript"/>
          <w:lang w:val="en-US"/>
        </w:rPr>
        <w:t>rd</w:t>
      </w:r>
      <w:r w:rsidRPr="004B0194">
        <w:rPr>
          <w:sz w:val="24"/>
          <w:szCs w:val="24"/>
          <w:lang w:val="en-US"/>
        </w:rPr>
        <w:t xml:space="preserve"> and 4</w:t>
      </w:r>
      <w:r w:rsidRPr="004B0194">
        <w:rPr>
          <w:sz w:val="24"/>
          <w:szCs w:val="24"/>
          <w:vertAlign w:val="superscript"/>
          <w:lang w:val="en-US"/>
        </w:rPr>
        <w:t>th</w:t>
      </w:r>
      <w:r w:rsidRPr="004B0194">
        <w:rPr>
          <w:sz w:val="24"/>
          <w:szCs w:val="24"/>
          <w:lang w:val="en-US"/>
        </w:rPr>
        <w:t xml:space="preserve"> respondents</w:t>
      </w:r>
    </w:p>
    <w:p w:rsidR="00470294" w:rsidRPr="004B0194" w:rsidRDefault="00470294" w:rsidP="008008DF">
      <w:pPr>
        <w:pStyle w:val="NoSpacing"/>
        <w:jc w:val="both"/>
        <w:rPr>
          <w:sz w:val="24"/>
          <w:szCs w:val="24"/>
          <w:lang w:val="en-US"/>
        </w:rPr>
      </w:pPr>
    </w:p>
    <w:p w:rsidR="001C768F" w:rsidRPr="004B0194" w:rsidRDefault="001C768F" w:rsidP="008008DF">
      <w:pPr>
        <w:jc w:val="both"/>
        <w:rPr>
          <w:sz w:val="24"/>
          <w:szCs w:val="24"/>
          <w:lang w:val="en-US"/>
        </w:rPr>
      </w:pPr>
      <w:r w:rsidRPr="004B0194">
        <w:rPr>
          <w:sz w:val="24"/>
          <w:szCs w:val="24"/>
          <w:lang w:val="en-US"/>
        </w:rPr>
        <w:tab/>
      </w:r>
      <w:r w:rsidRPr="004B0194">
        <w:rPr>
          <w:b/>
          <w:sz w:val="24"/>
          <w:szCs w:val="24"/>
          <w:lang w:val="en-US"/>
        </w:rPr>
        <w:t>TAKUVA J:</w:t>
      </w:r>
      <w:r w:rsidRPr="004B0194">
        <w:rPr>
          <w:b/>
          <w:sz w:val="24"/>
          <w:szCs w:val="24"/>
          <w:lang w:val="en-US"/>
        </w:rPr>
        <w:tab/>
      </w:r>
      <w:r w:rsidRPr="004B0194">
        <w:rPr>
          <w:sz w:val="24"/>
          <w:szCs w:val="24"/>
          <w:lang w:val="en-US"/>
        </w:rPr>
        <w:t>Applicant filed what he termed a “chamber application for cancellation of Deed of Transfer number 771/2011”.</w:t>
      </w:r>
    </w:p>
    <w:p w:rsidR="001C768F" w:rsidRPr="004B0194" w:rsidRDefault="001C768F" w:rsidP="008008DF">
      <w:pPr>
        <w:jc w:val="both"/>
        <w:rPr>
          <w:b/>
          <w:sz w:val="24"/>
          <w:szCs w:val="24"/>
          <w:lang w:val="en-US"/>
        </w:rPr>
      </w:pPr>
      <w:r w:rsidRPr="004B0194">
        <w:rPr>
          <w:b/>
          <w:sz w:val="24"/>
          <w:szCs w:val="24"/>
          <w:lang w:val="en-US"/>
        </w:rPr>
        <w:t>Background facts</w:t>
      </w:r>
    </w:p>
    <w:p w:rsidR="001C768F" w:rsidRPr="004B0194" w:rsidRDefault="001C768F" w:rsidP="008008DF">
      <w:pPr>
        <w:jc w:val="both"/>
        <w:rPr>
          <w:sz w:val="24"/>
          <w:szCs w:val="24"/>
          <w:lang w:val="en-US"/>
        </w:rPr>
      </w:pPr>
      <w:r w:rsidRPr="004B0194">
        <w:rPr>
          <w:sz w:val="24"/>
          <w:szCs w:val="24"/>
          <w:lang w:val="en-US"/>
        </w:rPr>
        <w:tab/>
        <w:t>The applicant and the 2</w:t>
      </w:r>
      <w:r w:rsidRPr="004B0194">
        <w:rPr>
          <w:sz w:val="24"/>
          <w:szCs w:val="24"/>
          <w:vertAlign w:val="superscript"/>
          <w:lang w:val="en-US"/>
        </w:rPr>
        <w:t>nd</w:t>
      </w:r>
      <w:r w:rsidRPr="004B0194">
        <w:rPr>
          <w:sz w:val="24"/>
          <w:szCs w:val="24"/>
          <w:lang w:val="en-US"/>
        </w:rPr>
        <w:t xml:space="preserve"> respondent signed an agreement of sale wherein the applicant purchased a certain piece of land in extent 4 000 square met</w:t>
      </w:r>
      <w:r w:rsidR="008008DF" w:rsidRPr="004B0194">
        <w:rPr>
          <w:sz w:val="24"/>
          <w:szCs w:val="24"/>
          <w:lang w:val="en-US"/>
        </w:rPr>
        <w:t>r</w:t>
      </w:r>
      <w:r w:rsidRPr="004B0194">
        <w:rPr>
          <w:sz w:val="24"/>
          <w:szCs w:val="24"/>
          <w:lang w:val="en-US"/>
        </w:rPr>
        <w:t>es identified on the plan by number 73 situated along Circular Drive, Matsheumhlophe, Bulawayo.  According to the agreement the 2</w:t>
      </w:r>
      <w:r w:rsidRPr="004B0194">
        <w:rPr>
          <w:sz w:val="24"/>
          <w:szCs w:val="24"/>
          <w:vertAlign w:val="superscript"/>
          <w:lang w:val="en-US"/>
        </w:rPr>
        <w:t>nd</w:t>
      </w:r>
      <w:r w:rsidRPr="004B0194">
        <w:rPr>
          <w:sz w:val="24"/>
          <w:szCs w:val="24"/>
          <w:lang w:val="en-US"/>
        </w:rPr>
        <w:t xml:space="preserve"> respondent represented by one Hendrik Stephanus Rootman is the seller while the purchaser is indicated as Michael </w:t>
      </w:r>
      <w:proofErr w:type="spellStart"/>
      <w:r w:rsidRPr="004B0194">
        <w:rPr>
          <w:sz w:val="24"/>
          <w:szCs w:val="24"/>
          <w:lang w:val="en-US"/>
        </w:rPr>
        <w:t>Fiyado</w:t>
      </w:r>
      <w:proofErr w:type="spellEnd"/>
      <w:r w:rsidRPr="004B0194">
        <w:rPr>
          <w:sz w:val="24"/>
          <w:szCs w:val="24"/>
          <w:lang w:val="en-US"/>
        </w:rPr>
        <w:t xml:space="preserve"> </w:t>
      </w:r>
      <w:proofErr w:type="spellStart"/>
      <w:r w:rsidRPr="004B0194">
        <w:rPr>
          <w:sz w:val="24"/>
          <w:szCs w:val="24"/>
          <w:lang w:val="en-US"/>
        </w:rPr>
        <w:t>Mathanda</w:t>
      </w:r>
      <w:proofErr w:type="spellEnd"/>
      <w:r w:rsidRPr="004B0194">
        <w:rPr>
          <w:sz w:val="24"/>
          <w:szCs w:val="24"/>
          <w:lang w:val="en-US"/>
        </w:rPr>
        <w:t>.</w:t>
      </w:r>
      <w:r w:rsidR="00E73FA0" w:rsidRPr="004B0194">
        <w:rPr>
          <w:sz w:val="24"/>
          <w:szCs w:val="24"/>
          <w:lang w:val="en-US"/>
        </w:rPr>
        <w:t xml:space="preserve">  This agreement was signed on the 10</w:t>
      </w:r>
      <w:r w:rsidR="00E73FA0" w:rsidRPr="004B0194">
        <w:rPr>
          <w:sz w:val="24"/>
          <w:szCs w:val="24"/>
          <w:vertAlign w:val="superscript"/>
          <w:lang w:val="en-US"/>
        </w:rPr>
        <w:t>th</w:t>
      </w:r>
      <w:r w:rsidR="00E73FA0" w:rsidRPr="004B0194">
        <w:rPr>
          <w:sz w:val="24"/>
          <w:szCs w:val="24"/>
          <w:lang w:val="en-US"/>
        </w:rPr>
        <w:t xml:space="preserve"> of April 2000. </w:t>
      </w:r>
      <w:r w:rsidRPr="004B0194">
        <w:rPr>
          <w:sz w:val="24"/>
          <w:szCs w:val="24"/>
          <w:lang w:val="en-US"/>
        </w:rPr>
        <w:t xml:space="preserve"> </w:t>
      </w:r>
      <w:proofErr w:type="spellStart"/>
      <w:r w:rsidRPr="004B0194">
        <w:rPr>
          <w:sz w:val="24"/>
          <w:szCs w:val="24"/>
          <w:lang w:val="en-US"/>
        </w:rPr>
        <w:t>Mr</w:t>
      </w:r>
      <w:proofErr w:type="spellEnd"/>
      <w:r w:rsidRPr="004B0194">
        <w:rPr>
          <w:sz w:val="24"/>
          <w:szCs w:val="24"/>
          <w:lang w:val="en-US"/>
        </w:rPr>
        <w:t xml:space="preserve"> </w:t>
      </w:r>
      <w:proofErr w:type="spellStart"/>
      <w:r w:rsidRPr="004B0194">
        <w:rPr>
          <w:sz w:val="24"/>
          <w:szCs w:val="24"/>
          <w:lang w:val="en-US"/>
        </w:rPr>
        <w:t>Rootman</w:t>
      </w:r>
      <w:proofErr w:type="spellEnd"/>
      <w:r w:rsidRPr="004B0194">
        <w:rPr>
          <w:sz w:val="24"/>
          <w:szCs w:val="24"/>
          <w:lang w:val="en-US"/>
        </w:rPr>
        <w:t xml:space="preserve"> is now deceased.  The property was subject to a final survey.  There were disputes regarding the survey between the property owners and the land surveyors.</w:t>
      </w:r>
    </w:p>
    <w:p w:rsidR="001C768F" w:rsidRPr="004B0194" w:rsidRDefault="001C768F" w:rsidP="008008DF">
      <w:pPr>
        <w:jc w:val="both"/>
        <w:rPr>
          <w:sz w:val="24"/>
          <w:szCs w:val="24"/>
          <w:lang w:val="en-US"/>
        </w:rPr>
      </w:pPr>
      <w:r w:rsidRPr="004B0194">
        <w:rPr>
          <w:sz w:val="24"/>
          <w:szCs w:val="24"/>
          <w:lang w:val="en-US"/>
        </w:rPr>
        <w:lastRenderedPageBreak/>
        <w:tab/>
      </w:r>
      <w:r w:rsidR="009D083E" w:rsidRPr="004B0194">
        <w:rPr>
          <w:sz w:val="24"/>
          <w:szCs w:val="24"/>
          <w:lang w:val="en-US"/>
        </w:rPr>
        <w:t>Sometime in April 2005, 2</w:t>
      </w:r>
      <w:r w:rsidR="009D083E" w:rsidRPr="004B0194">
        <w:rPr>
          <w:sz w:val="24"/>
          <w:szCs w:val="24"/>
          <w:vertAlign w:val="superscript"/>
          <w:lang w:val="en-US"/>
        </w:rPr>
        <w:t>nd</w:t>
      </w:r>
      <w:r w:rsidR="009D083E" w:rsidRPr="004B0194">
        <w:rPr>
          <w:sz w:val="24"/>
          <w:szCs w:val="24"/>
          <w:lang w:val="en-US"/>
        </w:rPr>
        <w:t xml:space="preserve"> respondent instructed 3</w:t>
      </w:r>
      <w:r w:rsidR="009D083E" w:rsidRPr="004B0194">
        <w:rPr>
          <w:sz w:val="24"/>
          <w:szCs w:val="24"/>
          <w:vertAlign w:val="superscript"/>
          <w:lang w:val="en-US"/>
        </w:rPr>
        <w:t>rd</w:t>
      </w:r>
      <w:r w:rsidR="009D083E" w:rsidRPr="004B0194">
        <w:rPr>
          <w:sz w:val="24"/>
          <w:szCs w:val="24"/>
          <w:lang w:val="en-US"/>
        </w:rPr>
        <w:t xml:space="preserve"> respondent to show the various buyers the land which had been further surveyed and pegged.  The applicant was one of such buyers invited.  Applicant constructed </w:t>
      </w:r>
      <w:r w:rsidR="00E73FA0" w:rsidRPr="004B0194">
        <w:rPr>
          <w:sz w:val="24"/>
          <w:szCs w:val="24"/>
          <w:lang w:val="en-US"/>
        </w:rPr>
        <w:t xml:space="preserve">a </w:t>
      </w:r>
      <w:r w:rsidR="009D083E" w:rsidRPr="004B0194">
        <w:rPr>
          <w:sz w:val="24"/>
          <w:szCs w:val="24"/>
          <w:lang w:val="en-US"/>
        </w:rPr>
        <w:t>semi-permanent structure on the property.  Further, applicant adhered to the terms of the agreement of sale by paying through Sterling Properties (Pvt) Ltd.</w:t>
      </w:r>
    </w:p>
    <w:p w:rsidR="009D083E" w:rsidRPr="004B0194" w:rsidRDefault="009D083E" w:rsidP="008008DF">
      <w:pPr>
        <w:jc w:val="both"/>
        <w:rPr>
          <w:sz w:val="24"/>
          <w:szCs w:val="24"/>
          <w:lang w:val="en-US"/>
        </w:rPr>
      </w:pPr>
      <w:r w:rsidRPr="004B0194">
        <w:rPr>
          <w:sz w:val="24"/>
          <w:szCs w:val="24"/>
          <w:lang w:val="en-US"/>
        </w:rPr>
        <w:tab/>
        <w:t>The 2</w:t>
      </w:r>
      <w:r w:rsidRPr="004B0194">
        <w:rPr>
          <w:sz w:val="24"/>
          <w:szCs w:val="24"/>
          <w:vertAlign w:val="superscript"/>
          <w:lang w:val="en-US"/>
        </w:rPr>
        <w:t>nd</w:t>
      </w:r>
      <w:r w:rsidRPr="004B0194">
        <w:rPr>
          <w:sz w:val="24"/>
          <w:szCs w:val="24"/>
          <w:lang w:val="en-US"/>
        </w:rPr>
        <w:t xml:space="preserve"> respondent resold the property to the 1</w:t>
      </w:r>
      <w:r w:rsidRPr="004B0194">
        <w:rPr>
          <w:sz w:val="24"/>
          <w:szCs w:val="24"/>
          <w:vertAlign w:val="superscript"/>
          <w:lang w:val="en-US"/>
        </w:rPr>
        <w:t>st</w:t>
      </w:r>
      <w:r w:rsidRPr="004B0194">
        <w:rPr>
          <w:sz w:val="24"/>
          <w:szCs w:val="24"/>
          <w:lang w:val="en-US"/>
        </w:rPr>
        <w:t xml:space="preserve"> respondent in January 2011 who proceeded to take transfer and ownership of the stand until May 2020 when he s</w:t>
      </w:r>
      <w:r w:rsidR="008008DF" w:rsidRPr="004B0194">
        <w:rPr>
          <w:sz w:val="24"/>
          <w:szCs w:val="24"/>
          <w:lang w:val="en-US"/>
        </w:rPr>
        <w:t>ol</w:t>
      </w:r>
      <w:r w:rsidRPr="004B0194">
        <w:rPr>
          <w:sz w:val="24"/>
          <w:szCs w:val="24"/>
          <w:lang w:val="en-US"/>
        </w:rPr>
        <w:t>d it to a 3</w:t>
      </w:r>
      <w:r w:rsidRPr="004B0194">
        <w:rPr>
          <w:sz w:val="24"/>
          <w:szCs w:val="24"/>
          <w:vertAlign w:val="superscript"/>
          <w:lang w:val="en-US"/>
        </w:rPr>
        <w:t>rd</w:t>
      </w:r>
      <w:r w:rsidRPr="004B0194">
        <w:rPr>
          <w:sz w:val="24"/>
          <w:szCs w:val="24"/>
          <w:lang w:val="en-US"/>
        </w:rPr>
        <w:t xml:space="preserve"> party.  A dispute arose between applicant and 2</w:t>
      </w:r>
      <w:r w:rsidRPr="004B0194">
        <w:rPr>
          <w:sz w:val="24"/>
          <w:szCs w:val="24"/>
          <w:vertAlign w:val="superscript"/>
          <w:lang w:val="en-US"/>
        </w:rPr>
        <w:t>nd</w:t>
      </w:r>
      <w:r w:rsidRPr="004B0194">
        <w:rPr>
          <w:sz w:val="24"/>
          <w:szCs w:val="24"/>
          <w:lang w:val="en-US"/>
        </w:rPr>
        <w:t xml:space="preserve"> respondent over the reason for the cancellation of the agreement of sale.  On 1</w:t>
      </w:r>
      <w:r w:rsidRPr="004B0194">
        <w:rPr>
          <w:sz w:val="24"/>
          <w:szCs w:val="24"/>
          <w:vertAlign w:val="superscript"/>
          <w:lang w:val="en-US"/>
        </w:rPr>
        <w:t>st</w:t>
      </w:r>
      <w:r w:rsidRPr="004B0194">
        <w:rPr>
          <w:sz w:val="24"/>
          <w:szCs w:val="24"/>
          <w:lang w:val="en-US"/>
        </w:rPr>
        <w:t xml:space="preserve"> day of March 2018 the applicant obtained an order under HC 3337/17 confirming him as the owner of stand 73 Matsheumhlophe Bulawayo.  The applicant is seeking to cancel the title deed in favour of the 1</w:t>
      </w:r>
      <w:r w:rsidRPr="004B0194">
        <w:rPr>
          <w:sz w:val="24"/>
          <w:szCs w:val="24"/>
          <w:vertAlign w:val="superscript"/>
          <w:lang w:val="en-US"/>
        </w:rPr>
        <w:t>st</w:t>
      </w:r>
      <w:r w:rsidRPr="004B0194">
        <w:rPr>
          <w:sz w:val="24"/>
          <w:szCs w:val="24"/>
          <w:lang w:val="en-US"/>
        </w:rPr>
        <w:t xml:space="preserve"> respondent namely Deed of Transfer number 771/2011.</w:t>
      </w:r>
    </w:p>
    <w:p w:rsidR="009D083E" w:rsidRPr="004B0194" w:rsidRDefault="009D083E" w:rsidP="008008DF">
      <w:pPr>
        <w:jc w:val="both"/>
        <w:rPr>
          <w:sz w:val="24"/>
          <w:szCs w:val="24"/>
          <w:lang w:val="en-US"/>
        </w:rPr>
      </w:pPr>
      <w:r w:rsidRPr="004B0194">
        <w:rPr>
          <w:sz w:val="24"/>
          <w:szCs w:val="24"/>
          <w:lang w:val="en-US"/>
        </w:rPr>
        <w:t>The 1</w:t>
      </w:r>
      <w:r w:rsidRPr="004B0194">
        <w:rPr>
          <w:sz w:val="24"/>
          <w:szCs w:val="24"/>
          <w:vertAlign w:val="superscript"/>
          <w:lang w:val="en-US"/>
        </w:rPr>
        <w:t>st</w:t>
      </w:r>
      <w:r w:rsidRPr="004B0194">
        <w:rPr>
          <w:sz w:val="24"/>
          <w:szCs w:val="24"/>
          <w:lang w:val="en-US"/>
        </w:rPr>
        <w:t xml:space="preserve"> and 2</w:t>
      </w:r>
      <w:r w:rsidRPr="004B0194">
        <w:rPr>
          <w:sz w:val="24"/>
          <w:szCs w:val="24"/>
          <w:vertAlign w:val="superscript"/>
          <w:lang w:val="en-US"/>
        </w:rPr>
        <w:t>nd</w:t>
      </w:r>
      <w:r w:rsidRPr="004B0194">
        <w:rPr>
          <w:sz w:val="24"/>
          <w:szCs w:val="24"/>
          <w:lang w:val="en-US"/>
        </w:rPr>
        <w:t xml:space="preserve"> respondents opposed the application by filing their notices of opposition.  The 1</w:t>
      </w:r>
      <w:r w:rsidRPr="004B0194">
        <w:rPr>
          <w:sz w:val="24"/>
          <w:szCs w:val="24"/>
          <w:vertAlign w:val="superscript"/>
          <w:lang w:val="en-US"/>
        </w:rPr>
        <w:t>st</w:t>
      </w:r>
      <w:r w:rsidRPr="004B0194">
        <w:rPr>
          <w:sz w:val="24"/>
          <w:szCs w:val="24"/>
          <w:lang w:val="en-US"/>
        </w:rPr>
        <w:t xml:space="preserve"> respondent filed heads of argument and appeared in court on the date of the hearing while the 2</w:t>
      </w:r>
      <w:r w:rsidRPr="004B0194">
        <w:rPr>
          <w:sz w:val="24"/>
          <w:szCs w:val="24"/>
          <w:vertAlign w:val="superscript"/>
          <w:lang w:val="en-US"/>
        </w:rPr>
        <w:t>nd</w:t>
      </w:r>
      <w:r w:rsidRPr="004B0194">
        <w:rPr>
          <w:sz w:val="24"/>
          <w:szCs w:val="24"/>
          <w:lang w:val="en-US"/>
        </w:rPr>
        <w:t xml:space="preserve"> respondent did neither.</w:t>
      </w:r>
    </w:p>
    <w:p w:rsidR="008008DF" w:rsidRPr="004B0194" w:rsidRDefault="009D083E" w:rsidP="008008DF">
      <w:pPr>
        <w:jc w:val="both"/>
        <w:rPr>
          <w:sz w:val="24"/>
          <w:szCs w:val="24"/>
          <w:lang w:val="en-US"/>
        </w:rPr>
      </w:pPr>
      <w:r w:rsidRPr="004B0194">
        <w:rPr>
          <w:b/>
          <w:sz w:val="24"/>
          <w:szCs w:val="24"/>
          <w:lang w:val="en-US"/>
        </w:rPr>
        <w:t>First respondent’s case</w:t>
      </w:r>
      <w:r w:rsidRPr="004B0194">
        <w:rPr>
          <w:sz w:val="24"/>
          <w:szCs w:val="24"/>
          <w:lang w:val="en-US"/>
        </w:rPr>
        <w:tab/>
      </w:r>
    </w:p>
    <w:p w:rsidR="009D083E" w:rsidRPr="004B0194" w:rsidRDefault="009D083E" w:rsidP="008008DF">
      <w:pPr>
        <w:ind w:firstLine="720"/>
        <w:jc w:val="both"/>
        <w:rPr>
          <w:sz w:val="24"/>
          <w:szCs w:val="24"/>
          <w:lang w:val="en-US"/>
        </w:rPr>
      </w:pPr>
      <w:r w:rsidRPr="004B0194">
        <w:rPr>
          <w:sz w:val="24"/>
          <w:szCs w:val="24"/>
          <w:lang w:val="en-US"/>
        </w:rPr>
        <w:t>The thrust of the 1</w:t>
      </w:r>
      <w:r w:rsidRPr="004B0194">
        <w:rPr>
          <w:sz w:val="24"/>
          <w:szCs w:val="24"/>
          <w:vertAlign w:val="superscript"/>
          <w:lang w:val="en-US"/>
        </w:rPr>
        <w:t>st</w:t>
      </w:r>
      <w:r w:rsidRPr="004B0194">
        <w:rPr>
          <w:sz w:val="24"/>
          <w:szCs w:val="24"/>
          <w:lang w:val="en-US"/>
        </w:rPr>
        <w:t xml:space="preserve"> respondent’s case is to resist the cancellation of</w:t>
      </w:r>
      <w:r w:rsidR="00484ECE" w:rsidRPr="004B0194">
        <w:rPr>
          <w:sz w:val="24"/>
          <w:szCs w:val="24"/>
          <w:lang w:val="en-US"/>
        </w:rPr>
        <w:t xml:space="preserve"> his title deed by arguing that there is no recognizable </w:t>
      </w:r>
      <w:r w:rsidR="00E73FA0" w:rsidRPr="004B0194">
        <w:rPr>
          <w:sz w:val="24"/>
          <w:szCs w:val="24"/>
          <w:lang w:val="en-US"/>
        </w:rPr>
        <w:t xml:space="preserve">cause </w:t>
      </w:r>
      <w:r w:rsidR="00484ECE" w:rsidRPr="004B0194">
        <w:rPr>
          <w:sz w:val="24"/>
          <w:szCs w:val="24"/>
          <w:lang w:val="en-US"/>
        </w:rPr>
        <w:t>of action pleaded by the applicant for the cancellation of the 1</w:t>
      </w:r>
      <w:r w:rsidR="00484ECE" w:rsidRPr="004B0194">
        <w:rPr>
          <w:sz w:val="24"/>
          <w:szCs w:val="24"/>
          <w:vertAlign w:val="superscript"/>
          <w:lang w:val="en-US"/>
        </w:rPr>
        <w:t>st</w:t>
      </w:r>
      <w:r w:rsidR="00484ECE" w:rsidRPr="004B0194">
        <w:rPr>
          <w:sz w:val="24"/>
          <w:szCs w:val="24"/>
          <w:lang w:val="en-US"/>
        </w:rPr>
        <w:t xml:space="preserve"> respondent’s title to the property in dispute.  It was conten</w:t>
      </w:r>
      <w:r w:rsidR="00E73FA0" w:rsidRPr="004B0194">
        <w:rPr>
          <w:sz w:val="24"/>
          <w:szCs w:val="24"/>
          <w:lang w:val="en-US"/>
        </w:rPr>
        <w:t>d</w:t>
      </w:r>
      <w:r w:rsidR="00484ECE" w:rsidRPr="004B0194">
        <w:rPr>
          <w:sz w:val="24"/>
          <w:szCs w:val="24"/>
          <w:lang w:val="en-US"/>
        </w:rPr>
        <w:t>ed that the applicant has failed to demonstrate the basis upon which he seeks the courts to c</w:t>
      </w:r>
      <w:r w:rsidR="00E73FA0" w:rsidRPr="004B0194">
        <w:rPr>
          <w:sz w:val="24"/>
          <w:szCs w:val="24"/>
          <w:lang w:val="en-US"/>
        </w:rPr>
        <w:t>anc</w:t>
      </w:r>
      <w:r w:rsidR="00484ECE" w:rsidRPr="004B0194">
        <w:rPr>
          <w:sz w:val="24"/>
          <w:szCs w:val="24"/>
          <w:lang w:val="en-US"/>
        </w:rPr>
        <w:t>el the 1</w:t>
      </w:r>
      <w:r w:rsidR="00484ECE" w:rsidRPr="004B0194">
        <w:rPr>
          <w:sz w:val="24"/>
          <w:szCs w:val="24"/>
          <w:vertAlign w:val="superscript"/>
          <w:lang w:val="en-US"/>
        </w:rPr>
        <w:t>st</w:t>
      </w:r>
      <w:r w:rsidR="00484ECE" w:rsidRPr="004B0194">
        <w:rPr>
          <w:sz w:val="24"/>
          <w:szCs w:val="24"/>
          <w:lang w:val="en-US"/>
        </w:rPr>
        <w:t xml:space="preserve"> respondent’s title deed.</w:t>
      </w:r>
    </w:p>
    <w:p w:rsidR="00470294" w:rsidRPr="004B0194" w:rsidRDefault="00764354" w:rsidP="008008DF">
      <w:pPr>
        <w:jc w:val="both"/>
        <w:rPr>
          <w:sz w:val="24"/>
          <w:szCs w:val="24"/>
          <w:lang w:val="en-US"/>
        </w:rPr>
      </w:pPr>
      <w:r w:rsidRPr="004B0194">
        <w:rPr>
          <w:sz w:val="24"/>
          <w:szCs w:val="24"/>
          <w:lang w:val="en-US"/>
        </w:rPr>
        <w:tab/>
        <w:t>Further, it was argued that the 1</w:t>
      </w:r>
      <w:r w:rsidRPr="004B0194">
        <w:rPr>
          <w:sz w:val="24"/>
          <w:szCs w:val="24"/>
          <w:vertAlign w:val="superscript"/>
          <w:lang w:val="en-US"/>
        </w:rPr>
        <w:t>st</w:t>
      </w:r>
      <w:r w:rsidRPr="004B0194">
        <w:rPr>
          <w:sz w:val="24"/>
          <w:szCs w:val="24"/>
          <w:lang w:val="en-US"/>
        </w:rPr>
        <w:t xml:space="preserve"> respondent was an innocent purchaser of the property in dispute and has taken transfer, title and ownership of the property in dispute and as such he </w:t>
      </w:r>
      <w:r w:rsidRPr="004B0194">
        <w:rPr>
          <w:sz w:val="24"/>
          <w:szCs w:val="24"/>
          <w:lang w:val="en-US"/>
        </w:rPr>
        <w:lastRenderedPageBreak/>
        <w:t>has real rights over the property, he thus deserves more protection from the courts than the applicant.</w:t>
      </w:r>
    </w:p>
    <w:p w:rsidR="00764354" w:rsidRPr="004B0194" w:rsidRDefault="00764354" w:rsidP="008008DF">
      <w:pPr>
        <w:jc w:val="both"/>
        <w:rPr>
          <w:sz w:val="24"/>
          <w:szCs w:val="24"/>
          <w:lang w:val="en-US"/>
        </w:rPr>
      </w:pPr>
      <w:r w:rsidRPr="004B0194">
        <w:rPr>
          <w:sz w:val="24"/>
          <w:szCs w:val="24"/>
          <w:lang w:val="en-US"/>
        </w:rPr>
        <w:tab/>
        <w:t xml:space="preserve">The applicant in as far as his interests to the property are founded on an alleged valid agreement of sale </w:t>
      </w:r>
      <w:r w:rsidR="00E73FA0" w:rsidRPr="004B0194">
        <w:rPr>
          <w:sz w:val="24"/>
          <w:szCs w:val="24"/>
          <w:lang w:val="en-US"/>
        </w:rPr>
        <w:t>i</w:t>
      </w:r>
      <w:r w:rsidRPr="004B0194">
        <w:rPr>
          <w:sz w:val="24"/>
          <w:szCs w:val="24"/>
          <w:lang w:val="en-US"/>
        </w:rPr>
        <w:t>s only clothed with personal rights which are only enforceable against 2</w:t>
      </w:r>
      <w:r w:rsidRPr="004B0194">
        <w:rPr>
          <w:sz w:val="24"/>
          <w:szCs w:val="24"/>
          <w:vertAlign w:val="superscript"/>
          <w:lang w:val="en-US"/>
        </w:rPr>
        <w:t>nd</w:t>
      </w:r>
      <w:r w:rsidRPr="004B0194">
        <w:rPr>
          <w:sz w:val="24"/>
          <w:szCs w:val="24"/>
          <w:lang w:val="en-US"/>
        </w:rPr>
        <w:t xml:space="preserve"> respondent</w:t>
      </w:r>
      <w:r w:rsidR="000F3807" w:rsidRPr="004B0194">
        <w:rPr>
          <w:sz w:val="24"/>
          <w:szCs w:val="24"/>
          <w:lang w:val="en-US"/>
        </w:rPr>
        <w:t xml:space="preserve"> and as such his remedy should be limited to the 2</w:t>
      </w:r>
      <w:r w:rsidR="000F3807" w:rsidRPr="004B0194">
        <w:rPr>
          <w:sz w:val="24"/>
          <w:szCs w:val="24"/>
          <w:vertAlign w:val="superscript"/>
          <w:lang w:val="en-US"/>
        </w:rPr>
        <w:t>nd</w:t>
      </w:r>
      <w:r w:rsidR="000F3807" w:rsidRPr="004B0194">
        <w:rPr>
          <w:sz w:val="24"/>
          <w:szCs w:val="24"/>
          <w:lang w:val="en-US"/>
        </w:rPr>
        <w:t xml:space="preserve"> respondent on the form of restitution and damage</w:t>
      </w:r>
      <w:r w:rsidR="00E73FA0" w:rsidRPr="004B0194">
        <w:rPr>
          <w:sz w:val="24"/>
          <w:szCs w:val="24"/>
          <w:lang w:val="en-US"/>
        </w:rPr>
        <w:t>s</w:t>
      </w:r>
      <w:r w:rsidR="000F3807" w:rsidRPr="004B0194">
        <w:rPr>
          <w:sz w:val="24"/>
          <w:szCs w:val="24"/>
          <w:lang w:val="en-US"/>
        </w:rPr>
        <w:t xml:space="preserve"> or otherwise.</w:t>
      </w:r>
    </w:p>
    <w:p w:rsidR="000F3807" w:rsidRPr="004B0194" w:rsidRDefault="000F3807" w:rsidP="008008DF">
      <w:pPr>
        <w:jc w:val="both"/>
        <w:rPr>
          <w:sz w:val="24"/>
          <w:szCs w:val="24"/>
          <w:lang w:val="en-US"/>
        </w:rPr>
      </w:pPr>
      <w:r w:rsidRPr="004B0194">
        <w:rPr>
          <w:sz w:val="24"/>
          <w:szCs w:val="24"/>
          <w:lang w:val="en-US"/>
        </w:rPr>
        <w:tab/>
        <w:t>The 1</w:t>
      </w:r>
      <w:r w:rsidRPr="004B0194">
        <w:rPr>
          <w:sz w:val="24"/>
          <w:szCs w:val="24"/>
          <w:vertAlign w:val="superscript"/>
          <w:lang w:val="en-US"/>
        </w:rPr>
        <w:t>st</w:t>
      </w:r>
      <w:r w:rsidRPr="004B0194">
        <w:rPr>
          <w:sz w:val="24"/>
          <w:szCs w:val="24"/>
          <w:lang w:val="en-US"/>
        </w:rPr>
        <w:t xml:space="preserve"> respondent r</w:t>
      </w:r>
      <w:r w:rsidR="00D77247" w:rsidRPr="004B0194">
        <w:rPr>
          <w:sz w:val="24"/>
          <w:szCs w:val="24"/>
          <w:lang w:val="en-US"/>
        </w:rPr>
        <w:t>a</w:t>
      </w:r>
      <w:r w:rsidRPr="004B0194">
        <w:rPr>
          <w:sz w:val="24"/>
          <w:szCs w:val="24"/>
          <w:lang w:val="en-US"/>
        </w:rPr>
        <w:t xml:space="preserve">ised three points </w:t>
      </w:r>
      <w:r w:rsidRPr="004B0194">
        <w:rPr>
          <w:i/>
          <w:sz w:val="24"/>
          <w:szCs w:val="24"/>
          <w:lang w:val="en-US"/>
        </w:rPr>
        <w:t>in limine</w:t>
      </w:r>
      <w:r w:rsidRPr="004B0194">
        <w:rPr>
          <w:sz w:val="24"/>
          <w:szCs w:val="24"/>
          <w:lang w:val="en-US"/>
        </w:rPr>
        <w:t>.  The 1</w:t>
      </w:r>
      <w:r w:rsidRPr="004B0194">
        <w:rPr>
          <w:sz w:val="24"/>
          <w:szCs w:val="24"/>
          <w:vertAlign w:val="superscript"/>
          <w:lang w:val="en-US"/>
        </w:rPr>
        <w:t>st</w:t>
      </w:r>
      <w:r w:rsidRPr="004B0194">
        <w:rPr>
          <w:sz w:val="24"/>
          <w:szCs w:val="24"/>
          <w:lang w:val="en-US"/>
        </w:rPr>
        <w:t xml:space="preserve"> is that the notice of application is fatally defective.  The argument </w:t>
      </w:r>
      <w:r w:rsidR="00D77247" w:rsidRPr="004B0194">
        <w:rPr>
          <w:sz w:val="24"/>
          <w:szCs w:val="24"/>
          <w:lang w:val="en-US"/>
        </w:rPr>
        <w:t>i</w:t>
      </w:r>
      <w:r w:rsidRPr="004B0194">
        <w:rPr>
          <w:sz w:val="24"/>
          <w:szCs w:val="24"/>
          <w:lang w:val="en-US"/>
        </w:rPr>
        <w:t>s anchored on the fact that in terms of r</w:t>
      </w:r>
      <w:r w:rsidR="00E73FA0" w:rsidRPr="004B0194">
        <w:rPr>
          <w:sz w:val="24"/>
          <w:szCs w:val="24"/>
          <w:lang w:val="en-US"/>
        </w:rPr>
        <w:t>60 (1)</w:t>
      </w:r>
      <w:r w:rsidRPr="004B0194">
        <w:rPr>
          <w:sz w:val="24"/>
          <w:szCs w:val="24"/>
          <w:lang w:val="en-US"/>
        </w:rPr>
        <w:t xml:space="preserve"> of this court’</w:t>
      </w:r>
      <w:r w:rsidR="00B71023" w:rsidRPr="004B0194">
        <w:rPr>
          <w:sz w:val="24"/>
          <w:szCs w:val="24"/>
          <w:lang w:val="en-US"/>
        </w:rPr>
        <w:t>s rule</w:t>
      </w:r>
      <w:r w:rsidR="00E73FA0" w:rsidRPr="004B0194">
        <w:rPr>
          <w:sz w:val="24"/>
          <w:szCs w:val="24"/>
          <w:lang w:val="en-US"/>
        </w:rPr>
        <w:t>s</w:t>
      </w:r>
      <w:r w:rsidR="00B71023" w:rsidRPr="004B0194">
        <w:rPr>
          <w:sz w:val="24"/>
          <w:szCs w:val="24"/>
          <w:lang w:val="en-US"/>
        </w:rPr>
        <w:t xml:space="preserve"> a chamber application must, if served on an interested party, be in form 2</w:t>
      </w:r>
      <w:r w:rsidR="00E73FA0" w:rsidRPr="004B0194">
        <w:rPr>
          <w:sz w:val="24"/>
          <w:szCs w:val="24"/>
          <w:lang w:val="en-US"/>
        </w:rPr>
        <w:t>3</w:t>
      </w:r>
      <w:r w:rsidR="00B71023" w:rsidRPr="004B0194">
        <w:rPr>
          <w:sz w:val="24"/>
          <w:szCs w:val="24"/>
          <w:lang w:val="en-US"/>
        </w:rPr>
        <w:t>.  In other circ</w:t>
      </w:r>
      <w:r w:rsidR="007B44ED" w:rsidRPr="004B0194">
        <w:rPr>
          <w:sz w:val="24"/>
          <w:szCs w:val="24"/>
          <w:lang w:val="en-US"/>
        </w:rPr>
        <w:t>umstances, it must be in form 25</w:t>
      </w:r>
      <w:r w:rsidR="00B71023" w:rsidRPr="004B0194">
        <w:rPr>
          <w:sz w:val="24"/>
          <w:szCs w:val="24"/>
          <w:lang w:val="en-US"/>
        </w:rPr>
        <w:t>.  Form 2</w:t>
      </w:r>
      <w:r w:rsidR="00E73FA0" w:rsidRPr="004B0194">
        <w:rPr>
          <w:sz w:val="24"/>
          <w:szCs w:val="24"/>
          <w:lang w:val="en-US"/>
        </w:rPr>
        <w:t>3</w:t>
      </w:r>
      <w:r w:rsidR="00B71023" w:rsidRPr="004B0194">
        <w:rPr>
          <w:sz w:val="24"/>
          <w:szCs w:val="24"/>
          <w:lang w:val="en-US"/>
        </w:rPr>
        <w:t xml:space="preserve"> is for use in ordinary court applications or those chamber applications that require to be served like the current one.  One of its most important features is that it sets out a plethora of procedural rights.  For example in notifying the respondent of his rights to oppose the application and warns him of the consequences of failure to file opposing papers timeously.  It alerts the respondent to those rights.</w:t>
      </w:r>
    </w:p>
    <w:p w:rsidR="00470294" w:rsidRPr="004B0194" w:rsidRDefault="00B71023" w:rsidP="008008DF">
      <w:pPr>
        <w:jc w:val="both"/>
        <w:rPr>
          <w:sz w:val="24"/>
          <w:szCs w:val="24"/>
          <w:lang w:val="en-US"/>
        </w:rPr>
      </w:pPr>
      <w:r w:rsidRPr="004B0194">
        <w:rPr>
          <w:sz w:val="24"/>
          <w:szCs w:val="24"/>
          <w:lang w:val="en-US"/>
        </w:rPr>
        <w:tab/>
        <w:t>On the other hand form 2</w:t>
      </w:r>
      <w:r w:rsidR="00E73FA0" w:rsidRPr="004B0194">
        <w:rPr>
          <w:sz w:val="24"/>
          <w:szCs w:val="24"/>
          <w:lang w:val="en-US"/>
        </w:rPr>
        <w:t>5</w:t>
      </w:r>
      <w:r w:rsidRPr="004B0194">
        <w:rPr>
          <w:sz w:val="24"/>
          <w:szCs w:val="24"/>
          <w:lang w:val="en-US"/>
        </w:rPr>
        <w:t>, is for a simple procedural chamber application and requires that the substantive grounds for the application be stated, in summary fashion on the face of that form.  This is the form which the applicant ha</w:t>
      </w:r>
      <w:r w:rsidR="00E73FA0" w:rsidRPr="004B0194">
        <w:rPr>
          <w:sz w:val="24"/>
          <w:szCs w:val="24"/>
          <w:lang w:val="en-US"/>
        </w:rPr>
        <w:t>s</w:t>
      </w:r>
      <w:r w:rsidRPr="004B0194">
        <w:rPr>
          <w:sz w:val="24"/>
          <w:szCs w:val="24"/>
          <w:lang w:val="en-US"/>
        </w:rPr>
        <w:t xml:space="preserve"> </w:t>
      </w:r>
      <w:r w:rsidR="00E73FA0" w:rsidRPr="004B0194">
        <w:rPr>
          <w:sz w:val="24"/>
          <w:szCs w:val="24"/>
          <w:lang w:val="en-US"/>
        </w:rPr>
        <w:t>used</w:t>
      </w:r>
      <w:r w:rsidRPr="004B0194">
        <w:rPr>
          <w:sz w:val="24"/>
          <w:szCs w:val="24"/>
          <w:lang w:val="en-US"/>
        </w:rPr>
        <w:t xml:space="preserve"> herein and is the wrong form.</w:t>
      </w:r>
    </w:p>
    <w:p w:rsidR="00B71023" w:rsidRPr="004B0194" w:rsidRDefault="00B71023" w:rsidP="008008DF">
      <w:pPr>
        <w:jc w:val="both"/>
        <w:rPr>
          <w:sz w:val="24"/>
          <w:szCs w:val="24"/>
          <w:lang w:val="en-US"/>
        </w:rPr>
      </w:pPr>
      <w:r w:rsidRPr="004B0194">
        <w:rPr>
          <w:sz w:val="24"/>
          <w:szCs w:val="24"/>
          <w:lang w:val="en-US"/>
        </w:rPr>
        <w:tab/>
        <w:t xml:space="preserve">In my view this point </w:t>
      </w:r>
      <w:r w:rsidRPr="004B0194">
        <w:rPr>
          <w:i/>
          <w:sz w:val="24"/>
          <w:szCs w:val="24"/>
          <w:lang w:val="en-US"/>
        </w:rPr>
        <w:t>in limine</w:t>
      </w:r>
      <w:r w:rsidRPr="004B0194">
        <w:rPr>
          <w:sz w:val="24"/>
          <w:szCs w:val="24"/>
          <w:lang w:val="en-US"/>
        </w:rPr>
        <w:t xml:space="preserve"> is not dis</w:t>
      </w:r>
      <w:r w:rsidR="00E17114" w:rsidRPr="004B0194">
        <w:rPr>
          <w:sz w:val="24"/>
          <w:szCs w:val="24"/>
          <w:lang w:val="en-US"/>
        </w:rPr>
        <w:t xml:space="preserve">positive of the case in that while it is clear that the applicant </w:t>
      </w:r>
      <w:r w:rsidR="00E73FA0" w:rsidRPr="004B0194">
        <w:rPr>
          <w:sz w:val="24"/>
          <w:szCs w:val="24"/>
          <w:lang w:val="en-US"/>
        </w:rPr>
        <w:t>u</w:t>
      </w:r>
      <w:r w:rsidR="00E17114" w:rsidRPr="004B0194">
        <w:rPr>
          <w:sz w:val="24"/>
          <w:szCs w:val="24"/>
          <w:lang w:val="en-US"/>
        </w:rPr>
        <w:t xml:space="preserve">sed a wrong form, it did not use a non-existent form.  Therefore, the use of the wrong form is hereby condoned in terms of </w:t>
      </w:r>
      <w:r w:rsidR="00E73FA0" w:rsidRPr="004B0194">
        <w:rPr>
          <w:sz w:val="24"/>
          <w:szCs w:val="24"/>
          <w:lang w:val="en-US"/>
        </w:rPr>
        <w:t xml:space="preserve">rule 7 (1) (a) </w:t>
      </w:r>
      <w:r w:rsidR="00E17114" w:rsidRPr="004B0194">
        <w:rPr>
          <w:sz w:val="24"/>
          <w:szCs w:val="24"/>
          <w:lang w:val="en-US"/>
        </w:rPr>
        <w:t>of this court’s rules</w:t>
      </w:r>
      <w:r w:rsidR="00E73FA0" w:rsidRPr="004B0194">
        <w:rPr>
          <w:sz w:val="24"/>
          <w:szCs w:val="24"/>
          <w:lang w:val="en-US"/>
        </w:rPr>
        <w:t>.  SI 202 of 2021</w:t>
      </w:r>
      <w:r w:rsidR="00E17114" w:rsidRPr="004B0194">
        <w:rPr>
          <w:sz w:val="24"/>
          <w:szCs w:val="24"/>
          <w:lang w:val="en-US"/>
        </w:rPr>
        <w:t>.</w:t>
      </w:r>
    </w:p>
    <w:p w:rsidR="00E17114" w:rsidRPr="004B0194" w:rsidRDefault="00E17114" w:rsidP="008008DF">
      <w:pPr>
        <w:ind w:firstLine="720"/>
        <w:jc w:val="both"/>
        <w:rPr>
          <w:sz w:val="24"/>
          <w:szCs w:val="24"/>
          <w:lang w:val="en-US"/>
        </w:rPr>
      </w:pPr>
      <w:r w:rsidRPr="004B0194">
        <w:rPr>
          <w:sz w:val="24"/>
          <w:szCs w:val="24"/>
          <w:lang w:val="en-US"/>
        </w:rPr>
        <w:t xml:space="preserve">The second point </w:t>
      </w:r>
      <w:r w:rsidR="00D77247" w:rsidRPr="004B0194">
        <w:rPr>
          <w:i/>
          <w:sz w:val="24"/>
          <w:szCs w:val="24"/>
          <w:lang w:val="en-US"/>
        </w:rPr>
        <w:t>i</w:t>
      </w:r>
      <w:r w:rsidRPr="004B0194">
        <w:rPr>
          <w:i/>
          <w:sz w:val="24"/>
          <w:szCs w:val="24"/>
          <w:lang w:val="en-US"/>
        </w:rPr>
        <w:t>n limine</w:t>
      </w:r>
      <w:r w:rsidRPr="004B0194">
        <w:rPr>
          <w:sz w:val="24"/>
          <w:szCs w:val="24"/>
          <w:lang w:val="en-US"/>
        </w:rPr>
        <w:t xml:space="preserve"> relates to the use of a wrong procedure.</w:t>
      </w:r>
      <w:r w:rsidR="0078472D" w:rsidRPr="004B0194">
        <w:rPr>
          <w:sz w:val="24"/>
          <w:szCs w:val="24"/>
          <w:lang w:val="en-US"/>
        </w:rPr>
        <w:t xml:space="preserve">  The argument is that since this matter is riddled with material disputes of facts the correct procedure to adopt is by action or trial procedure through the issuance of </w:t>
      </w:r>
      <w:r w:rsidR="00E73FA0" w:rsidRPr="004B0194">
        <w:rPr>
          <w:sz w:val="24"/>
          <w:szCs w:val="24"/>
          <w:lang w:val="en-US"/>
        </w:rPr>
        <w:t xml:space="preserve">a </w:t>
      </w:r>
      <w:r w:rsidR="0078472D" w:rsidRPr="004B0194">
        <w:rPr>
          <w:sz w:val="24"/>
          <w:szCs w:val="24"/>
          <w:lang w:val="en-US"/>
        </w:rPr>
        <w:t xml:space="preserve">summons and not by application and/or </w:t>
      </w:r>
      <w:r w:rsidR="0078472D" w:rsidRPr="004B0194">
        <w:rPr>
          <w:sz w:val="24"/>
          <w:szCs w:val="24"/>
          <w:lang w:val="en-US"/>
        </w:rPr>
        <w:lastRenderedPageBreak/>
        <w:t>motion proceedings.  It was further contended that this is one matter that cannot be resolved by mot</w:t>
      </w:r>
      <w:r w:rsidR="00C60A9C" w:rsidRPr="004B0194">
        <w:rPr>
          <w:sz w:val="24"/>
          <w:szCs w:val="24"/>
          <w:lang w:val="en-US"/>
        </w:rPr>
        <w:t>ion proceedings and the multiplicity of litigation on this matter is in itself an indication that the matter is loaded with disputes of facts and the applicant ought to have foreseen this and proceeded by way of action procedure.</w:t>
      </w:r>
    </w:p>
    <w:p w:rsidR="00C60A9C" w:rsidRPr="004B0194" w:rsidRDefault="00C60A9C" w:rsidP="008008DF">
      <w:pPr>
        <w:ind w:firstLine="720"/>
        <w:jc w:val="both"/>
        <w:rPr>
          <w:sz w:val="24"/>
          <w:szCs w:val="24"/>
          <w:lang w:val="en-US"/>
        </w:rPr>
      </w:pPr>
      <w:r w:rsidRPr="004B0194">
        <w:rPr>
          <w:sz w:val="24"/>
          <w:szCs w:val="24"/>
          <w:lang w:val="en-US"/>
        </w:rPr>
        <w:t xml:space="preserve">The applicant’s response was that there are </w:t>
      </w:r>
      <w:r w:rsidR="00E73FA0" w:rsidRPr="004B0194">
        <w:rPr>
          <w:sz w:val="24"/>
          <w:szCs w:val="24"/>
          <w:lang w:val="en-US"/>
        </w:rPr>
        <w:t xml:space="preserve">no </w:t>
      </w:r>
      <w:r w:rsidRPr="004B0194">
        <w:rPr>
          <w:sz w:val="24"/>
          <w:szCs w:val="24"/>
          <w:lang w:val="en-US"/>
        </w:rPr>
        <w:t xml:space="preserve">material; disputes of fact because the applicant’s case is founded on a court order </w:t>
      </w:r>
      <w:r w:rsidR="00E73FA0" w:rsidRPr="004B0194">
        <w:rPr>
          <w:sz w:val="24"/>
          <w:szCs w:val="24"/>
          <w:lang w:val="en-US"/>
        </w:rPr>
        <w:t>under</w:t>
      </w:r>
      <w:r w:rsidRPr="004B0194">
        <w:rPr>
          <w:sz w:val="24"/>
          <w:szCs w:val="24"/>
          <w:lang w:val="en-US"/>
        </w:rPr>
        <w:t xml:space="preserve"> HC 3337/17.</w:t>
      </w:r>
    </w:p>
    <w:p w:rsidR="00C60A9C" w:rsidRPr="004B0194" w:rsidRDefault="00C60A9C" w:rsidP="008008DF">
      <w:pPr>
        <w:ind w:firstLine="720"/>
        <w:jc w:val="both"/>
        <w:rPr>
          <w:sz w:val="24"/>
          <w:szCs w:val="24"/>
          <w:lang w:val="en-US"/>
        </w:rPr>
      </w:pPr>
      <w:r w:rsidRPr="004B0194">
        <w:rPr>
          <w:sz w:val="24"/>
          <w:szCs w:val="24"/>
          <w:lang w:val="en-US"/>
        </w:rPr>
        <w:t xml:space="preserve">The proper approach to adopt </w:t>
      </w:r>
      <w:r w:rsidR="0041126D" w:rsidRPr="004B0194">
        <w:rPr>
          <w:sz w:val="24"/>
          <w:szCs w:val="24"/>
          <w:lang w:val="en-US"/>
        </w:rPr>
        <w:t xml:space="preserve">in such cases </w:t>
      </w:r>
      <w:r w:rsidRPr="004B0194">
        <w:rPr>
          <w:sz w:val="24"/>
          <w:szCs w:val="24"/>
          <w:lang w:val="en-US"/>
        </w:rPr>
        <w:t xml:space="preserve">was laid down in </w:t>
      </w:r>
      <w:proofErr w:type="spellStart"/>
      <w:r w:rsidRPr="004B0194">
        <w:rPr>
          <w:i/>
          <w:sz w:val="24"/>
          <w:szCs w:val="24"/>
          <w:lang w:val="en-US"/>
        </w:rPr>
        <w:t>Sherein</w:t>
      </w:r>
      <w:r w:rsidR="0041126D" w:rsidRPr="004B0194">
        <w:rPr>
          <w:i/>
          <w:sz w:val="24"/>
          <w:szCs w:val="24"/>
          <w:lang w:val="en-US"/>
        </w:rPr>
        <w:t>i</w:t>
      </w:r>
      <w:proofErr w:type="spellEnd"/>
      <w:r w:rsidRPr="004B0194">
        <w:rPr>
          <w:sz w:val="24"/>
          <w:szCs w:val="24"/>
          <w:lang w:val="en-US"/>
        </w:rPr>
        <w:t xml:space="preserve"> v </w:t>
      </w:r>
      <w:proofErr w:type="spellStart"/>
      <w:r w:rsidRPr="004B0194">
        <w:rPr>
          <w:i/>
          <w:sz w:val="24"/>
          <w:szCs w:val="24"/>
          <w:lang w:val="en-US"/>
        </w:rPr>
        <w:t>Moyo</w:t>
      </w:r>
      <w:proofErr w:type="spellEnd"/>
      <w:r w:rsidRPr="004B0194">
        <w:rPr>
          <w:i/>
          <w:sz w:val="24"/>
          <w:szCs w:val="24"/>
          <w:lang w:val="en-US"/>
        </w:rPr>
        <w:t xml:space="preserve"> </w:t>
      </w:r>
      <w:r w:rsidRPr="004B0194">
        <w:rPr>
          <w:sz w:val="24"/>
          <w:szCs w:val="24"/>
          <w:lang w:val="en-US"/>
        </w:rPr>
        <w:t>1989 (2) ZLR 148 (SC) at 150A-B where the court stated that:</w:t>
      </w:r>
    </w:p>
    <w:p w:rsidR="00C60A9C" w:rsidRPr="004B0194" w:rsidRDefault="00C60A9C" w:rsidP="00D77247">
      <w:pPr>
        <w:pStyle w:val="NoSpacing"/>
        <w:ind w:left="720"/>
        <w:jc w:val="both"/>
        <w:rPr>
          <w:sz w:val="24"/>
          <w:szCs w:val="24"/>
          <w:lang w:val="en-US"/>
        </w:rPr>
      </w:pPr>
      <w:r w:rsidRPr="004B0194">
        <w:rPr>
          <w:sz w:val="24"/>
          <w:szCs w:val="24"/>
          <w:lang w:val="en-US"/>
        </w:rPr>
        <w:t>“</w:t>
      </w:r>
      <w:proofErr w:type="gramStart"/>
      <w:r w:rsidRPr="004B0194">
        <w:rPr>
          <w:sz w:val="24"/>
          <w:szCs w:val="24"/>
          <w:lang w:val="en-US"/>
        </w:rPr>
        <w:t>the</w:t>
      </w:r>
      <w:proofErr w:type="gramEnd"/>
      <w:r w:rsidRPr="004B0194">
        <w:rPr>
          <w:sz w:val="24"/>
          <w:szCs w:val="24"/>
          <w:lang w:val="en-US"/>
        </w:rPr>
        <w:t xml:space="preserve"> court has a discretion as to the future course of application proceedings where there a</w:t>
      </w:r>
      <w:r w:rsidR="00D77247" w:rsidRPr="004B0194">
        <w:rPr>
          <w:sz w:val="24"/>
          <w:szCs w:val="24"/>
          <w:lang w:val="en-US"/>
        </w:rPr>
        <w:t>r</w:t>
      </w:r>
      <w:r w:rsidRPr="004B0194">
        <w:rPr>
          <w:sz w:val="24"/>
          <w:szCs w:val="24"/>
          <w:lang w:val="en-US"/>
        </w:rPr>
        <w:t xml:space="preserve">e material disputes of fact which cannot be resolved on the papers.  The court can choose to dismiss the application as a mark of its disapproval of the procedure chosen, or refer the matter to trial or call for oral evidence in terms of the rules of court.  </w:t>
      </w:r>
      <w:r w:rsidRPr="004B0194">
        <w:rPr>
          <w:sz w:val="24"/>
          <w:szCs w:val="24"/>
          <w:u w:val="single"/>
          <w:lang w:val="en-US"/>
        </w:rPr>
        <w:t>The first course is adopted where the applicant should have realized at the time of launching the application that disputes of fact were bound to arise</w:t>
      </w:r>
      <w:r w:rsidR="00D77247" w:rsidRPr="004B0194">
        <w:rPr>
          <w:sz w:val="24"/>
          <w:szCs w:val="24"/>
          <w:u w:val="single"/>
          <w:lang w:val="en-US"/>
        </w:rPr>
        <w:t>.</w:t>
      </w:r>
      <w:r w:rsidR="00D77247" w:rsidRPr="004B0194">
        <w:rPr>
          <w:sz w:val="24"/>
          <w:szCs w:val="24"/>
          <w:lang w:val="en-US"/>
        </w:rPr>
        <w:t xml:space="preserve"> (</w:t>
      </w:r>
      <w:proofErr w:type="gramStart"/>
      <w:r w:rsidRPr="004B0194">
        <w:rPr>
          <w:sz w:val="24"/>
          <w:szCs w:val="24"/>
          <w:lang w:val="en-US"/>
        </w:rPr>
        <w:t>my</w:t>
      </w:r>
      <w:proofErr w:type="gramEnd"/>
      <w:r w:rsidRPr="004B0194">
        <w:rPr>
          <w:sz w:val="24"/>
          <w:szCs w:val="24"/>
          <w:lang w:val="en-US"/>
        </w:rPr>
        <w:t xml:space="preserve"> emphasis)</w:t>
      </w:r>
    </w:p>
    <w:p w:rsidR="00C60A9C" w:rsidRPr="004B0194" w:rsidRDefault="00C60A9C" w:rsidP="008008DF">
      <w:pPr>
        <w:pStyle w:val="NoSpacing"/>
        <w:jc w:val="both"/>
        <w:rPr>
          <w:sz w:val="24"/>
          <w:szCs w:val="24"/>
          <w:lang w:val="en-US"/>
        </w:rPr>
      </w:pPr>
    </w:p>
    <w:p w:rsidR="00C60A9C" w:rsidRPr="004B0194" w:rsidRDefault="00C60A9C" w:rsidP="008008DF">
      <w:pPr>
        <w:pStyle w:val="NoSpacing"/>
        <w:jc w:val="both"/>
        <w:rPr>
          <w:sz w:val="24"/>
          <w:szCs w:val="24"/>
          <w:lang w:val="en-US"/>
        </w:rPr>
      </w:pPr>
      <w:r w:rsidRPr="004B0194">
        <w:rPr>
          <w:sz w:val="24"/>
          <w:szCs w:val="24"/>
          <w:lang w:val="en-US"/>
        </w:rPr>
        <w:tab/>
        <w:t xml:space="preserve">See </w:t>
      </w:r>
      <w:r w:rsidRPr="004B0194">
        <w:rPr>
          <w:i/>
          <w:sz w:val="24"/>
          <w:szCs w:val="24"/>
          <w:lang w:val="en-US"/>
        </w:rPr>
        <w:t>Masukusa</w:t>
      </w:r>
      <w:r w:rsidRPr="004B0194">
        <w:rPr>
          <w:sz w:val="24"/>
          <w:szCs w:val="24"/>
          <w:lang w:val="en-US"/>
        </w:rPr>
        <w:t xml:space="preserve"> v </w:t>
      </w:r>
      <w:r w:rsidRPr="004B0194">
        <w:rPr>
          <w:i/>
          <w:sz w:val="24"/>
          <w:szCs w:val="24"/>
          <w:lang w:val="en-US"/>
        </w:rPr>
        <w:t>National Foods Ltd &amp; Anor</w:t>
      </w:r>
      <w:r w:rsidRPr="004B0194">
        <w:rPr>
          <w:sz w:val="24"/>
          <w:szCs w:val="24"/>
          <w:lang w:val="en-US"/>
        </w:rPr>
        <w:t xml:space="preserve"> 1983 (1) ZLR 232 (HC); </w:t>
      </w:r>
      <w:r w:rsidRPr="004B0194">
        <w:rPr>
          <w:i/>
          <w:sz w:val="24"/>
          <w:szCs w:val="24"/>
          <w:lang w:val="en-US"/>
        </w:rPr>
        <w:t>Mashingaidze</w:t>
      </w:r>
      <w:r w:rsidRPr="004B0194">
        <w:rPr>
          <w:sz w:val="24"/>
          <w:szCs w:val="24"/>
          <w:lang w:val="en-US"/>
        </w:rPr>
        <w:t xml:space="preserve"> v </w:t>
      </w:r>
      <w:r w:rsidRPr="004B0194">
        <w:rPr>
          <w:i/>
          <w:sz w:val="24"/>
          <w:szCs w:val="24"/>
          <w:lang w:val="en-US"/>
        </w:rPr>
        <w:t xml:space="preserve">Mashingaidze </w:t>
      </w:r>
      <w:r w:rsidRPr="004B0194">
        <w:rPr>
          <w:sz w:val="24"/>
          <w:szCs w:val="24"/>
          <w:lang w:val="en-US"/>
        </w:rPr>
        <w:t xml:space="preserve">1995 (1) ZLR 219 at 222B-C; </w:t>
      </w:r>
      <w:r w:rsidRPr="004B0194">
        <w:rPr>
          <w:i/>
          <w:sz w:val="24"/>
          <w:szCs w:val="24"/>
          <w:lang w:val="en-US"/>
        </w:rPr>
        <w:t xml:space="preserve">Van </w:t>
      </w:r>
      <w:proofErr w:type="spellStart"/>
      <w:r w:rsidRPr="004B0194">
        <w:rPr>
          <w:i/>
          <w:sz w:val="24"/>
          <w:szCs w:val="24"/>
          <w:lang w:val="en-US"/>
        </w:rPr>
        <w:t>Nieker</w:t>
      </w:r>
      <w:r w:rsidR="007B44ED" w:rsidRPr="004B0194">
        <w:rPr>
          <w:i/>
          <w:sz w:val="24"/>
          <w:szCs w:val="24"/>
          <w:lang w:val="en-US"/>
        </w:rPr>
        <w:t>k</w:t>
      </w:r>
      <w:proofErr w:type="spellEnd"/>
      <w:r w:rsidRPr="004B0194">
        <w:rPr>
          <w:sz w:val="24"/>
          <w:szCs w:val="24"/>
          <w:lang w:val="en-US"/>
        </w:rPr>
        <w:t xml:space="preserve"> v </w:t>
      </w:r>
      <w:r w:rsidRPr="004B0194">
        <w:rPr>
          <w:i/>
          <w:sz w:val="24"/>
          <w:szCs w:val="24"/>
          <w:lang w:val="en-US"/>
        </w:rPr>
        <w:t xml:space="preserve">Van </w:t>
      </w:r>
      <w:proofErr w:type="spellStart"/>
      <w:r w:rsidR="00D77247" w:rsidRPr="004B0194">
        <w:rPr>
          <w:i/>
          <w:sz w:val="24"/>
          <w:szCs w:val="24"/>
          <w:lang w:val="en-US"/>
        </w:rPr>
        <w:t>N</w:t>
      </w:r>
      <w:r w:rsidRPr="004B0194">
        <w:rPr>
          <w:i/>
          <w:sz w:val="24"/>
          <w:szCs w:val="24"/>
          <w:lang w:val="en-US"/>
        </w:rPr>
        <w:t>ieker</w:t>
      </w:r>
      <w:r w:rsidR="007B44ED" w:rsidRPr="004B0194">
        <w:rPr>
          <w:i/>
          <w:sz w:val="24"/>
          <w:szCs w:val="24"/>
          <w:lang w:val="en-US"/>
        </w:rPr>
        <w:t>k</w:t>
      </w:r>
      <w:proofErr w:type="spellEnd"/>
      <w:r w:rsidRPr="004B0194">
        <w:rPr>
          <w:i/>
          <w:sz w:val="24"/>
          <w:szCs w:val="24"/>
          <w:lang w:val="en-US"/>
        </w:rPr>
        <w:t xml:space="preserve"> &amp; </w:t>
      </w:r>
      <w:proofErr w:type="spellStart"/>
      <w:r w:rsidRPr="004B0194">
        <w:rPr>
          <w:i/>
          <w:sz w:val="24"/>
          <w:szCs w:val="24"/>
          <w:lang w:val="en-US"/>
        </w:rPr>
        <w:t>Ors</w:t>
      </w:r>
      <w:proofErr w:type="spellEnd"/>
      <w:r w:rsidRPr="004B0194">
        <w:rPr>
          <w:sz w:val="24"/>
          <w:szCs w:val="24"/>
          <w:lang w:val="en-US"/>
        </w:rPr>
        <w:t xml:space="preserve"> 1999 (1) ZLR 421 (S) at 428.</w:t>
      </w:r>
    </w:p>
    <w:p w:rsidR="00C60A9C" w:rsidRPr="004B0194" w:rsidRDefault="00C60A9C" w:rsidP="008008DF">
      <w:pPr>
        <w:jc w:val="both"/>
        <w:rPr>
          <w:sz w:val="24"/>
          <w:szCs w:val="24"/>
          <w:lang w:val="en-US"/>
        </w:rPr>
      </w:pPr>
    </w:p>
    <w:p w:rsidR="00C60A9C" w:rsidRPr="004B0194" w:rsidRDefault="00C60A9C" w:rsidP="008008DF">
      <w:pPr>
        <w:jc w:val="both"/>
        <w:rPr>
          <w:sz w:val="24"/>
          <w:szCs w:val="24"/>
          <w:lang w:val="en-US"/>
        </w:rPr>
      </w:pPr>
      <w:r w:rsidRPr="004B0194">
        <w:rPr>
          <w:sz w:val="24"/>
          <w:szCs w:val="24"/>
          <w:lang w:val="en-US"/>
        </w:rPr>
        <w:tab/>
        <w:t xml:space="preserve">I take the view that in persisting with the argument that there is no challenge to the order under HC 3337/17 and that there are no disputes of facts </w:t>
      </w:r>
      <w:r w:rsidRPr="004B0194">
        <w:rPr>
          <w:i/>
          <w:sz w:val="24"/>
          <w:szCs w:val="24"/>
          <w:lang w:val="en-US"/>
        </w:rPr>
        <w:t>in casu,</w:t>
      </w:r>
      <w:r w:rsidRPr="004B0194">
        <w:rPr>
          <w:sz w:val="24"/>
          <w:szCs w:val="24"/>
          <w:lang w:val="en-US"/>
        </w:rPr>
        <w:t xml:space="preserve"> the </w:t>
      </w:r>
      <w:r w:rsidR="006B008F" w:rsidRPr="004B0194">
        <w:rPr>
          <w:sz w:val="24"/>
          <w:szCs w:val="24"/>
          <w:lang w:val="en-US"/>
        </w:rPr>
        <w:t>applicant is misrepresenting facts.  On page 42 of the record of proceedings the 1</w:t>
      </w:r>
      <w:r w:rsidR="006B008F" w:rsidRPr="004B0194">
        <w:rPr>
          <w:sz w:val="24"/>
          <w:szCs w:val="24"/>
          <w:vertAlign w:val="superscript"/>
          <w:lang w:val="en-US"/>
        </w:rPr>
        <w:t>st</w:t>
      </w:r>
      <w:r w:rsidR="006B008F" w:rsidRPr="004B0194">
        <w:rPr>
          <w:sz w:val="24"/>
          <w:szCs w:val="24"/>
          <w:lang w:val="en-US"/>
        </w:rPr>
        <w:t xml:space="preserve"> respondent filed an application for ‘rescission of judgment” under HC 2312/19.  This is an application for rescission of judgment granted in favour of the applicant under HC 3337/19.  This application is pending.</w:t>
      </w:r>
    </w:p>
    <w:p w:rsidR="006B008F" w:rsidRPr="004B0194" w:rsidRDefault="006B008F" w:rsidP="008008DF">
      <w:pPr>
        <w:jc w:val="both"/>
        <w:rPr>
          <w:sz w:val="24"/>
          <w:szCs w:val="24"/>
          <w:lang w:val="en-US"/>
        </w:rPr>
      </w:pPr>
      <w:r w:rsidRPr="004B0194">
        <w:rPr>
          <w:sz w:val="24"/>
          <w:szCs w:val="24"/>
          <w:lang w:val="en-US"/>
        </w:rPr>
        <w:tab/>
        <w:t xml:space="preserve">Also, there are two more </w:t>
      </w:r>
      <w:r w:rsidR="0041126D" w:rsidRPr="004B0194">
        <w:rPr>
          <w:sz w:val="24"/>
          <w:szCs w:val="24"/>
          <w:lang w:val="en-US"/>
        </w:rPr>
        <w:t>ca</w:t>
      </w:r>
      <w:r w:rsidRPr="004B0194">
        <w:rPr>
          <w:sz w:val="24"/>
          <w:szCs w:val="24"/>
          <w:lang w:val="en-US"/>
        </w:rPr>
        <w:t>ses that are pending in this court involving the same dispute over the same property.  They are (i) HC 1456/20 an urgent chamber application filed on 4 September 2020 and (ii) HC 1666/20 a chamber application filed on 30 September 2020.</w:t>
      </w:r>
    </w:p>
    <w:p w:rsidR="006B008F" w:rsidRPr="004B0194" w:rsidRDefault="006B008F" w:rsidP="008008DF">
      <w:pPr>
        <w:jc w:val="both"/>
        <w:rPr>
          <w:sz w:val="24"/>
          <w:szCs w:val="24"/>
          <w:lang w:val="en-US"/>
        </w:rPr>
      </w:pPr>
      <w:r w:rsidRPr="004B0194">
        <w:rPr>
          <w:sz w:val="24"/>
          <w:szCs w:val="24"/>
          <w:lang w:val="en-US"/>
        </w:rPr>
        <w:lastRenderedPageBreak/>
        <w:tab/>
        <w:t>I am of the view that in this case it was clear at the time of mounting this application that there were material disputes of facts</w:t>
      </w:r>
      <w:r w:rsidR="0041126D" w:rsidRPr="004B0194">
        <w:rPr>
          <w:sz w:val="24"/>
          <w:szCs w:val="24"/>
          <w:lang w:val="en-US"/>
        </w:rPr>
        <w:t>.  F</w:t>
      </w:r>
      <w:r w:rsidRPr="004B0194">
        <w:rPr>
          <w:sz w:val="24"/>
          <w:szCs w:val="24"/>
          <w:lang w:val="en-US"/>
        </w:rPr>
        <w:t>irstly because there has already been multiple litigation in respect of the property in dispute between the applicant and 2</w:t>
      </w:r>
      <w:r w:rsidRPr="004B0194">
        <w:rPr>
          <w:sz w:val="24"/>
          <w:szCs w:val="24"/>
          <w:vertAlign w:val="superscript"/>
          <w:lang w:val="en-US"/>
        </w:rPr>
        <w:t>nd</w:t>
      </w:r>
      <w:r w:rsidRPr="004B0194">
        <w:rPr>
          <w:sz w:val="24"/>
          <w:szCs w:val="24"/>
          <w:lang w:val="en-US"/>
        </w:rPr>
        <w:t xml:space="preserve"> respondent.  </w:t>
      </w:r>
      <w:r w:rsidR="0041126D" w:rsidRPr="004B0194">
        <w:rPr>
          <w:sz w:val="24"/>
          <w:szCs w:val="24"/>
          <w:lang w:val="en-US"/>
        </w:rPr>
        <w:t>Secondly, a</w:t>
      </w:r>
      <w:r w:rsidRPr="004B0194">
        <w:rPr>
          <w:sz w:val="24"/>
          <w:szCs w:val="24"/>
          <w:lang w:val="en-US"/>
        </w:rPr>
        <w:t>t the time of mounting this application, applicant already knew that 2</w:t>
      </w:r>
      <w:r w:rsidRPr="004B0194">
        <w:rPr>
          <w:sz w:val="24"/>
          <w:szCs w:val="24"/>
          <w:vertAlign w:val="superscript"/>
          <w:lang w:val="en-US"/>
        </w:rPr>
        <w:t>nd</w:t>
      </w:r>
      <w:r w:rsidRPr="004B0194">
        <w:rPr>
          <w:sz w:val="24"/>
          <w:szCs w:val="24"/>
          <w:lang w:val="en-US"/>
        </w:rPr>
        <w:t xml:space="preserve"> respondent is alleging that the agreement of sale between applicant and 2</w:t>
      </w:r>
      <w:r w:rsidRPr="004B0194">
        <w:rPr>
          <w:sz w:val="24"/>
          <w:szCs w:val="24"/>
          <w:vertAlign w:val="superscript"/>
          <w:lang w:val="en-US"/>
        </w:rPr>
        <w:t>nd</w:t>
      </w:r>
      <w:r w:rsidRPr="004B0194">
        <w:rPr>
          <w:sz w:val="24"/>
          <w:szCs w:val="24"/>
          <w:lang w:val="en-US"/>
        </w:rPr>
        <w:t xml:space="preserve"> respondent was cancelled at the instance of the 2</w:t>
      </w:r>
      <w:r w:rsidRPr="004B0194">
        <w:rPr>
          <w:sz w:val="24"/>
          <w:szCs w:val="24"/>
          <w:vertAlign w:val="superscript"/>
          <w:lang w:val="en-US"/>
        </w:rPr>
        <w:t>nd</w:t>
      </w:r>
      <w:r w:rsidRPr="004B0194">
        <w:rPr>
          <w:sz w:val="24"/>
          <w:szCs w:val="24"/>
          <w:lang w:val="en-US"/>
        </w:rPr>
        <w:t xml:space="preserve"> respondent </w:t>
      </w:r>
      <w:r w:rsidR="0041126D" w:rsidRPr="004B0194">
        <w:rPr>
          <w:sz w:val="24"/>
          <w:szCs w:val="24"/>
          <w:lang w:val="en-US"/>
        </w:rPr>
        <w:t xml:space="preserve">due </w:t>
      </w:r>
      <w:r w:rsidRPr="004B0194">
        <w:rPr>
          <w:sz w:val="24"/>
          <w:szCs w:val="24"/>
          <w:lang w:val="en-US"/>
        </w:rPr>
        <w:t>to breach on applicant’s part.</w:t>
      </w:r>
    </w:p>
    <w:p w:rsidR="006B008F" w:rsidRPr="004B0194" w:rsidRDefault="006B008F" w:rsidP="008008DF">
      <w:pPr>
        <w:jc w:val="both"/>
        <w:rPr>
          <w:sz w:val="24"/>
          <w:szCs w:val="24"/>
          <w:lang w:val="en-US"/>
        </w:rPr>
      </w:pPr>
      <w:r w:rsidRPr="004B0194">
        <w:rPr>
          <w:sz w:val="24"/>
          <w:szCs w:val="24"/>
          <w:lang w:val="en-US"/>
        </w:rPr>
        <w:tab/>
      </w:r>
      <w:r w:rsidR="0041126D" w:rsidRPr="004B0194">
        <w:rPr>
          <w:sz w:val="24"/>
          <w:szCs w:val="24"/>
          <w:lang w:val="en-US"/>
        </w:rPr>
        <w:t>Thirdly</w:t>
      </w:r>
      <w:r w:rsidRPr="004B0194">
        <w:rPr>
          <w:sz w:val="24"/>
          <w:szCs w:val="24"/>
          <w:lang w:val="en-US"/>
        </w:rPr>
        <w:t>, the applicant has continuously alleged that the 1</w:t>
      </w:r>
      <w:r w:rsidRPr="004B0194">
        <w:rPr>
          <w:sz w:val="24"/>
          <w:szCs w:val="24"/>
          <w:vertAlign w:val="superscript"/>
          <w:lang w:val="en-US"/>
        </w:rPr>
        <w:t>st</w:t>
      </w:r>
      <w:r w:rsidRPr="004B0194">
        <w:rPr>
          <w:sz w:val="24"/>
          <w:szCs w:val="24"/>
          <w:lang w:val="en-US"/>
        </w:rPr>
        <w:t xml:space="preserve"> responde</w:t>
      </w:r>
      <w:r w:rsidR="008008DF" w:rsidRPr="004B0194">
        <w:rPr>
          <w:sz w:val="24"/>
          <w:szCs w:val="24"/>
          <w:lang w:val="en-US"/>
        </w:rPr>
        <w:t>n</w:t>
      </w:r>
      <w:r w:rsidRPr="004B0194">
        <w:rPr>
          <w:sz w:val="24"/>
          <w:szCs w:val="24"/>
          <w:lang w:val="en-US"/>
        </w:rPr>
        <w:t>t obtained title to the property unlawfully and unprocedurally but h</w:t>
      </w:r>
      <w:r w:rsidR="008008DF" w:rsidRPr="004B0194">
        <w:rPr>
          <w:sz w:val="24"/>
          <w:szCs w:val="24"/>
          <w:lang w:val="en-US"/>
        </w:rPr>
        <w:t xml:space="preserve">as failed to place before the </w:t>
      </w:r>
      <w:r w:rsidRPr="004B0194">
        <w:rPr>
          <w:sz w:val="24"/>
          <w:szCs w:val="24"/>
          <w:lang w:val="en-US"/>
        </w:rPr>
        <w:t>court the facts that con</w:t>
      </w:r>
      <w:r w:rsidR="0041126D" w:rsidRPr="004B0194">
        <w:rPr>
          <w:sz w:val="24"/>
          <w:szCs w:val="24"/>
          <w:lang w:val="en-US"/>
        </w:rPr>
        <w:t>stitutes</w:t>
      </w:r>
      <w:r w:rsidRPr="004B0194">
        <w:rPr>
          <w:sz w:val="24"/>
          <w:szCs w:val="24"/>
          <w:lang w:val="en-US"/>
        </w:rPr>
        <w:t xml:space="preserve"> the so-called </w:t>
      </w:r>
      <w:proofErr w:type="spellStart"/>
      <w:r w:rsidRPr="004B0194">
        <w:rPr>
          <w:sz w:val="24"/>
          <w:szCs w:val="24"/>
          <w:lang w:val="en-US"/>
        </w:rPr>
        <w:t>unprocedural</w:t>
      </w:r>
      <w:proofErr w:type="spellEnd"/>
      <w:r w:rsidRPr="004B0194">
        <w:rPr>
          <w:sz w:val="24"/>
          <w:szCs w:val="24"/>
          <w:lang w:val="en-US"/>
        </w:rPr>
        <w:t xml:space="preserve"> events and furthermore it should have </w:t>
      </w:r>
      <w:r w:rsidR="00994608" w:rsidRPr="004B0194">
        <w:rPr>
          <w:sz w:val="24"/>
          <w:szCs w:val="24"/>
          <w:lang w:val="en-US"/>
        </w:rPr>
        <w:t>occurred to the applicant t</w:t>
      </w:r>
      <w:r w:rsidR="008008DF" w:rsidRPr="004B0194">
        <w:rPr>
          <w:sz w:val="24"/>
          <w:szCs w:val="24"/>
          <w:lang w:val="en-US"/>
        </w:rPr>
        <w:t>h</w:t>
      </w:r>
      <w:r w:rsidR="00994608" w:rsidRPr="004B0194">
        <w:rPr>
          <w:sz w:val="24"/>
          <w:szCs w:val="24"/>
          <w:lang w:val="en-US"/>
        </w:rPr>
        <w:t>at 1</w:t>
      </w:r>
      <w:r w:rsidR="00994608" w:rsidRPr="004B0194">
        <w:rPr>
          <w:sz w:val="24"/>
          <w:szCs w:val="24"/>
          <w:vertAlign w:val="superscript"/>
          <w:lang w:val="en-US"/>
        </w:rPr>
        <w:t>st</w:t>
      </w:r>
      <w:r w:rsidR="00994608" w:rsidRPr="004B0194">
        <w:rPr>
          <w:sz w:val="24"/>
          <w:szCs w:val="24"/>
          <w:lang w:val="en-US"/>
        </w:rPr>
        <w:t xml:space="preserve"> respondent will point out that he was a</w:t>
      </w:r>
      <w:r w:rsidR="008008DF" w:rsidRPr="004B0194">
        <w:rPr>
          <w:sz w:val="24"/>
          <w:szCs w:val="24"/>
          <w:lang w:val="en-US"/>
        </w:rPr>
        <w:t>n</w:t>
      </w:r>
      <w:r w:rsidR="00994608" w:rsidRPr="004B0194">
        <w:rPr>
          <w:sz w:val="24"/>
          <w:szCs w:val="24"/>
          <w:lang w:val="en-US"/>
        </w:rPr>
        <w:t xml:space="preserve"> innocent purchaser.  Accordingly, there was sufficient indication that this matter will be riddled with disputes of facts and applicant ought to have proceeded by way of summons.</w:t>
      </w:r>
    </w:p>
    <w:p w:rsidR="00994608" w:rsidRPr="004B0194" w:rsidRDefault="00994608" w:rsidP="008008DF">
      <w:pPr>
        <w:jc w:val="both"/>
        <w:rPr>
          <w:sz w:val="24"/>
          <w:szCs w:val="24"/>
          <w:lang w:val="en-US"/>
        </w:rPr>
      </w:pPr>
      <w:r w:rsidRPr="004B0194">
        <w:rPr>
          <w:sz w:val="24"/>
          <w:szCs w:val="24"/>
          <w:lang w:val="en-US"/>
        </w:rPr>
        <w:tab/>
        <w:t>In the circumstances, the application being fatally defective is hereby dismissed with costs.</w:t>
      </w:r>
    </w:p>
    <w:p w:rsidR="00D77247" w:rsidRDefault="00D77247" w:rsidP="008008DF">
      <w:pPr>
        <w:pStyle w:val="NoSpacing"/>
        <w:jc w:val="both"/>
        <w:rPr>
          <w:i/>
          <w:sz w:val="24"/>
          <w:szCs w:val="24"/>
          <w:lang w:val="en-US"/>
        </w:rPr>
      </w:pPr>
    </w:p>
    <w:p w:rsidR="004B0194" w:rsidRDefault="004B0194" w:rsidP="008008DF">
      <w:pPr>
        <w:pStyle w:val="NoSpacing"/>
        <w:jc w:val="both"/>
        <w:rPr>
          <w:i/>
          <w:sz w:val="24"/>
          <w:szCs w:val="24"/>
          <w:lang w:val="en-US"/>
        </w:rPr>
      </w:pPr>
    </w:p>
    <w:p w:rsidR="004B0194" w:rsidRDefault="004B0194" w:rsidP="008008DF">
      <w:pPr>
        <w:pStyle w:val="NoSpacing"/>
        <w:jc w:val="both"/>
        <w:rPr>
          <w:i/>
          <w:sz w:val="24"/>
          <w:szCs w:val="24"/>
          <w:lang w:val="en-US"/>
        </w:rPr>
      </w:pPr>
    </w:p>
    <w:p w:rsidR="004B0194" w:rsidRPr="004B0194" w:rsidRDefault="004B0194" w:rsidP="008008DF">
      <w:pPr>
        <w:pStyle w:val="NoSpacing"/>
        <w:jc w:val="both"/>
        <w:rPr>
          <w:i/>
          <w:sz w:val="24"/>
          <w:szCs w:val="24"/>
          <w:lang w:val="en-US"/>
        </w:rPr>
      </w:pPr>
    </w:p>
    <w:p w:rsidR="00D77247" w:rsidRPr="004B0194" w:rsidRDefault="00D77247" w:rsidP="008008DF">
      <w:pPr>
        <w:pStyle w:val="NoSpacing"/>
        <w:jc w:val="both"/>
        <w:rPr>
          <w:i/>
          <w:sz w:val="24"/>
          <w:szCs w:val="24"/>
          <w:lang w:val="en-US"/>
        </w:rPr>
      </w:pPr>
    </w:p>
    <w:p w:rsidR="00994608" w:rsidRPr="004B0194" w:rsidRDefault="00994608" w:rsidP="008008DF">
      <w:pPr>
        <w:pStyle w:val="NoSpacing"/>
        <w:jc w:val="both"/>
        <w:rPr>
          <w:sz w:val="24"/>
          <w:szCs w:val="24"/>
          <w:lang w:val="en-US"/>
        </w:rPr>
      </w:pPr>
      <w:r w:rsidRPr="004B0194">
        <w:rPr>
          <w:i/>
          <w:sz w:val="24"/>
          <w:szCs w:val="24"/>
          <w:lang w:val="en-US"/>
        </w:rPr>
        <w:t>Mudenda Attorneys</w:t>
      </w:r>
      <w:r w:rsidRPr="004B0194">
        <w:rPr>
          <w:sz w:val="24"/>
          <w:szCs w:val="24"/>
          <w:lang w:val="en-US"/>
        </w:rPr>
        <w:t>, applicant’s legal practitioners</w:t>
      </w:r>
    </w:p>
    <w:p w:rsidR="00994608" w:rsidRPr="004B0194" w:rsidRDefault="00994608" w:rsidP="008008DF">
      <w:pPr>
        <w:pStyle w:val="NoSpacing"/>
        <w:jc w:val="both"/>
        <w:rPr>
          <w:sz w:val="24"/>
          <w:szCs w:val="24"/>
          <w:lang w:val="en-US"/>
        </w:rPr>
      </w:pPr>
      <w:r w:rsidRPr="004B0194">
        <w:rPr>
          <w:i/>
          <w:sz w:val="24"/>
          <w:szCs w:val="24"/>
          <w:lang w:val="en-US"/>
        </w:rPr>
        <w:t>Mathonsi Law Chambers,</w:t>
      </w:r>
      <w:r w:rsidRPr="004B0194">
        <w:rPr>
          <w:sz w:val="24"/>
          <w:szCs w:val="24"/>
          <w:lang w:val="en-US"/>
        </w:rPr>
        <w:t xml:space="preserve"> 1</w:t>
      </w:r>
      <w:r w:rsidRPr="004B0194">
        <w:rPr>
          <w:sz w:val="24"/>
          <w:szCs w:val="24"/>
          <w:vertAlign w:val="superscript"/>
          <w:lang w:val="en-US"/>
        </w:rPr>
        <w:t>st</w:t>
      </w:r>
      <w:r w:rsidRPr="004B0194">
        <w:rPr>
          <w:sz w:val="24"/>
          <w:szCs w:val="24"/>
          <w:lang w:val="en-US"/>
        </w:rPr>
        <w:t xml:space="preserve"> respondent’s legal practitioners</w:t>
      </w:r>
    </w:p>
    <w:p w:rsidR="00994608" w:rsidRPr="004B0194" w:rsidRDefault="00994608" w:rsidP="008008DF">
      <w:pPr>
        <w:jc w:val="both"/>
        <w:rPr>
          <w:sz w:val="24"/>
          <w:szCs w:val="24"/>
          <w:lang w:val="en-US"/>
        </w:rPr>
      </w:pPr>
    </w:p>
    <w:sectPr w:rsidR="00994608" w:rsidRPr="004B019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0EB" w:rsidRDefault="003800EB" w:rsidP="008008DF">
      <w:pPr>
        <w:spacing w:after="0" w:line="240" w:lineRule="auto"/>
      </w:pPr>
      <w:r>
        <w:separator/>
      </w:r>
    </w:p>
  </w:endnote>
  <w:endnote w:type="continuationSeparator" w:id="0">
    <w:p w:rsidR="003800EB" w:rsidRDefault="003800EB" w:rsidP="00800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0EB" w:rsidRDefault="003800EB" w:rsidP="008008DF">
      <w:pPr>
        <w:spacing w:after="0" w:line="240" w:lineRule="auto"/>
      </w:pPr>
      <w:r>
        <w:separator/>
      </w:r>
    </w:p>
  </w:footnote>
  <w:footnote w:type="continuationSeparator" w:id="0">
    <w:p w:rsidR="003800EB" w:rsidRDefault="003800EB" w:rsidP="008008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0762124"/>
      <w:docPartObj>
        <w:docPartGallery w:val="Page Numbers (Top of Page)"/>
        <w:docPartUnique/>
      </w:docPartObj>
    </w:sdtPr>
    <w:sdtEndPr>
      <w:rPr>
        <w:noProof/>
      </w:rPr>
    </w:sdtEndPr>
    <w:sdtContent>
      <w:p w:rsidR="008008DF" w:rsidRDefault="008008DF">
        <w:pPr>
          <w:pStyle w:val="Header"/>
          <w:jc w:val="right"/>
          <w:rPr>
            <w:noProof/>
          </w:rPr>
        </w:pPr>
        <w:r>
          <w:fldChar w:fldCharType="begin"/>
        </w:r>
        <w:r>
          <w:instrText xml:space="preserve"> PAGE   \* MERGEFORMAT </w:instrText>
        </w:r>
        <w:r>
          <w:fldChar w:fldCharType="separate"/>
        </w:r>
        <w:r w:rsidR="004B0194">
          <w:rPr>
            <w:noProof/>
          </w:rPr>
          <w:t>1</w:t>
        </w:r>
        <w:r>
          <w:rPr>
            <w:noProof/>
          </w:rPr>
          <w:fldChar w:fldCharType="end"/>
        </w:r>
      </w:p>
      <w:p w:rsidR="008008DF" w:rsidRDefault="008008DF">
        <w:pPr>
          <w:pStyle w:val="Header"/>
          <w:jc w:val="right"/>
          <w:rPr>
            <w:noProof/>
          </w:rPr>
        </w:pPr>
        <w:r>
          <w:rPr>
            <w:noProof/>
          </w:rPr>
          <w:t xml:space="preserve">HB </w:t>
        </w:r>
        <w:r w:rsidR="0041126D">
          <w:rPr>
            <w:noProof/>
          </w:rPr>
          <w:t>64</w:t>
        </w:r>
        <w:r>
          <w:rPr>
            <w:noProof/>
          </w:rPr>
          <w:t>/21</w:t>
        </w:r>
      </w:p>
      <w:p w:rsidR="008008DF" w:rsidRDefault="008008DF">
        <w:pPr>
          <w:pStyle w:val="Header"/>
          <w:jc w:val="right"/>
        </w:pPr>
        <w:r>
          <w:rPr>
            <w:noProof/>
          </w:rPr>
          <w:t>HC 541/20</w:t>
        </w:r>
      </w:p>
    </w:sdtContent>
  </w:sdt>
  <w:p w:rsidR="008008DF" w:rsidRDefault="008008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94"/>
    <w:rsid w:val="000F3807"/>
    <w:rsid w:val="001C768F"/>
    <w:rsid w:val="003800EB"/>
    <w:rsid w:val="0041126D"/>
    <w:rsid w:val="00470294"/>
    <w:rsid w:val="00484ECE"/>
    <w:rsid w:val="004B0194"/>
    <w:rsid w:val="006B008F"/>
    <w:rsid w:val="006D2529"/>
    <w:rsid w:val="00710ED8"/>
    <w:rsid w:val="00764354"/>
    <w:rsid w:val="0078472D"/>
    <w:rsid w:val="007B44ED"/>
    <w:rsid w:val="008008DF"/>
    <w:rsid w:val="008D3784"/>
    <w:rsid w:val="00994608"/>
    <w:rsid w:val="009D083E"/>
    <w:rsid w:val="00B71023"/>
    <w:rsid w:val="00C60A9C"/>
    <w:rsid w:val="00CE375D"/>
    <w:rsid w:val="00D77247"/>
    <w:rsid w:val="00E17114"/>
    <w:rsid w:val="00E73FA0"/>
    <w:rsid w:val="00F4230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E6DB1C-37B4-496A-AE01-FB1E6C5C2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68F"/>
    <w:pPr>
      <w:spacing w:line="48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0294"/>
    <w:pPr>
      <w:spacing w:after="0" w:line="240" w:lineRule="auto"/>
    </w:pPr>
    <w:rPr>
      <w:rFonts w:ascii="Times New Roman" w:hAnsi="Times New Roman"/>
      <w:sz w:val="28"/>
    </w:rPr>
  </w:style>
  <w:style w:type="paragraph" w:styleId="Header">
    <w:name w:val="header"/>
    <w:basedOn w:val="Normal"/>
    <w:link w:val="HeaderChar"/>
    <w:uiPriority w:val="99"/>
    <w:unhideWhenUsed/>
    <w:rsid w:val="00800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08DF"/>
    <w:rPr>
      <w:rFonts w:ascii="Times New Roman" w:hAnsi="Times New Roman"/>
      <w:sz w:val="28"/>
    </w:rPr>
  </w:style>
  <w:style w:type="paragraph" w:styleId="Footer">
    <w:name w:val="footer"/>
    <w:basedOn w:val="Normal"/>
    <w:link w:val="FooterChar"/>
    <w:uiPriority w:val="99"/>
    <w:unhideWhenUsed/>
    <w:rsid w:val="00800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08DF"/>
    <w:rPr>
      <w:rFonts w:ascii="Times New Roman" w:hAnsi="Times New Roman"/>
      <w:sz w:val="28"/>
    </w:rPr>
  </w:style>
  <w:style w:type="paragraph" w:styleId="BalloonText">
    <w:name w:val="Balloon Text"/>
    <w:basedOn w:val="Normal"/>
    <w:link w:val="BalloonTextChar"/>
    <w:uiPriority w:val="99"/>
    <w:semiHidden/>
    <w:unhideWhenUsed/>
    <w:rsid w:val="004112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2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10</cp:revision>
  <cp:lastPrinted>2022-03-09T10:39:00Z</cp:lastPrinted>
  <dcterms:created xsi:type="dcterms:W3CDTF">2022-03-07T10:10:00Z</dcterms:created>
  <dcterms:modified xsi:type="dcterms:W3CDTF">2022-03-10T13:05:00Z</dcterms:modified>
</cp:coreProperties>
</file>