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2E112D"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IDAH TAGARIROFA</w:t>
      </w:r>
      <w:r w:rsidR="00F3213C">
        <w:rPr>
          <w:rFonts w:ascii="Times New Roman" w:hAnsi="Times New Roman" w:cs="Times New Roman"/>
          <w:sz w:val="24"/>
          <w:szCs w:val="24"/>
        </w:rPr>
        <w:t xml:space="preserve"> </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rsidR="00D3244F" w:rsidRDefault="00F3213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NHEDZIWA HIGH SCHOOL DEVELOPMENT COMMITEE</w:t>
      </w:r>
    </w:p>
    <w:p w:rsidR="0098005A" w:rsidRDefault="0098005A" w:rsidP="001A1A68">
      <w:pPr>
        <w:spacing w:after="0" w:line="240" w:lineRule="auto"/>
        <w:rPr>
          <w:rFonts w:ascii="Times New Roman" w:hAnsi="Times New Roman" w:cs="Times New Roman"/>
          <w:sz w:val="24"/>
          <w:szCs w:val="24"/>
        </w:rPr>
      </w:pPr>
    </w:p>
    <w:p w:rsidR="0098005A" w:rsidRDefault="0098005A"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AE368A"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F3213C">
        <w:rPr>
          <w:rFonts w:ascii="Times New Roman" w:hAnsi="Times New Roman" w:cs="Times New Roman"/>
          <w:sz w:val="24"/>
          <w:szCs w:val="24"/>
        </w:rPr>
        <w:t>24</w:t>
      </w:r>
      <w:r w:rsidR="0098005A">
        <w:rPr>
          <w:rFonts w:ascii="Times New Roman" w:hAnsi="Times New Roman" w:cs="Times New Roman"/>
          <w:sz w:val="24"/>
          <w:szCs w:val="24"/>
        </w:rPr>
        <w:t xml:space="preserve"> Febr</w:t>
      </w:r>
      <w:r w:rsidR="003A5D15">
        <w:rPr>
          <w:rFonts w:ascii="Times New Roman" w:hAnsi="Times New Roman" w:cs="Times New Roman"/>
          <w:sz w:val="24"/>
          <w:szCs w:val="24"/>
        </w:rPr>
        <w:t>uary 2020</w:t>
      </w:r>
      <w:r w:rsidR="00A1342F">
        <w:rPr>
          <w:rFonts w:ascii="Times New Roman" w:hAnsi="Times New Roman" w:cs="Times New Roman"/>
          <w:sz w:val="24"/>
          <w:szCs w:val="24"/>
        </w:rPr>
        <w:t xml:space="preserve"> and 12 March 2020</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F3213C"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p>
    <w:p w:rsidR="007146A6" w:rsidRDefault="007146A6" w:rsidP="001A1A68">
      <w:pPr>
        <w:spacing w:after="0" w:line="240" w:lineRule="auto"/>
        <w:rPr>
          <w:rFonts w:ascii="Times New Roman" w:hAnsi="Times New Roman" w:cs="Times New Roman"/>
          <w:sz w:val="24"/>
          <w:szCs w:val="24"/>
        </w:rPr>
      </w:pPr>
    </w:p>
    <w:p w:rsidR="003A5D15" w:rsidRDefault="003A5D15" w:rsidP="001A1A68">
      <w:pPr>
        <w:spacing w:after="0" w:line="240" w:lineRule="auto"/>
        <w:rPr>
          <w:rFonts w:ascii="Times New Roman" w:hAnsi="Times New Roman" w:cs="Times New Roman"/>
          <w:b/>
          <w:sz w:val="24"/>
          <w:szCs w:val="24"/>
        </w:rPr>
      </w:pPr>
    </w:p>
    <w:p w:rsidR="004F245B" w:rsidRPr="00C81001" w:rsidRDefault="00813289" w:rsidP="001A1A68">
      <w:pPr>
        <w:spacing w:after="0" w:line="240" w:lineRule="auto"/>
        <w:rPr>
          <w:rFonts w:ascii="Times New Roman" w:hAnsi="Times New Roman" w:cs="Times New Roman"/>
          <w:sz w:val="24"/>
          <w:szCs w:val="24"/>
        </w:rPr>
      </w:pPr>
      <w:r>
        <w:rPr>
          <w:rFonts w:ascii="Times New Roman" w:hAnsi="Times New Roman" w:cs="Times New Roman"/>
          <w:i/>
          <w:sz w:val="24"/>
          <w:szCs w:val="24"/>
        </w:rPr>
        <w:t>A Marara</w:t>
      </w:r>
      <w:r>
        <w:rPr>
          <w:rFonts w:ascii="Times New Roman" w:hAnsi="Times New Roman" w:cs="Times New Roman"/>
          <w:sz w:val="24"/>
          <w:szCs w:val="24"/>
        </w:rPr>
        <w:t>, for the applicant</w:t>
      </w:r>
    </w:p>
    <w:p w:rsidR="003A5D15" w:rsidRDefault="00813289" w:rsidP="003A5D15">
      <w:pPr>
        <w:spacing w:after="0" w:line="240" w:lineRule="auto"/>
        <w:rPr>
          <w:rFonts w:ascii="Times New Roman" w:hAnsi="Times New Roman" w:cs="Times New Roman"/>
          <w:sz w:val="24"/>
          <w:szCs w:val="24"/>
        </w:rPr>
      </w:pPr>
      <w:r>
        <w:rPr>
          <w:rFonts w:ascii="Times New Roman" w:hAnsi="Times New Roman" w:cs="Times New Roman"/>
          <w:i/>
          <w:sz w:val="24"/>
          <w:szCs w:val="24"/>
        </w:rPr>
        <w:t>T G Mboko</w:t>
      </w:r>
      <w:r w:rsidR="00B678E7">
        <w:rPr>
          <w:rFonts w:ascii="Times New Roman" w:hAnsi="Times New Roman" w:cs="Times New Roman"/>
          <w:sz w:val="24"/>
          <w:szCs w:val="24"/>
        </w:rPr>
        <w:t xml:space="preserve">, for the </w:t>
      </w:r>
      <w:r>
        <w:rPr>
          <w:rFonts w:ascii="Times New Roman" w:hAnsi="Times New Roman" w:cs="Times New Roman"/>
          <w:sz w:val="24"/>
          <w:szCs w:val="24"/>
        </w:rPr>
        <w:t xml:space="preserve">respondent </w:t>
      </w:r>
      <w:r w:rsidR="00AE368A">
        <w:rPr>
          <w:rFonts w:ascii="Times New Roman" w:hAnsi="Times New Roman" w:cs="Times New Roman"/>
          <w:sz w:val="24"/>
          <w:szCs w:val="24"/>
        </w:rPr>
        <w:t xml:space="preserve">       </w:t>
      </w:r>
    </w:p>
    <w:p w:rsidR="003A5D15" w:rsidRDefault="003A5D15" w:rsidP="002E7138">
      <w:pPr>
        <w:spacing w:after="0" w:line="240" w:lineRule="auto"/>
        <w:ind w:left="720" w:hanging="720"/>
        <w:rPr>
          <w:rFonts w:ascii="Times New Roman" w:hAnsi="Times New Roman" w:cs="Times New Roman"/>
          <w:sz w:val="24"/>
          <w:szCs w:val="24"/>
        </w:rPr>
      </w:pPr>
    </w:p>
    <w:p w:rsidR="00813289" w:rsidRDefault="00813289" w:rsidP="002E7138">
      <w:pPr>
        <w:spacing w:after="0" w:line="240" w:lineRule="auto"/>
        <w:ind w:left="720" w:hanging="720"/>
        <w:rPr>
          <w:rFonts w:ascii="Times New Roman" w:hAnsi="Times New Roman" w:cs="Times New Roman"/>
          <w:sz w:val="24"/>
          <w:szCs w:val="24"/>
        </w:rPr>
      </w:pP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813289" w:rsidRDefault="00AC2609" w:rsidP="009800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813289">
        <w:rPr>
          <w:rFonts w:ascii="Times New Roman" w:hAnsi="Times New Roman" w:cs="Times New Roman"/>
          <w:sz w:val="24"/>
          <w:szCs w:val="24"/>
        </w:rPr>
        <w:t>This is an application for a declaratur where that applicant is seeking the following relief as per her draft order</w:t>
      </w:r>
      <w:r w:rsidR="005201CC">
        <w:rPr>
          <w:rFonts w:ascii="Times New Roman" w:hAnsi="Times New Roman" w:cs="Times New Roman"/>
          <w:sz w:val="24"/>
          <w:szCs w:val="24"/>
        </w:rPr>
        <w:t>.</w:t>
      </w:r>
    </w:p>
    <w:p w:rsidR="00C92575" w:rsidRDefault="00813289" w:rsidP="009800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5201CC" w:rsidRPr="002C04FB" w:rsidRDefault="002C04FB" w:rsidP="002C04FB">
      <w:pPr>
        <w:spacing w:after="0" w:line="240" w:lineRule="auto"/>
        <w:ind w:firstLine="720"/>
        <w:jc w:val="both"/>
        <w:rPr>
          <w:rFonts w:ascii="Times New Roman" w:hAnsi="Times New Roman" w:cs="Times New Roman"/>
        </w:rPr>
      </w:pPr>
      <w:r>
        <w:rPr>
          <w:rFonts w:ascii="Times New Roman" w:hAnsi="Times New Roman" w:cs="Times New Roman"/>
        </w:rPr>
        <w:t>“</w:t>
      </w:r>
      <w:r w:rsidR="005201CC" w:rsidRPr="002C04FB">
        <w:rPr>
          <w:rFonts w:ascii="Times New Roman" w:hAnsi="Times New Roman" w:cs="Times New Roman"/>
        </w:rPr>
        <w:t>IT IS ORDERDER THAT:</w:t>
      </w:r>
    </w:p>
    <w:p w:rsidR="005201CC" w:rsidRDefault="005201CC" w:rsidP="005201CC">
      <w:pPr>
        <w:pStyle w:val="ListParagraph"/>
        <w:spacing w:after="0" w:line="240" w:lineRule="auto"/>
        <w:ind w:left="1080"/>
        <w:jc w:val="both"/>
        <w:rPr>
          <w:rFonts w:ascii="Times New Roman" w:hAnsi="Times New Roman" w:cs="Times New Roman"/>
        </w:rPr>
      </w:pPr>
    </w:p>
    <w:p w:rsidR="005201CC" w:rsidRDefault="005201CC" w:rsidP="005201CC">
      <w:pPr>
        <w:pStyle w:val="ListParagraph"/>
        <w:numPr>
          <w:ilvl w:val="0"/>
          <w:numId w:val="29"/>
        </w:numPr>
        <w:spacing w:after="0" w:line="240" w:lineRule="auto"/>
        <w:jc w:val="both"/>
        <w:rPr>
          <w:rFonts w:ascii="Times New Roman" w:hAnsi="Times New Roman" w:cs="Times New Roman"/>
        </w:rPr>
      </w:pPr>
      <w:r>
        <w:rPr>
          <w:rFonts w:ascii="Times New Roman" w:hAnsi="Times New Roman" w:cs="Times New Roman"/>
        </w:rPr>
        <w:t>The application be and is hereby granted.</w:t>
      </w:r>
    </w:p>
    <w:p w:rsidR="005201CC" w:rsidRDefault="005201CC" w:rsidP="005201CC">
      <w:pPr>
        <w:pStyle w:val="ListParagraph"/>
        <w:numPr>
          <w:ilvl w:val="0"/>
          <w:numId w:val="29"/>
        </w:numPr>
        <w:spacing w:after="0" w:line="240" w:lineRule="auto"/>
        <w:jc w:val="both"/>
        <w:rPr>
          <w:rFonts w:ascii="Times New Roman" w:hAnsi="Times New Roman" w:cs="Times New Roman"/>
        </w:rPr>
      </w:pPr>
      <w:r>
        <w:rPr>
          <w:rFonts w:ascii="Times New Roman" w:hAnsi="Times New Roman" w:cs="Times New Roman"/>
        </w:rPr>
        <w:t>The disciplinary proceedings conducted by the respondent against the applicant in terms of SI</w:t>
      </w:r>
      <w:r w:rsidR="002C04FB">
        <w:rPr>
          <w:rFonts w:ascii="Times New Roman" w:hAnsi="Times New Roman" w:cs="Times New Roman"/>
        </w:rPr>
        <w:t xml:space="preserve"> </w:t>
      </w:r>
      <w:r>
        <w:rPr>
          <w:rFonts w:ascii="Times New Roman" w:hAnsi="Times New Roman" w:cs="Times New Roman"/>
        </w:rPr>
        <w:t>15 of 2006, be and is hereby declared a nullity.</w:t>
      </w:r>
    </w:p>
    <w:p w:rsidR="005201CC" w:rsidRDefault="005201CC" w:rsidP="005201CC">
      <w:pPr>
        <w:pStyle w:val="ListParagraph"/>
        <w:numPr>
          <w:ilvl w:val="0"/>
          <w:numId w:val="29"/>
        </w:numPr>
        <w:spacing w:after="0" w:line="240" w:lineRule="auto"/>
        <w:jc w:val="both"/>
        <w:rPr>
          <w:rFonts w:ascii="Times New Roman" w:hAnsi="Times New Roman" w:cs="Times New Roman"/>
        </w:rPr>
      </w:pPr>
      <w:r>
        <w:rPr>
          <w:rFonts w:ascii="Times New Roman" w:hAnsi="Times New Roman" w:cs="Times New Roman"/>
        </w:rPr>
        <w:t xml:space="preserve">The </w:t>
      </w:r>
      <w:r w:rsidR="002C04FB">
        <w:rPr>
          <w:rFonts w:ascii="Times New Roman" w:hAnsi="Times New Roman" w:cs="Times New Roman"/>
        </w:rPr>
        <w:t>respondent</w:t>
      </w:r>
      <w:r>
        <w:rPr>
          <w:rFonts w:ascii="Times New Roman" w:hAnsi="Times New Roman" w:cs="Times New Roman"/>
        </w:rPr>
        <w:t xml:space="preserve"> be and is hereby ordered to reinstate the applicant without loss of salary and benefits with effect from the date of termination of contract of employment </w:t>
      </w:r>
    </w:p>
    <w:p w:rsidR="00C91C56" w:rsidRPr="00C91C56" w:rsidRDefault="005201CC" w:rsidP="00C91C56">
      <w:pPr>
        <w:pStyle w:val="ListParagraph"/>
        <w:numPr>
          <w:ilvl w:val="0"/>
          <w:numId w:val="29"/>
        </w:numPr>
        <w:spacing w:after="0" w:line="240" w:lineRule="auto"/>
        <w:jc w:val="both"/>
        <w:rPr>
          <w:rFonts w:ascii="Times New Roman" w:hAnsi="Times New Roman" w:cs="Times New Roman"/>
          <w:sz w:val="24"/>
          <w:szCs w:val="24"/>
          <w:u w:val="single"/>
        </w:rPr>
      </w:pPr>
      <w:r>
        <w:rPr>
          <w:rFonts w:ascii="Times New Roman" w:hAnsi="Times New Roman" w:cs="Times New Roman"/>
        </w:rPr>
        <w:t xml:space="preserve">The respondent be and </w:t>
      </w:r>
      <w:r w:rsidR="00C91C56">
        <w:rPr>
          <w:rFonts w:ascii="Times New Roman" w:hAnsi="Times New Roman" w:cs="Times New Roman"/>
        </w:rPr>
        <w:t>hereby ordered to pay costs of suit on an attorney-client scale up to the application is opposed”</w:t>
      </w:r>
    </w:p>
    <w:p w:rsidR="00C91C56" w:rsidRDefault="00C91C56" w:rsidP="00C91C56">
      <w:pPr>
        <w:spacing w:after="0" w:line="240" w:lineRule="auto"/>
        <w:jc w:val="both"/>
        <w:rPr>
          <w:rFonts w:ascii="Times New Roman" w:hAnsi="Times New Roman" w:cs="Times New Roman"/>
          <w:sz w:val="24"/>
          <w:szCs w:val="24"/>
          <w:u w:val="single"/>
        </w:rPr>
      </w:pPr>
    </w:p>
    <w:p w:rsidR="00780168" w:rsidRDefault="00C91C56" w:rsidP="00C91C5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opposed.  The responde</w:t>
      </w:r>
      <w:r w:rsidR="004E03F2">
        <w:rPr>
          <w:rFonts w:ascii="Times New Roman" w:hAnsi="Times New Roman" w:cs="Times New Roman"/>
          <w:sz w:val="24"/>
          <w:szCs w:val="24"/>
        </w:rPr>
        <w:t xml:space="preserve">nt raised three points </w:t>
      </w:r>
      <w:r w:rsidR="004E03F2" w:rsidRPr="004E03F2">
        <w:rPr>
          <w:rFonts w:ascii="Times New Roman" w:hAnsi="Times New Roman" w:cs="Times New Roman"/>
          <w:i/>
          <w:sz w:val="24"/>
          <w:szCs w:val="24"/>
        </w:rPr>
        <w:t>in limine</w:t>
      </w:r>
      <w:r>
        <w:rPr>
          <w:rFonts w:ascii="Times New Roman" w:hAnsi="Times New Roman" w:cs="Times New Roman"/>
          <w:sz w:val="24"/>
          <w:szCs w:val="24"/>
        </w:rPr>
        <w:t>:</w:t>
      </w:r>
    </w:p>
    <w:p w:rsidR="00C91C56" w:rsidRPr="00C91C56" w:rsidRDefault="00C91C56" w:rsidP="00C91C56">
      <w:pPr>
        <w:spacing w:after="0" w:line="240" w:lineRule="auto"/>
        <w:jc w:val="both"/>
        <w:rPr>
          <w:rFonts w:ascii="Times New Roman" w:hAnsi="Times New Roman" w:cs="Times New Roman"/>
          <w:sz w:val="24"/>
          <w:szCs w:val="24"/>
        </w:rPr>
      </w:pPr>
    </w:p>
    <w:p w:rsidR="004E03F2" w:rsidRDefault="004E03F2" w:rsidP="004E03F2">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matter has already been determined by the labour court sitting at Harare u</w:t>
      </w:r>
      <w:r w:rsidR="00E125ED">
        <w:rPr>
          <w:rFonts w:ascii="Times New Roman" w:hAnsi="Times New Roman" w:cs="Times New Roman"/>
          <w:sz w:val="24"/>
          <w:szCs w:val="24"/>
        </w:rPr>
        <w:t xml:space="preserve">nder case No. LC/H/LRA/216/17. </w:t>
      </w:r>
      <w:r>
        <w:rPr>
          <w:rFonts w:ascii="Times New Roman" w:hAnsi="Times New Roman" w:cs="Times New Roman"/>
          <w:sz w:val="24"/>
          <w:szCs w:val="24"/>
        </w:rPr>
        <w:t>This identical application has already has a judgement.</w:t>
      </w:r>
    </w:p>
    <w:p w:rsidR="004E03F2" w:rsidRDefault="004E03F2" w:rsidP="004E03F2">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as far as this </w:t>
      </w:r>
      <w:r w:rsidR="002C04FB">
        <w:rPr>
          <w:rFonts w:ascii="Times New Roman" w:hAnsi="Times New Roman" w:cs="Times New Roman"/>
          <w:sz w:val="24"/>
          <w:szCs w:val="24"/>
        </w:rPr>
        <w:t>Honourable</w:t>
      </w:r>
      <w:r>
        <w:rPr>
          <w:rFonts w:ascii="Times New Roman" w:hAnsi="Times New Roman" w:cs="Times New Roman"/>
          <w:sz w:val="24"/>
          <w:szCs w:val="24"/>
        </w:rPr>
        <w:t xml:space="preserve"> Court has jurisdiction over labour matters, it is not </w:t>
      </w:r>
      <w:r w:rsidR="00C12949">
        <w:rPr>
          <w:rFonts w:ascii="Times New Roman" w:hAnsi="Times New Roman" w:cs="Times New Roman"/>
          <w:sz w:val="24"/>
          <w:szCs w:val="24"/>
        </w:rPr>
        <w:t>per</w:t>
      </w:r>
      <w:r>
        <w:rPr>
          <w:rFonts w:ascii="Times New Roman" w:hAnsi="Times New Roman" w:cs="Times New Roman"/>
          <w:sz w:val="24"/>
          <w:szCs w:val="24"/>
        </w:rPr>
        <w:t xml:space="preserve">missible for parties to approach the High Court and the Labour Court with the same issue as was done herein.  In other words, the matter is </w:t>
      </w:r>
      <w:r w:rsidRPr="004E03F2">
        <w:rPr>
          <w:rFonts w:ascii="Times New Roman" w:hAnsi="Times New Roman" w:cs="Times New Roman"/>
          <w:i/>
          <w:sz w:val="24"/>
          <w:szCs w:val="24"/>
        </w:rPr>
        <w:t>res judicata</w:t>
      </w:r>
    </w:p>
    <w:p w:rsidR="004E03F2" w:rsidRDefault="004E03F2" w:rsidP="00EF6A65">
      <w:pPr>
        <w:pStyle w:val="ListParagraph"/>
        <w:numPr>
          <w:ilvl w:val="0"/>
          <w:numId w:val="34"/>
        </w:numPr>
        <w:spacing w:after="0" w:line="360" w:lineRule="auto"/>
        <w:jc w:val="both"/>
        <w:rPr>
          <w:rFonts w:ascii="Times New Roman" w:hAnsi="Times New Roman" w:cs="Times New Roman"/>
          <w:sz w:val="24"/>
          <w:szCs w:val="24"/>
        </w:rPr>
      </w:pPr>
      <w:r w:rsidRPr="00EF6A65">
        <w:rPr>
          <w:rFonts w:ascii="Times New Roman" w:hAnsi="Times New Roman" w:cs="Times New Roman"/>
          <w:sz w:val="24"/>
          <w:szCs w:val="24"/>
        </w:rPr>
        <w:t xml:space="preserve">The dispute has already been dealt with by the Labour Court. </w:t>
      </w:r>
    </w:p>
    <w:p w:rsidR="002C04FB" w:rsidRDefault="002C04FB" w:rsidP="002C04FB">
      <w:pPr>
        <w:pStyle w:val="ListParagraph"/>
        <w:spacing w:after="0" w:line="360" w:lineRule="auto"/>
        <w:ind w:left="1080"/>
        <w:jc w:val="both"/>
        <w:rPr>
          <w:rFonts w:ascii="Times New Roman" w:hAnsi="Times New Roman" w:cs="Times New Roman"/>
          <w:sz w:val="24"/>
          <w:szCs w:val="24"/>
        </w:rPr>
      </w:pPr>
    </w:p>
    <w:p w:rsidR="002C04FB" w:rsidRPr="00EF6A65" w:rsidRDefault="002C04FB" w:rsidP="002C04FB">
      <w:pPr>
        <w:pStyle w:val="ListParagraph"/>
        <w:spacing w:after="0" w:line="360" w:lineRule="auto"/>
        <w:ind w:left="1080"/>
        <w:jc w:val="both"/>
        <w:rPr>
          <w:rFonts w:ascii="Times New Roman" w:hAnsi="Times New Roman" w:cs="Times New Roman"/>
          <w:sz w:val="24"/>
          <w:szCs w:val="24"/>
        </w:rPr>
      </w:pPr>
    </w:p>
    <w:p w:rsidR="00EF6A65" w:rsidRDefault="00EF6A65" w:rsidP="00EF6A65">
      <w:pPr>
        <w:spacing w:after="0" w:line="360" w:lineRule="auto"/>
        <w:jc w:val="both"/>
        <w:rPr>
          <w:rFonts w:ascii="Times New Roman" w:hAnsi="Times New Roman" w:cs="Times New Roman"/>
          <w:sz w:val="24"/>
          <w:szCs w:val="24"/>
        </w:rPr>
      </w:pPr>
    </w:p>
    <w:p w:rsidR="00EF6A65" w:rsidRPr="007228D9" w:rsidRDefault="00EF6A65" w:rsidP="00EF6A65">
      <w:pPr>
        <w:spacing w:after="0" w:line="360" w:lineRule="auto"/>
        <w:jc w:val="both"/>
        <w:rPr>
          <w:rFonts w:ascii="Times New Roman" w:hAnsi="Times New Roman" w:cs="Times New Roman"/>
          <w:sz w:val="24"/>
          <w:szCs w:val="24"/>
          <w:u w:val="single"/>
        </w:rPr>
      </w:pPr>
      <w:r w:rsidRPr="007228D9">
        <w:rPr>
          <w:rFonts w:ascii="Times New Roman" w:hAnsi="Times New Roman" w:cs="Times New Roman"/>
          <w:sz w:val="24"/>
          <w:szCs w:val="24"/>
          <w:u w:val="single"/>
        </w:rPr>
        <w:lastRenderedPageBreak/>
        <w:t xml:space="preserve">BACKGROUND </w:t>
      </w:r>
    </w:p>
    <w:p w:rsidR="002266C9" w:rsidRDefault="00C12949" w:rsidP="00EF6A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w:t>
      </w:r>
      <w:r w:rsidR="00EF6A65">
        <w:rPr>
          <w:rFonts w:ascii="Times New Roman" w:hAnsi="Times New Roman" w:cs="Times New Roman"/>
          <w:sz w:val="24"/>
          <w:szCs w:val="24"/>
        </w:rPr>
        <w:t xml:space="preserve"> is a former employee of the respondent.</w:t>
      </w:r>
      <w:r w:rsidR="00CD3C30">
        <w:rPr>
          <w:rFonts w:ascii="Times New Roman" w:hAnsi="Times New Roman" w:cs="Times New Roman"/>
          <w:sz w:val="24"/>
          <w:szCs w:val="24"/>
        </w:rPr>
        <w:t xml:space="preserve"> </w:t>
      </w:r>
      <w:r w:rsidR="00EF6A65">
        <w:rPr>
          <w:rFonts w:ascii="Times New Roman" w:hAnsi="Times New Roman" w:cs="Times New Roman"/>
          <w:sz w:val="24"/>
          <w:szCs w:val="24"/>
        </w:rPr>
        <w:t>Her</w:t>
      </w:r>
      <w:r>
        <w:rPr>
          <w:rFonts w:ascii="Times New Roman" w:hAnsi="Times New Roman" w:cs="Times New Roman"/>
          <w:sz w:val="24"/>
          <w:szCs w:val="24"/>
        </w:rPr>
        <w:t xml:space="preserve"> contract of employment</w:t>
      </w:r>
      <w:r w:rsidR="00EF6A65">
        <w:rPr>
          <w:rFonts w:ascii="Times New Roman" w:hAnsi="Times New Roman" w:cs="Times New Roman"/>
          <w:sz w:val="24"/>
          <w:szCs w:val="24"/>
        </w:rPr>
        <w:t xml:space="preserve"> was terminated by the respondent using the standard National Employment Council SI, 15 of 2006. A designated agent attempted to register the determination with the Labour court but the Labour Court rejected the application on the basis that the </w:t>
      </w:r>
      <w:r w:rsidR="002266C9">
        <w:rPr>
          <w:rFonts w:ascii="Times New Roman" w:hAnsi="Times New Roman" w:cs="Times New Roman"/>
          <w:sz w:val="24"/>
          <w:szCs w:val="24"/>
        </w:rPr>
        <w:t xml:space="preserve">respondent did not fall under the </w:t>
      </w:r>
      <w:r w:rsidR="00A54E5D">
        <w:rPr>
          <w:rFonts w:ascii="Times New Roman" w:hAnsi="Times New Roman" w:cs="Times New Roman"/>
          <w:sz w:val="24"/>
          <w:szCs w:val="24"/>
        </w:rPr>
        <w:t>auspices of National Employment</w:t>
      </w:r>
      <w:r w:rsidR="002266C9">
        <w:rPr>
          <w:rFonts w:ascii="Times New Roman" w:hAnsi="Times New Roman" w:cs="Times New Roman"/>
          <w:sz w:val="24"/>
          <w:szCs w:val="24"/>
        </w:rPr>
        <w:t xml:space="preserve"> Council for Zimbabwe Schools Development  Association and Committees of Zimbabwe. The applicant made another application in the Labour Court seeking among other things the </w:t>
      </w:r>
      <w:r w:rsidR="00CD3C30">
        <w:rPr>
          <w:rFonts w:ascii="Times New Roman" w:hAnsi="Times New Roman" w:cs="Times New Roman"/>
          <w:sz w:val="24"/>
          <w:szCs w:val="24"/>
        </w:rPr>
        <w:t>setting aside</w:t>
      </w:r>
      <w:r w:rsidR="002266C9">
        <w:rPr>
          <w:rFonts w:ascii="Times New Roman" w:hAnsi="Times New Roman" w:cs="Times New Roman"/>
          <w:sz w:val="24"/>
          <w:szCs w:val="24"/>
        </w:rPr>
        <w:t xml:space="preserve"> of the disciplinary proceedings conducted by the respondent in terms of SI 15 of 2006 and reinstatement of the application without loss of benefits.  The Labour Court application was struck off the roll with costs for lack of compliance with the rules.  The applicant then filed the present application.</w:t>
      </w:r>
    </w:p>
    <w:p w:rsidR="000836BB" w:rsidRDefault="002266C9" w:rsidP="00EF6A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opposing the app</w:t>
      </w:r>
      <w:r w:rsidR="00C12949">
        <w:rPr>
          <w:rFonts w:ascii="Times New Roman" w:hAnsi="Times New Roman" w:cs="Times New Roman"/>
          <w:sz w:val="24"/>
          <w:szCs w:val="24"/>
        </w:rPr>
        <w:t>lication, the respondent contend on</w:t>
      </w:r>
      <w:r>
        <w:rPr>
          <w:rFonts w:ascii="Times New Roman" w:hAnsi="Times New Roman" w:cs="Times New Roman"/>
          <w:sz w:val="24"/>
          <w:szCs w:val="24"/>
        </w:rPr>
        <w:t xml:space="preserve"> the merits that after </w:t>
      </w:r>
      <w:r w:rsidR="000836BB">
        <w:rPr>
          <w:rFonts w:ascii="Times New Roman" w:hAnsi="Times New Roman" w:cs="Times New Roman"/>
          <w:sz w:val="24"/>
          <w:szCs w:val="24"/>
        </w:rPr>
        <w:t>th</w:t>
      </w:r>
      <w:r w:rsidR="00A54E5D">
        <w:rPr>
          <w:rFonts w:ascii="Times New Roman" w:hAnsi="Times New Roman" w:cs="Times New Roman"/>
          <w:sz w:val="24"/>
          <w:szCs w:val="24"/>
        </w:rPr>
        <w:t>e dismissal of the applicant, s</w:t>
      </w:r>
      <w:r w:rsidR="000836BB">
        <w:rPr>
          <w:rFonts w:ascii="Times New Roman" w:hAnsi="Times New Roman" w:cs="Times New Roman"/>
          <w:sz w:val="24"/>
          <w:szCs w:val="24"/>
        </w:rPr>
        <w:t xml:space="preserve">he appealed against her dismissal in terms of the National Employment Council for Schools Development association, as already highlighted herein, the Labour </w:t>
      </w:r>
      <w:r w:rsidR="00C12949">
        <w:rPr>
          <w:rFonts w:ascii="Times New Roman" w:hAnsi="Times New Roman" w:cs="Times New Roman"/>
          <w:sz w:val="24"/>
          <w:szCs w:val="24"/>
        </w:rPr>
        <w:t>court declined.  Respondent contend</w:t>
      </w:r>
      <w:r w:rsidR="000836BB">
        <w:rPr>
          <w:rFonts w:ascii="Times New Roman" w:hAnsi="Times New Roman" w:cs="Times New Roman"/>
          <w:sz w:val="24"/>
          <w:szCs w:val="24"/>
        </w:rPr>
        <w:t xml:space="preserve"> further that she used SI 15 of 2006 because at the t</w:t>
      </w:r>
      <w:r w:rsidR="00C12949">
        <w:rPr>
          <w:rFonts w:ascii="Times New Roman" w:hAnsi="Times New Roman" w:cs="Times New Roman"/>
          <w:sz w:val="24"/>
          <w:szCs w:val="24"/>
        </w:rPr>
        <w:t>ime the disciplinary proceeding</w:t>
      </w:r>
      <w:r w:rsidR="000836BB">
        <w:rPr>
          <w:rFonts w:ascii="Times New Roman" w:hAnsi="Times New Roman" w:cs="Times New Roman"/>
          <w:sz w:val="24"/>
          <w:szCs w:val="24"/>
        </w:rPr>
        <w:t xml:space="preserve">s were conducted there </w:t>
      </w:r>
      <w:r w:rsidR="00EF6A65">
        <w:rPr>
          <w:rFonts w:ascii="Times New Roman" w:hAnsi="Times New Roman" w:cs="Times New Roman"/>
          <w:sz w:val="24"/>
          <w:szCs w:val="24"/>
        </w:rPr>
        <w:t>was</w:t>
      </w:r>
      <w:r w:rsidR="000836BB">
        <w:rPr>
          <w:rFonts w:ascii="Times New Roman" w:hAnsi="Times New Roman" w:cs="Times New Roman"/>
          <w:sz w:val="24"/>
          <w:szCs w:val="24"/>
        </w:rPr>
        <w:t xml:space="preserve"> no registered code of conduct governing the labour issues of the respondent.  Respondent added that when the Labour court removed the matter from the roll, applicant made another application which was also dismissed by the Labour Court.</w:t>
      </w:r>
    </w:p>
    <w:p w:rsidR="000836BB" w:rsidRDefault="000836BB" w:rsidP="000836BB">
      <w:pPr>
        <w:spacing w:after="0" w:line="360" w:lineRule="auto"/>
        <w:jc w:val="both"/>
        <w:rPr>
          <w:rFonts w:ascii="Times New Roman" w:hAnsi="Times New Roman" w:cs="Times New Roman"/>
          <w:sz w:val="24"/>
          <w:szCs w:val="24"/>
        </w:rPr>
      </w:pPr>
    </w:p>
    <w:p w:rsidR="000836BB" w:rsidRPr="000836BB" w:rsidRDefault="000836BB" w:rsidP="000836BB">
      <w:pPr>
        <w:spacing w:after="0" w:line="360" w:lineRule="auto"/>
        <w:jc w:val="both"/>
        <w:rPr>
          <w:rFonts w:ascii="Times New Roman" w:hAnsi="Times New Roman" w:cs="Times New Roman"/>
          <w:i/>
          <w:sz w:val="24"/>
          <w:szCs w:val="24"/>
        </w:rPr>
      </w:pPr>
      <w:r w:rsidRPr="00CD3C30">
        <w:rPr>
          <w:rFonts w:ascii="Times New Roman" w:hAnsi="Times New Roman" w:cs="Times New Roman"/>
          <w:sz w:val="24"/>
          <w:szCs w:val="24"/>
        </w:rPr>
        <w:t>Points</w:t>
      </w:r>
      <w:r w:rsidRPr="00CD3C30">
        <w:rPr>
          <w:rFonts w:ascii="Times New Roman" w:hAnsi="Times New Roman" w:cs="Times New Roman"/>
          <w:i/>
          <w:sz w:val="24"/>
          <w:szCs w:val="24"/>
        </w:rPr>
        <w:t xml:space="preserve"> </w:t>
      </w:r>
      <w:r w:rsidRPr="000836BB">
        <w:rPr>
          <w:rFonts w:ascii="Times New Roman" w:hAnsi="Times New Roman" w:cs="Times New Roman"/>
          <w:i/>
          <w:sz w:val="24"/>
          <w:szCs w:val="24"/>
        </w:rPr>
        <w:t xml:space="preserve">in </w:t>
      </w:r>
      <w:r w:rsidR="00CD3C30">
        <w:rPr>
          <w:rFonts w:ascii="Times New Roman" w:hAnsi="Times New Roman" w:cs="Times New Roman"/>
          <w:i/>
          <w:sz w:val="24"/>
          <w:szCs w:val="24"/>
        </w:rPr>
        <w:t>l</w:t>
      </w:r>
      <w:r w:rsidRPr="000836BB">
        <w:rPr>
          <w:rFonts w:ascii="Times New Roman" w:hAnsi="Times New Roman" w:cs="Times New Roman"/>
          <w:i/>
          <w:sz w:val="24"/>
          <w:szCs w:val="24"/>
        </w:rPr>
        <w:t>imin</w:t>
      </w:r>
      <w:r>
        <w:rPr>
          <w:rFonts w:ascii="Times New Roman" w:hAnsi="Times New Roman" w:cs="Times New Roman"/>
          <w:i/>
          <w:sz w:val="24"/>
          <w:szCs w:val="24"/>
        </w:rPr>
        <w:t>e</w:t>
      </w:r>
    </w:p>
    <w:p w:rsidR="00A963D4" w:rsidRDefault="00EF6A65" w:rsidP="000836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836BB">
        <w:rPr>
          <w:rFonts w:ascii="Times New Roman" w:hAnsi="Times New Roman" w:cs="Times New Roman"/>
          <w:sz w:val="24"/>
          <w:szCs w:val="24"/>
        </w:rPr>
        <w:t xml:space="preserve">Before dealing with the points </w:t>
      </w:r>
      <w:r w:rsidR="000836BB" w:rsidRPr="00CD3C30">
        <w:rPr>
          <w:rFonts w:ascii="Times New Roman" w:hAnsi="Times New Roman" w:cs="Times New Roman"/>
          <w:i/>
          <w:sz w:val="24"/>
          <w:szCs w:val="24"/>
        </w:rPr>
        <w:t>in limine</w:t>
      </w:r>
      <w:r w:rsidR="000836BB">
        <w:rPr>
          <w:rFonts w:ascii="Times New Roman" w:hAnsi="Times New Roman" w:cs="Times New Roman"/>
          <w:sz w:val="24"/>
          <w:szCs w:val="24"/>
        </w:rPr>
        <w:t xml:space="preserve"> the court needs</w:t>
      </w:r>
      <w:r w:rsidR="006B7EC8">
        <w:rPr>
          <w:rFonts w:ascii="Times New Roman" w:hAnsi="Times New Roman" w:cs="Times New Roman"/>
          <w:sz w:val="24"/>
          <w:szCs w:val="24"/>
        </w:rPr>
        <w:t xml:space="preserve"> to regi</w:t>
      </w:r>
      <w:r w:rsidR="000836BB">
        <w:rPr>
          <w:rFonts w:ascii="Times New Roman" w:hAnsi="Times New Roman" w:cs="Times New Roman"/>
          <w:sz w:val="24"/>
          <w:szCs w:val="24"/>
        </w:rPr>
        <w:t xml:space="preserve">ster its concern with the </w:t>
      </w:r>
      <w:r w:rsidR="00167306">
        <w:rPr>
          <w:rFonts w:ascii="Times New Roman" w:hAnsi="Times New Roman" w:cs="Times New Roman"/>
          <w:sz w:val="24"/>
          <w:szCs w:val="24"/>
        </w:rPr>
        <w:t xml:space="preserve"> </w:t>
      </w:r>
      <w:r w:rsidR="006B7EC8">
        <w:rPr>
          <w:rFonts w:ascii="Times New Roman" w:hAnsi="Times New Roman" w:cs="Times New Roman"/>
          <w:sz w:val="24"/>
          <w:szCs w:val="24"/>
        </w:rPr>
        <w:t xml:space="preserve"> condition of the record of proceedings.  The index was randomly prepared and the documents are not arranged in tandem with their positions</w:t>
      </w:r>
      <w:r w:rsidR="00FE471B">
        <w:rPr>
          <w:rFonts w:ascii="Times New Roman" w:hAnsi="Times New Roman" w:cs="Times New Roman"/>
          <w:sz w:val="24"/>
          <w:szCs w:val="24"/>
        </w:rPr>
        <w:t xml:space="preserve"> </w:t>
      </w:r>
      <w:r w:rsidR="006B7EC8">
        <w:rPr>
          <w:rFonts w:ascii="Times New Roman" w:hAnsi="Times New Roman" w:cs="Times New Roman"/>
          <w:sz w:val="24"/>
          <w:szCs w:val="24"/>
        </w:rPr>
        <w:t>spelt out on the index.  The papers are repeatedly annexed and it is clear that applicant’s legal practitioners did not check if the record was in order before the matter was set down for hearings.  It is the sole duty of the applic</w:t>
      </w:r>
      <w:r w:rsidR="00C12949">
        <w:rPr>
          <w:rFonts w:ascii="Times New Roman" w:hAnsi="Times New Roman" w:cs="Times New Roman"/>
          <w:sz w:val="24"/>
          <w:szCs w:val="24"/>
        </w:rPr>
        <w:t>ant’s legal practitioners to ens</w:t>
      </w:r>
      <w:r w:rsidR="006B7EC8">
        <w:rPr>
          <w:rFonts w:ascii="Times New Roman" w:hAnsi="Times New Roman" w:cs="Times New Roman"/>
          <w:sz w:val="24"/>
          <w:szCs w:val="24"/>
        </w:rPr>
        <w:t xml:space="preserve">ure that </w:t>
      </w:r>
      <w:r w:rsidR="00FE471B">
        <w:rPr>
          <w:rFonts w:ascii="Times New Roman" w:hAnsi="Times New Roman" w:cs="Times New Roman"/>
          <w:sz w:val="24"/>
          <w:szCs w:val="24"/>
        </w:rPr>
        <w:t xml:space="preserve">the record is properly arranged, </w:t>
      </w:r>
      <w:r w:rsidR="006B7EC8">
        <w:rPr>
          <w:rFonts w:ascii="Times New Roman" w:hAnsi="Times New Roman" w:cs="Times New Roman"/>
          <w:sz w:val="24"/>
          <w:szCs w:val="24"/>
        </w:rPr>
        <w:t xml:space="preserve">well paginated in sequence of the pleadings and more </w:t>
      </w:r>
      <w:r w:rsidR="00FE471B">
        <w:rPr>
          <w:rFonts w:ascii="Times New Roman" w:hAnsi="Times New Roman" w:cs="Times New Roman"/>
          <w:sz w:val="24"/>
          <w:szCs w:val="24"/>
        </w:rPr>
        <w:t>particularly</w:t>
      </w:r>
      <w:r w:rsidR="006B7EC8">
        <w:rPr>
          <w:rFonts w:ascii="Times New Roman" w:hAnsi="Times New Roman" w:cs="Times New Roman"/>
          <w:sz w:val="24"/>
          <w:szCs w:val="24"/>
        </w:rPr>
        <w:t xml:space="preserve"> that the court’s copy corresponds with the copies </w:t>
      </w:r>
      <w:r w:rsidR="00C12949">
        <w:rPr>
          <w:rFonts w:ascii="Times New Roman" w:hAnsi="Times New Roman" w:cs="Times New Roman"/>
          <w:sz w:val="24"/>
          <w:szCs w:val="24"/>
        </w:rPr>
        <w:t xml:space="preserve">retained by the parties, </w:t>
      </w:r>
      <w:r w:rsidR="00FE471B">
        <w:rPr>
          <w:rFonts w:ascii="Times New Roman" w:hAnsi="Times New Roman" w:cs="Times New Roman"/>
          <w:sz w:val="24"/>
          <w:szCs w:val="24"/>
        </w:rPr>
        <w:t xml:space="preserve">this will make it easy </w:t>
      </w:r>
      <w:r w:rsidR="006B7EC8">
        <w:rPr>
          <w:rFonts w:ascii="Times New Roman" w:hAnsi="Times New Roman" w:cs="Times New Roman"/>
          <w:sz w:val="24"/>
          <w:szCs w:val="24"/>
        </w:rPr>
        <w:t>for quick reference by the</w:t>
      </w:r>
      <w:r w:rsidR="00FE471B">
        <w:rPr>
          <w:rFonts w:ascii="Times New Roman" w:hAnsi="Times New Roman" w:cs="Times New Roman"/>
          <w:sz w:val="24"/>
          <w:szCs w:val="24"/>
        </w:rPr>
        <w:t xml:space="preserve"> court </w:t>
      </w:r>
      <w:r w:rsidR="006B7EC8">
        <w:rPr>
          <w:rFonts w:ascii="Times New Roman" w:hAnsi="Times New Roman" w:cs="Times New Roman"/>
          <w:sz w:val="24"/>
          <w:szCs w:val="24"/>
        </w:rPr>
        <w:t>during proce</w:t>
      </w:r>
      <w:r w:rsidR="00FE471B">
        <w:rPr>
          <w:rFonts w:ascii="Times New Roman" w:hAnsi="Times New Roman" w:cs="Times New Roman"/>
          <w:sz w:val="24"/>
          <w:szCs w:val="24"/>
        </w:rPr>
        <w:t>edings.  In future, the parties were informed during the hearing the matter ca</w:t>
      </w:r>
      <w:r w:rsidR="00A54E5D">
        <w:rPr>
          <w:rFonts w:ascii="Times New Roman" w:hAnsi="Times New Roman" w:cs="Times New Roman"/>
          <w:sz w:val="24"/>
          <w:szCs w:val="24"/>
        </w:rPr>
        <w:t>n be struck off the roll and</w:t>
      </w:r>
      <w:r w:rsidR="00FE471B">
        <w:rPr>
          <w:rFonts w:ascii="Times New Roman" w:hAnsi="Times New Roman" w:cs="Times New Roman"/>
          <w:sz w:val="24"/>
          <w:szCs w:val="24"/>
        </w:rPr>
        <w:t xml:space="preserve"> applicant ordered to pay the wasted costs of the other party </w:t>
      </w:r>
      <w:r w:rsidR="00FE471B" w:rsidRPr="00CD3C30">
        <w:rPr>
          <w:rFonts w:ascii="Times New Roman" w:hAnsi="Times New Roman" w:cs="Times New Roman"/>
          <w:i/>
          <w:sz w:val="24"/>
          <w:szCs w:val="24"/>
        </w:rPr>
        <w:t>debon</w:t>
      </w:r>
      <w:r w:rsidR="00CD3C30">
        <w:rPr>
          <w:rFonts w:ascii="Times New Roman" w:hAnsi="Times New Roman" w:cs="Times New Roman"/>
          <w:i/>
          <w:sz w:val="24"/>
          <w:szCs w:val="24"/>
        </w:rPr>
        <w:t>i</w:t>
      </w:r>
      <w:r w:rsidR="00FE471B" w:rsidRPr="00CD3C30">
        <w:rPr>
          <w:rFonts w:ascii="Times New Roman" w:hAnsi="Times New Roman" w:cs="Times New Roman"/>
          <w:i/>
          <w:sz w:val="24"/>
          <w:szCs w:val="24"/>
        </w:rPr>
        <w:t>s propriis</w:t>
      </w:r>
      <w:r w:rsidR="00FE471B">
        <w:rPr>
          <w:rFonts w:ascii="Times New Roman" w:hAnsi="Times New Roman" w:cs="Times New Roman"/>
          <w:sz w:val="24"/>
          <w:szCs w:val="24"/>
        </w:rPr>
        <w:t xml:space="preserve">.  The lack of order of the record was condoned and the application was </w:t>
      </w:r>
      <w:r w:rsidR="00A54E5D">
        <w:rPr>
          <w:rFonts w:ascii="Times New Roman" w:hAnsi="Times New Roman" w:cs="Times New Roman"/>
          <w:sz w:val="24"/>
          <w:szCs w:val="24"/>
        </w:rPr>
        <w:t xml:space="preserve">allowed to be heard, </w:t>
      </w:r>
      <w:r w:rsidR="00A963D4">
        <w:rPr>
          <w:rFonts w:ascii="Times New Roman" w:hAnsi="Times New Roman" w:cs="Times New Roman"/>
          <w:sz w:val="24"/>
          <w:szCs w:val="24"/>
        </w:rPr>
        <w:t>but applicant was asked by the court to address it on the issue of costs at a later stage.</w:t>
      </w:r>
    </w:p>
    <w:p w:rsidR="00A963D4" w:rsidRDefault="00A963D4" w:rsidP="00A963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WHETHER THE MATTER HAS ALREADY BEEN DETERMINED BY THE LABOUR COURT AND WHETHER IT IS </w:t>
      </w:r>
      <w:r w:rsidRPr="00CD3C30">
        <w:rPr>
          <w:rFonts w:ascii="Times New Roman" w:hAnsi="Times New Roman" w:cs="Times New Roman"/>
          <w:i/>
          <w:sz w:val="24"/>
          <w:szCs w:val="24"/>
        </w:rPr>
        <w:t>RES JUDICATA</w:t>
      </w:r>
    </w:p>
    <w:p w:rsidR="00A963D4" w:rsidRDefault="00A963D4" w:rsidP="00A96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submitted that the applicant is abusing the court process by bringing an application which has already been disposed of by the labour Court.  The applicant on the other hand contended vigorously that the application before this court is for a declaratur and no such application had previously been placed before a Labour Court because the latter court doe</w:t>
      </w:r>
      <w:r w:rsidR="00C12949">
        <w:rPr>
          <w:rFonts w:ascii="Times New Roman" w:hAnsi="Times New Roman" w:cs="Times New Roman"/>
          <w:sz w:val="24"/>
          <w:szCs w:val="24"/>
        </w:rPr>
        <w:t>s not have jurisdiction to grant</w:t>
      </w:r>
      <w:r>
        <w:rPr>
          <w:rFonts w:ascii="Times New Roman" w:hAnsi="Times New Roman" w:cs="Times New Roman"/>
          <w:sz w:val="24"/>
          <w:szCs w:val="24"/>
        </w:rPr>
        <w:t xml:space="preserve"> a declaratur.  Applicant further added that what was before the Labour Court was an application relating to scope.</w:t>
      </w:r>
    </w:p>
    <w:p w:rsidR="007228D9" w:rsidRDefault="00A963D4" w:rsidP="00A96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persuaded by Mr </w:t>
      </w:r>
      <w:r w:rsidRPr="007228D9">
        <w:rPr>
          <w:rFonts w:ascii="Times New Roman" w:hAnsi="Times New Roman" w:cs="Times New Roman"/>
          <w:i/>
          <w:sz w:val="24"/>
          <w:szCs w:val="24"/>
        </w:rPr>
        <w:t>Marara</w:t>
      </w:r>
      <w:r>
        <w:rPr>
          <w:rFonts w:ascii="Times New Roman" w:hAnsi="Times New Roman" w:cs="Times New Roman"/>
          <w:sz w:val="24"/>
          <w:szCs w:val="24"/>
        </w:rPr>
        <w:t xml:space="preserve"> when he submitted </w:t>
      </w:r>
      <w:r w:rsidR="00A54E5D">
        <w:rPr>
          <w:rFonts w:ascii="Times New Roman" w:hAnsi="Times New Roman" w:cs="Times New Roman"/>
          <w:sz w:val="24"/>
          <w:szCs w:val="24"/>
        </w:rPr>
        <w:t>quoting</w:t>
      </w:r>
      <w:r w:rsidR="00CD3C30">
        <w:rPr>
          <w:rFonts w:ascii="Times New Roman" w:hAnsi="Times New Roman" w:cs="Times New Roman"/>
          <w:sz w:val="24"/>
          <w:szCs w:val="24"/>
        </w:rPr>
        <w:t xml:space="preserve"> </w:t>
      </w:r>
      <w:r w:rsidR="00CD3C30" w:rsidRPr="00CD3C30">
        <w:rPr>
          <w:rFonts w:ascii="Times New Roman" w:hAnsi="Times New Roman" w:cs="Times New Roman"/>
          <w:smallCaps/>
          <w:sz w:val="24"/>
          <w:szCs w:val="24"/>
        </w:rPr>
        <w:t>Mutema</w:t>
      </w:r>
      <w:r w:rsidR="00CD3C30">
        <w:rPr>
          <w:rFonts w:ascii="Times New Roman" w:hAnsi="Times New Roman" w:cs="Times New Roman"/>
          <w:sz w:val="24"/>
          <w:szCs w:val="24"/>
        </w:rPr>
        <w:t xml:space="preserve"> J</w:t>
      </w:r>
      <w:r w:rsidR="007228D9">
        <w:rPr>
          <w:rStyle w:val="FootnoteReference"/>
          <w:rFonts w:ascii="Times New Roman" w:hAnsi="Times New Roman" w:cs="Times New Roman"/>
          <w:smallCaps/>
          <w:sz w:val="24"/>
          <w:szCs w:val="24"/>
        </w:rPr>
        <w:footnoteReference w:id="1"/>
      </w:r>
      <w:r>
        <w:rPr>
          <w:rFonts w:ascii="Times New Roman" w:hAnsi="Times New Roman" w:cs="Times New Roman"/>
          <w:sz w:val="24"/>
          <w:szCs w:val="24"/>
        </w:rPr>
        <w:t xml:space="preserve">  when he ruled that a litigant </w:t>
      </w:r>
      <w:r w:rsidR="00833F9F">
        <w:rPr>
          <w:rFonts w:ascii="Times New Roman" w:hAnsi="Times New Roman" w:cs="Times New Roman"/>
          <w:sz w:val="24"/>
          <w:szCs w:val="24"/>
        </w:rPr>
        <w:t xml:space="preserve">raising the issue of </w:t>
      </w:r>
      <w:r w:rsidR="00833F9F" w:rsidRPr="00CD3C30">
        <w:rPr>
          <w:rFonts w:ascii="Times New Roman" w:hAnsi="Times New Roman" w:cs="Times New Roman"/>
          <w:i/>
          <w:sz w:val="24"/>
          <w:szCs w:val="24"/>
        </w:rPr>
        <w:t>res judicata</w:t>
      </w:r>
      <w:r w:rsidR="00833F9F">
        <w:rPr>
          <w:rFonts w:ascii="Times New Roman" w:hAnsi="Times New Roman" w:cs="Times New Roman"/>
          <w:sz w:val="24"/>
          <w:szCs w:val="24"/>
        </w:rPr>
        <w:t xml:space="preserve"> must show that the dispute has</w:t>
      </w:r>
      <w:r w:rsidR="00C12949">
        <w:rPr>
          <w:rFonts w:ascii="Times New Roman" w:hAnsi="Times New Roman" w:cs="Times New Roman"/>
          <w:sz w:val="24"/>
          <w:szCs w:val="24"/>
        </w:rPr>
        <w:t xml:space="preserve"> been</w:t>
      </w:r>
      <w:r w:rsidR="00833F9F">
        <w:rPr>
          <w:rFonts w:ascii="Times New Roman" w:hAnsi="Times New Roman" w:cs="Times New Roman"/>
          <w:sz w:val="24"/>
          <w:szCs w:val="24"/>
        </w:rPr>
        <w:t xml:space="preserve"> conclusively settled on the merits by a court of competent jurisdiction and that the two actions are between the same parties,</w:t>
      </w:r>
      <w:r w:rsidR="00A54E5D">
        <w:rPr>
          <w:rFonts w:ascii="Times New Roman" w:hAnsi="Times New Roman" w:cs="Times New Roman"/>
          <w:sz w:val="24"/>
          <w:szCs w:val="24"/>
        </w:rPr>
        <w:t xml:space="preserve"> </w:t>
      </w:r>
      <w:r w:rsidR="00833F9F">
        <w:rPr>
          <w:rFonts w:ascii="Times New Roman" w:hAnsi="Times New Roman" w:cs="Times New Roman"/>
          <w:sz w:val="24"/>
          <w:szCs w:val="24"/>
        </w:rPr>
        <w:t>concerning the same subject matter founded on the same cause complaint.  I am satisfied that</w:t>
      </w:r>
      <w:r w:rsidR="007228D9">
        <w:rPr>
          <w:rFonts w:ascii="Times New Roman" w:hAnsi="Times New Roman" w:cs="Times New Roman"/>
          <w:sz w:val="24"/>
          <w:szCs w:val="24"/>
        </w:rPr>
        <w:t xml:space="preserve"> the points </w:t>
      </w:r>
      <w:r w:rsidR="007228D9" w:rsidRPr="00CD3C30">
        <w:rPr>
          <w:rFonts w:ascii="Times New Roman" w:hAnsi="Times New Roman" w:cs="Times New Roman"/>
          <w:i/>
          <w:sz w:val="24"/>
          <w:szCs w:val="24"/>
        </w:rPr>
        <w:t>in limine</w:t>
      </w:r>
      <w:r w:rsidR="007228D9">
        <w:rPr>
          <w:rFonts w:ascii="Times New Roman" w:hAnsi="Times New Roman" w:cs="Times New Roman"/>
          <w:sz w:val="24"/>
          <w:szCs w:val="24"/>
        </w:rPr>
        <w:t xml:space="preserve"> are misplaced and they are all dismissed.</w:t>
      </w:r>
    </w:p>
    <w:p w:rsidR="007228D9" w:rsidRDefault="007228D9" w:rsidP="007228D9">
      <w:pPr>
        <w:spacing w:after="0" w:line="360" w:lineRule="auto"/>
        <w:jc w:val="both"/>
        <w:rPr>
          <w:rFonts w:ascii="Times New Roman" w:hAnsi="Times New Roman" w:cs="Times New Roman"/>
          <w:sz w:val="24"/>
          <w:szCs w:val="24"/>
        </w:rPr>
      </w:pPr>
    </w:p>
    <w:p w:rsidR="007228D9" w:rsidRPr="007228D9" w:rsidRDefault="007228D9" w:rsidP="007228D9">
      <w:pPr>
        <w:spacing w:after="0" w:line="360" w:lineRule="auto"/>
        <w:jc w:val="both"/>
        <w:rPr>
          <w:rFonts w:ascii="Times New Roman" w:hAnsi="Times New Roman" w:cs="Times New Roman"/>
          <w:sz w:val="24"/>
          <w:szCs w:val="24"/>
          <w:u w:val="single"/>
        </w:rPr>
      </w:pPr>
      <w:r w:rsidRPr="007228D9">
        <w:rPr>
          <w:rFonts w:ascii="Times New Roman" w:hAnsi="Times New Roman" w:cs="Times New Roman"/>
          <w:sz w:val="24"/>
          <w:szCs w:val="24"/>
          <w:u w:val="single"/>
        </w:rPr>
        <w:t xml:space="preserve">WHETHER APPLICANT CAN BE GRANTED THE RELIEF SOUGHT </w:t>
      </w:r>
    </w:p>
    <w:p w:rsidR="007228D9" w:rsidRDefault="007228D9" w:rsidP="007228D9">
      <w:pPr>
        <w:spacing w:after="0" w:line="360" w:lineRule="auto"/>
        <w:jc w:val="both"/>
        <w:rPr>
          <w:rFonts w:ascii="Times New Roman" w:hAnsi="Times New Roman" w:cs="Times New Roman"/>
          <w:sz w:val="24"/>
          <w:szCs w:val="24"/>
        </w:rPr>
      </w:pPr>
    </w:p>
    <w:p w:rsidR="000879E9" w:rsidRDefault="007228D9" w:rsidP="007228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basis for seeking the order for a declaratur </w:t>
      </w:r>
      <w:r w:rsidR="004B6514">
        <w:rPr>
          <w:rFonts w:ascii="Times New Roman" w:hAnsi="Times New Roman" w:cs="Times New Roman"/>
          <w:sz w:val="24"/>
          <w:szCs w:val="24"/>
        </w:rPr>
        <w:t>by the appl</w:t>
      </w:r>
      <w:r w:rsidR="00A54E5D">
        <w:rPr>
          <w:rFonts w:ascii="Times New Roman" w:hAnsi="Times New Roman" w:cs="Times New Roman"/>
          <w:sz w:val="24"/>
          <w:szCs w:val="24"/>
        </w:rPr>
        <w:t>icant is basically that the pro</w:t>
      </w:r>
      <w:r w:rsidR="004B6514">
        <w:rPr>
          <w:rFonts w:ascii="Times New Roman" w:hAnsi="Times New Roman" w:cs="Times New Roman"/>
          <w:sz w:val="24"/>
          <w:szCs w:val="24"/>
        </w:rPr>
        <w:t xml:space="preserve">ceedings were conducted under the </w:t>
      </w:r>
      <w:r w:rsidR="00CD3C30">
        <w:rPr>
          <w:rFonts w:ascii="Times New Roman" w:hAnsi="Times New Roman" w:cs="Times New Roman"/>
          <w:sz w:val="24"/>
          <w:szCs w:val="24"/>
        </w:rPr>
        <w:t>auspices</w:t>
      </w:r>
      <w:r w:rsidR="004B6514">
        <w:rPr>
          <w:rFonts w:ascii="Times New Roman" w:hAnsi="Times New Roman" w:cs="Times New Roman"/>
          <w:sz w:val="24"/>
          <w:szCs w:val="24"/>
        </w:rPr>
        <w:t xml:space="preserve"> of SI 15 of 2006 and not under the code of cond</w:t>
      </w:r>
      <w:r w:rsidR="00A54E5D">
        <w:rPr>
          <w:rFonts w:ascii="Times New Roman" w:hAnsi="Times New Roman" w:cs="Times New Roman"/>
          <w:sz w:val="24"/>
          <w:szCs w:val="24"/>
        </w:rPr>
        <w:t xml:space="preserve">uct for the National </w:t>
      </w:r>
      <w:r w:rsidR="00CD3C30">
        <w:rPr>
          <w:rFonts w:ascii="Times New Roman" w:hAnsi="Times New Roman" w:cs="Times New Roman"/>
          <w:sz w:val="24"/>
          <w:szCs w:val="24"/>
        </w:rPr>
        <w:t>Employment</w:t>
      </w:r>
      <w:r w:rsidR="00A54E5D">
        <w:rPr>
          <w:rFonts w:ascii="Times New Roman" w:hAnsi="Times New Roman" w:cs="Times New Roman"/>
          <w:sz w:val="24"/>
          <w:szCs w:val="24"/>
        </w:rPr>
        <w:t xml:space="preserve"> </w:t>
      </w:r>
      <w:r w:rsidR="004B6514">
        <w:rPr>
          <w:rFonts w:ascii="Times New Roman" w:hAnsi="Times New Roman" w:cs="Times New Roman"/>
          <w:sz w:val="24"/>
          <w:szCs w:val="24"/>
        </w:rPr>
        <w:t xml:space="preserve">Council for Welfare </w:t>
      </w:r>
      <w:r w:rsidR="00CD3C30">
        <w:rPr>
          <w:rFonts w:ascii="Times New Roman" w:hAnsi="Times New Roman" w:cs="Times New Roman"/>
          <w:sz w:val="24"/>
          <w:szCs w:val="24"/>
        </w:rPr>
        <w:t>and</w:t>
      </w:r>
      <w:r w:rsidR="004B6514">
        <w:rPr>
          <w:rFonts w:ascii="Times New Roman" w:hAnsi="Times New Roman" w:cs="Times New Roman"/>
          <w:sz w:val="24"/>
          <w:szCs w:val="24"/>
        </w:rPr>
        <w:t xml:space="preserve"> Educational Institutions which was the appropriate employme</w:t>
      </w:r>
      <w:r w:rsidR="00C12949">
        <w:rPr>
          <w:rFonts w:ascii="Times New Roman" w:hAnsi="Times New Roman" w:cs="Times New Roman"/>
          <w:sz w:val="24"/>
          <w:szCs w:val="24"/>
        </w:rPr>
        <w:t xml:space="preserve">nt Council at the time </w:t>
      </w:r>
      <w:r w:rsidR="004B6514">
        <w:rPr>
          <w:rFonts w:ascii="Times New Roman" w:hAnsi="Times New Roman" w:cs="Times New Roman"/>
          <w:sz w:val="24"/>
          <w:szCs w:val="24"/>
        </w:rPr>
        <w:t>th</w:t>
      </w:r>
      <w:r w:rsidR="00C12949">
        <w:rPr>
          <w:rFonts w:ascii="Times New Roman" w:hAnsi="Times New Roman" w:cs="Times New Roman"/>
          <w:sz w:val="24"/>
          <w:szCs w:val="24"/>
        </w:rPr>
        <w:t>e disciplinary proceedings we</w:t>
      </w:r>
      <w:r w:rsidR="004B6514">
        <w:rPr>
          <w:rFonts w:ascii="Times New Roman" w:hAnsi="Times New Roman" w:cs="Times New Roman"/>
          <w:sz w:val="24"/>
          <w:szCs w:val="24"/>
        </w:rPr>
        <w:t>re conducted.  The respondent denies that it used SI 15</w:t>
      </w:r>
      <w:r w:rsidR="00C12949">
        <w:rPr>
          <w:rFonts w:ascii="Times New Roman" w:hAnsi="Times New Roman" w:cs="Times New Roman"/>
          <w:sz w:val="24"/>
          <w:szCs w:val="24"/>
        </w:rPr>
        <w:t xml:space="preserve"> </w:t>
      </w:r>
      <w:r w:rsidR="004B6514">
        <w:rPr>
          <w:rFonts w:ascii="Times New Roman" w:hAnsi="Times New Roman" w:cs="Times New Roman"/>
          <w:sz w:val="24"/>
          <w:szCs w:val="24"/>
        </w:rPr>
        <w:t>of 2006 wrongly.  It argues that at that time there was no registered code of conduct to be used b</w:t>
      </w:r>
      <w:r w:rsidR="00A54E5D">
        <w:rPr>
          <w:rFonts w:ascii="Times New Roman" w:hAnsi="Times New Roman" w:cs="Times New Roman"/>
          <w:sz w:val="24"/>
          <w:szCs w:val="24"/>
        </w:rPr>
        <w:t xml:space="preserve">y it so it used SI 15 of 2006, </w:t>
      </w:r>
      <w:r w:rsidR="004B6514">
        <w:rPr>
          <w:rFonts w:ascii="Times New Roman" w:hAnsi="Times New Roman" w:cs="Times New Roman"/>
          <w:sz w:val="24"/>
          <w:szCs w:val="24"/>
        </w:rPr>
        <w:t xml:space="preserve">the argument by the respondent does not find favour with this court.  The National Employment council for Welfare </w:t>
      </w:r>
      <w:r w:rsidR="00DC233E">
        <w:rPr>
          <w:rFonts w:ascii="Times New Roman" w:hAnsi="Times New Roman" w:cs="Times New Roman"/>
          <w:sz w:val="24"/>
          <w:szCs w:val="24"/>
        </w:rPr>
        <w:t xml:space="preserve">and Educational Institutions apply to non-governmental schools and has been in existence for fairly a long time.  In my view the respondent sought to have resorted to that employment council in disciplining the applicant.  I agree with the applicant that once the respondent used the wrong statute and or wrong code of </w:t>
      </w:r>
      <w:r w:rsidR="00CD3C30">
        <w:rPr>
          <w:rFonts w:ascii="Times New Roman" w:hAnsi="Times New Roman" w:cs="Times New Roman"/>
          <w:sz w:val="24"/>
          <w:szCs w:val="24"/>
        </w:rPr>
        <w:t>conduct, the</w:t>
      </w:r>
      <w:r w:rsidR="00C12949">
        <w:rPr>
          <w:rFonts w:ascii="Times New Roman" w:hAnsi="Times New Roman" w:cs="Times New Roman"/>
          <w:sz w:val="24"/>
          <w:szCs w:val="24"/>
        </w:rPr>
        <w:t xml:space="preserve"> subsequent</w:t>
      </w:r>
      <w:r w:rsidR="00DC233E">
        <w:rPr>
          <w:rFonts w:ascii="Times New Roman" w:hAnsi="Times New Roman" w:cs="Times New Roman"/>
          <w:sz w:val="24"/>
          <w:szCs w:val="24"/>
        </w:rPr>
        <w:t xml:space="preserve"> proceedings are nullity</w:t>
      </w:r>
      <w:r w:rsidR="000879E9">
        <w:rPr>
          <w:rFonts w:ascii="Times New Roman" w:hAnsi="Times New Roman" w:cs="Times New Roman"/>
          <w:sz w:val="24"/>
          <w:szCs w:val="24"/>
        </w:rPr>
        <w:t>.</w:t>
      </w:r>
      <w:r w:rsidR="00DC233E">
        <w:rPr>
          <w:rFonts w:ascii="Times New Roman" w:hAnsi="Times New Roman" w:cs="Times New Roman"/>
          <w:sz w:val="24"/>
          <w:szCs w:val="24"/>
        </w:rPr>
        <w:t xml:space="preserve"> </w:t>
      </w:r>
      <w:r w:rsidR="00DC233E">
        <w:rPr>
          <w:rStyle w:val="FootnoteReference"/>
          <w:rFonts w:ascii="Times New Roman" w:hAnsi="Times New Roman" w:cs="Times New Roman"/>
          <w:sz w:val="24"/>
          <w:szCs w:val="24"/>
        </w:rPr>
        <w:footnoteReference w:id="2"/>
      </w:r>
      <w:r w:rsidR="000879E9">
        <w:rPr>
          <w:rFonts w:ascii="Times New Roman" w:hAnsi="Times New Roman" w:cs="Times New Roman"/>
          <w:sz w:val="24"/>
          <w:szCs w:val="24"/>
        </w:rPr>
        <w:t xml:space="preserve"> the proceedings were not in accordance with the due process of the appr</w:t>
      </w:r>
      <w:r w:rsidR="00C12949">
        <w:rPr>
          <w:rFonts w:ascii="Times New Roman" w:hAnsi="Times New Roman" w:cs="Times New Roman"/>
          <w:sz w:val="24"/>
          <w:szCs w:val="24"/>
        </w:rPr>
        <w:t>opriate legislation</w:t>
      </w:r>
      <w:r w:rsidR="000879E9">
        <w:rPr>
          <w:rFonts w:ascii="Times New Roman" w:hAnsi="Times New Roman" w:cs="Times New Roman"/>
          <w:sz w:val="24"/>
          <w:szCs w:val="24"/>
        </w:rPr>
        <w:t xml:space="preserve"> applicable to the dispute in question.  SI 15 of 2006 would only apply where there is no applicable code of conduct.</w:t>
      </w:r>
    </w:p>
    <w:p w:rsidR="000879E9" w:rsidRDefault="000879E9" w:rsidP="007228D9">
      <w:pPr>
        <w:spacing w:after="0" w:line="360" w:lineRule="auto"/>
        <w:ind w:firstLine="720"/>
        <w:jc w:val="both"/>
        <w:rPr>
          <w:rFonts w:ascii="Times New Roman" w:hAnsi="Times New Roman" w:cs="Times New Roman"/>
          <w:sz w:val="24"/>
          <w:szCs w:val="24"/>
        </w:rPr>
      </w:pPr>
    </w:p>
    <w:p w:rsidR="000879E9" w:rsidRDefault="000879E9" w:rsidP="007228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question of whether this court has jurisdiction over labour matters, Mr </w:t>
      </w:r>
      <w:r w:rsidRPr="001C6904">
        <w:rPr>
          <w:rFonts w:ascii="Times New Roman" w:hAnsi="Times New Roman" w:cs="Times New Roman"/>
          <w:i/>
          <w:sz w:val="24"/>
          <w:szCs w:val="24"/>
        </w:rPr>
        <w:t>Mboko</w:t>
      </w:r>
      <w:r>
        <w:rPr>
          <w:rFonts w:ascii="Times New Roman" w:hAnsi="Times New Roman" w:cs="Times New Roman"/>
          <w:sz w:val="24"/>
          <w:szCs w:val="24"/>
        </w:rPr>
        <w:t xml:space="preserve"> </w:t>
      </w:r>
      <w:r w:rsidR="00D11B60">
        <w:rPr>
          <w:rFonts w:ascii="Times New Roman" w:hAnsi="Times New Roman" w:cs="Times New Roman"/>
          <w:sz w:val="24"/>
          <w:szCs w:val="24"/>
        </w:rPr>
        <w:t>s</w:t>
      </w:r>
      <w:r>
        <w:rPr>
          <w:rFonts w:ascii="Times New Roman" w:hAnsi="Times New Roman" w:cs="Times New Roman"/>
          <w:sz w:val="24"/>
          <w:szCs w:val="24"/>
        </w:rPr>
        <w:t>ubmitted that, he was aware that the court has jurisdiction and in my view there is no need to belabour the issue where it is common cause to the parties before me.</w:t>
      </w:r>
    </w:p>
    <w:p w:rsidR="008C3431" w:rsidRDefault="008C3431" w:rsidP="002C04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w:t>
      </w:r>
      <w:r w:rsidR="002C04FB">
        <w:rPr>
          <w:rFonts w:ascii="Times New Roman" w:hAnsi="Times New Roman" w:cs="Times New Roman"/>
          <w:i/>
          <w:sz w:val="24"/>
          <w:szCs w:val="24"/>
        </w:rPr>
        <w:t>Johnson v</w:t>
      </w:r>
      <w:r w:rsidR="002C04FB" w:rsidRPr="00790D64">
        <w:rPr>
          <w:rFonts w:ascii="Times New Roman" w:hAnsi="Times New Roman" w:cs="Times New Roman"/>
          <w:i/>
          <w:sz w:val="24"/>
          <w:szCs w:val="24"/>
        </w:rPr>
        <w:t xml:space="preserve"> Agricultural Finance Cooperation</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Pr="002C04FB">
        <w:rPr>
          <w:rFonts w:ascii="Times New Roman" w:hAnsi="Times New Roman" w:cs="Times New Roman"/>
          <w:smallCaps/>
          <w:sz w:val="24"/>
          <w:szCs w:val="24"/>
        </w:rPr>
        <w:t>G</w:t>
      </w:r>
      <w:r w:rsidR="002C04FB" w:rsidRPr="002C04FB">
        <w:rPr>
          <w:rFonts w:ascii="Times New Roman" w:hAnsi="Times New Roman" w:cs="Times New Roman"/>
          <w:smallCaps/>
          <w:sz w:val="24"/>
          <w:szCs w:val="24"/>
        </w:rPr>
        <w:t>ubbay</w:t>
      </w:r>
      <w:r>
        <w:rPr>
          <w:rFonts w:ascii="Times New Roman" w:hAnsi="Times New Roman" w:cs="Times New Roman"/>
          <w:sz w:val="24"/>
          <w:szCs w:val="24"/>
        </w:rPr>
        <w:t xml:space="preserve"> CJ (as he then was) held that:</w:t>
      </w:r>
    </w:p>
    <w:p w:rsidR="00333CA6" w:rsidRDefault="00790D64" w:rsidP="00790D64">
      <w:pPr>
        <w:spacing w:after="0" w:line="240" w:lineRule="auto"/>
        <w:ind w:left="720"/>
        <w:jc w:val="both"/>
        <w:rPr>
          <w:rFonts w:ascii="Times New Roman" w:hAnsi="Times New Roman" w:cs="Times New Roman"/>
        </w:rPr>
      </w:pPr>
      <w:r>
        <w:rPr>
          <w:rFonts w:ascii="Times New Roman" w:hAnsi="Times New Roman" w:cs="Times New Roman"/>
        </w:rPr>
        <w:t>“</w:t>
      </w:r>
      <w:r w:rsidR="008C3431">
        <w:rPr>
          <w:rFonts w:ascii="Times New Roman" w:hAnsi="Times New Roman" w:cs="Times New Roman"/>
        </w:rPr>
        <w:t xml:space="preserve">A declaratory order </w:t>
      </w:r>
      <w:r w:rsidR="002C04FB">
        <w:rPr>
          <w:rFonts w:ascii="Times New Roman" w:hAnsi="Times New Roman" w:cs="Times New Roman"/>
        </w:rPr>
        <w:t>under s</w:t>
      </w:r>
      <w:r w:rsidR="008C3431">
        <w:rPr>
          <w:rFonts w:ascii="Times New Roman" w:hAnsi="Times New Roman" w:cs="Times New Roman"/>
        </w:rPr>
        <w:t xml:space="preserve"> 14 </w:t>
      </w:r>
      <w:r w:rsidR="002C04FB">
        <w:rPr>
          <w:rFonts w:ascii="Times New Roman" w:hAnsi="Times New Roman" w:cs="Times New Roman"/>
        </w:rPr>
        <w:t>of the</w:t>
      </w:r>
      <w:r w:rsidR="008C3431">
        <w:rPr>
          <w:rFonts w:ascii="Times New Roman" w:hAnsi="Times New Roman" w:cs="Times New Roman"/>
        </w:rPr>
        <w:t xml:space="preserve"> Hi</w:t>
      </w:r>
      <w:r w:rsidR="00D11B60">
        <w:rPr>
          <w:rFonts w:ascii="Times New Roman" w:hAnsi="Times New Roman" w:cs="Times New Roman"/>
        </w:rPr>
        <w:t xml:space="preserve">gh court of Zimbabwe </w:t>
      </w:r>
      <w:r w:rsidR="008C3431">
        <w:rPr>
          <w:rFonts w:ascii="Times New Roman" w:hAnsi="Times New Roman" w:cs="Times New Roman"/>
        </w:rPr>
        <w:t xml:space="preserve"> A</w:t>
      </w:r>
      <w:r w:rsidR="00D11B60">
        <w:rPr>
          <w:rFonts w:ascii="Times New Roman" w:hAnsi="Times New Roman" w:cs="Times New Roman"/>
        </w:rPr>
        <w:t>ct, requires a two prong</w:t>
      </w:r>
      <w:r w:rsidR="002C04FB">
        <w:rPr>
          <w:rFonts w:ascii="Times New Roman" w:hAnsi="Times New Roman" w:cs="Times New Roman"/>
        </w:rPr>
        <w:t xml:space="preserve"> e</w:t>
      </w:r>
      <w:r>
        <w:rPr>
          <w:rFonts w:ascii="Times New Roman" w:hAnsi="Times New Roman" w:cs="Times New Roman"/>
        </w:rPr>
        <w:t>nquiry:</w:t>
      </w:r>
    </w:p>
    <w:p w:rsidR="00790D64" w:rsidRPr="008C3431" w:rsidRDefault="00790D64" w:rsidP="00790D64">
      <w:pPr>
        <w:spacing w:after="0" w:line="240" w:lineRule="auto"/>
        <w:ind w:firstLine="720"/>
        <w:jc w:val="both"/>
        <w:rPr>
          <w:rFonts w:ascii="Times New Roman" w:hAnsi="Times New Roman" w:cs="Times New Roman"/>
        </w:rPr>
      </w:pPr>
    </w:p>
    <w:p w:rsidR="00790D64" w:rsidRDefault="00790D64" w:rsidP="00790D64">
      <w:pPr>
        <w:pStyle w:val="ListParagraph"/>
        <w:numPr>
          <w:ilvl w:val="0"/>
          <w:numId w:val="36"/>
        </w:numPr>
        <w:spacing w:after="0" w:line="240" w:lineRule="auto"/>
        <w:jc w:val="both"/>
        <w:rPr>
          <w:rFonts w:ascii="Times New Roman" w:hAnsi="Times New Roman" w:cs="Times New Roman"/>
        </w:rPr>
      </w:pPr>
      <w:r w:rsidRPr="00790D64">
        <w:rPr>
          <w:rFonts w:ascii="Times New Roman" w:hAnsi="Times New Roman" w:cs="Times New Roman"/>
        </w:rPr>
        <w:t>Is applicant an interested party.</w:t>
      </w:r>
    </w:p>
    <w:p w:rsidR="00333CA6" w:rsidRDefault="00790D64" w:rsidP="00790D64">
      <w:pPr>
        <w:pStyle w:val="ListParagraph"/>
        <w:numPr>
          <w:ilvl w:val="0"/>
          <w:numId w:val="36"/>
        </w:numPr>
        <w:spacing w:after="0" w:line="240" w:lineRule="auto"/>
        <w:jc w:val="both"/>
        <w:rPr>
          <w:rFonts w:ascii="Times New Roman" w:hAnsi="Times New Roman" w:cs="Times New Roman"/>
        </w:rPr>
      </w:pPr>
      <w:r w:rsidRPr="00790D64">
        <w:rPr>
          <w:rFonts w:ascii="Times New Roman" w:hAnsi="Times New Roman" w:cs="Times New Roman"/>
        </w:rPr>
        <w:t>Is this a proper case</w:t>
      </w:r>
      <w:r>
        <w:rPr>
          <w:rFonts w:ascii="Times New Roman" w:hAnsi="Times New Roman" w:cs="Times New Roman"/>
        </w:rPr>
        <w:t xml:space="preserve"> for the exercise of the court’s </w:t>
      </w:r>
      <w:r w:rsidR="002C04FB">
        <w:rPr>
          <w:rFonts w:ascii="Times New Roman" w:hAnsi="Times New Roman" w:cs="Times New Roman"/>
        </w:rPr>
        <w:t>discretion?”</w:t>
      </w:r>
    </w:p>
    <w:p w:rsidR="001C6904" w:rsidRDefault="001C6904" w:rsidP="001C6904">
      <w:pPr>
        <w:pStyle w:val="ListParagraph"/>
        <w:spacing w:after="0" w:line="240" w:lineRule="auto"/>
        <w:ind w:left="1080"/>
        <w:jc w:val="both"/>
        <w:rPr>
          <w:rFonts w:ascii="Times New Roman" w:hAnsi="Times New Roman" w:cs="Times New Roman"/>
        </w:rPr>
      </w:pPr>
    </w:p>
    <w:p w:rsidR="00BB55C5" w:rsidRDefault="001C6904" w:rsidP="00FB412E">
      <w:pPr>
        <w:spacing w:after="0" w:line="360" w:lineRule="auto"/>
        <w:ind w:firstLine="720"/>
        <w:jc w:val="both"/>
        <w:rPr>
          <w:rFonts w:ascii="Times New Roman" w:hAnsi="Times New Roman" w:cs="Times New Roman"/>
          <w:sz w:val="24"/>
        </w:rPr>
      </w:pPr>
      <w:r w:rsidRPr="001C6904">
        <w:rPr>
          <w:rFonts w:ascii="Times New Roman" w:hAnsi="Times New Roman" w:cs="Times New Roman"/>
          <w:sz w:val="24"/>
        </w:rPr>
        <w:t xml:space="preserve">The </w:t>
      </w:r>
      <w:r w:rsidRPr="00FB412E">
        <w:rPr>
          <w:rFonts w:ascii="Times New Roman" w:hAnsi="Times New Roman" w:cs="Times New Roman"/>
          <w:i/>
          <w:sz w:val="24"/>
        </w:rPr>
        <w:t>Johnson</w:t>
      </w:r>
      <w:r w:rsidRPr="001C6904">
        <w:rPr>
          <w:rFonts w:ascii="Times New Roman" w:hAnsi="Times New Roman" w:cs="Times New Roman"/>
          <w:sz w:val="24"/>
        </w:rPr>
        <w:t xml:space="preserve"> c</w:t>
      </w:r>
      <w:r>
        <w:rPr>
          <w:rFonts w:ascii="Times New Roman" w:hAnsi="Times New Roman" w:cs="Times New Roman"/>
          <w:sz w:val="24"/>
        </w:rPr>
        <w:t xml:space="preserve">ase </w:t>
      </w:r>
      <w:r>
        <w:rPr>
          <w:rFonts w:ascii="Times New Roman" w:hAnsi="Times New Roman" w:cs="Times New Roman"/>
          <w:i/>
          <w:sz w:val="24"/>
        </w:rPr>
        <w:t>(supra),</w:t>
      </w:r>
      <w:r w:rsidR="00D11B60">
        <w:rPr>
          <w:rFonts w:ascii="Times New Roman" w:hAnsi="Times New Roman" w:cs="Times New Roman"/>
          <w:sz w:val="24"/>
        </w:rPr>
        <w:t>is</w:t>
      </w:r>
      <w:r>
        <w:rPr>
          <w:rFonts w:ascii="Times New Roman" w:hAnsi="Times New Roman" w:cs="Times New Roman"/>
          <w:i/>
          <w:sz w:val="24"/>
        </w:rPr>
        <w:t xml:space="preserve"> </w:t>
      </w:r>
      <w:r>
        <w:rPr>
          <w:rFonts w:ascii="Times New Roman" w:hAnsi="Times New Roman" w:cs="Times New Roman"/>
          <w:sz w:val="24"/>
        </w:rPr>
        <w:t>also of the authority that a declaratory order ought to be granted on one</w:t>
      </w:r>
      <w:r w:rsidR="00D11B60">
        <w:rPr>
          <w:rFonts w:ascii="Times New Roman" w:hAnsi="Times New Roman" w:cs="Times New Roman"/>
          <w:sz w:val="24"/>
        </w:rPr>
        <w:t xml:space="preserve"> aspect if it will solve that pa</w:t>
      </w:r>
      <w:r>
        <w:rPr>
          <w:rFonts w:ascii="Times New Roman" w:hAnsi="Times New Roman" w:cs="Times New Roman"/>
          <w:sz w:val="24"/>
        </w:rPr>
        <w:t xml:space="preserve">rt of dispute.  In  </w:t>
      </w:r>
      <w:r w:rsidR="00FB412E">
        <w:rPr>
          <w:rFonts w:ascii="Times New Roman" w:hAnsi="Times New Roman" w:cs="Times New Roman"/>
          <w:sz w:val="24"/>
        </w:rPr>
        <w:t xml:space="preserve">Bubye Minerals Private Limited </w:t>
      </w:r>
      <w:r>
        <w:rPr>
          <w:rFonts w:ascii="Times New Roman" w:hAnsi="Times New Roman" w:cs="Times New Roman"/>
          <w:sz w:val="24"/>
        </w:rPr>
        <w:t xml:space="preserve"> </w:t>
      </w:r>
      <w:r w:rsidR="00FB412E">
        <w:rPr>
          <w:rFonts w:ascii="Times New Roman" w:hAnsi="Times New Roman" w:cs="Times New Roman"/>
          <w:sz w:val="24"/>
        </w:rPr>
        <w:t xml:space="preserve">v </w:t>
      </w:r>
      <w:r>
        <w:rPr>
          <w:rFonts w:ascii="Times New Roman" w:hAnsi="Times New Roman" w:cs="Times New Roman"/>
          <w:sz w:val="24"/>
        </w:rPr>
        <w:t>M</w:t>
      </w:r>
      <w:r w:rsidR="00FB412E">
        <w:rPr>
          <w:rFonts w:ascii="Times New Roman" w:hAnsi="Times New Roman" w:cs="Times New Roman"/>
          <w:sz w:val="24"/>
        </w:rPr>
        <w:t>inister</w:t>
      </w:r>
      <w:r>
        <w:rPr>
          <w:rFonts w:ascii="Times New Roman" w:hAnsi="Times New Roman" w:cs="Times New Roman"/>
          <w:sz w:val="24"/>
        </w:rPr>
        <w:t xml:space="preserve"> </w:t>
      </w:r>
      <w:r w:rsidR="00FB412E">
        <w:rPr>
          <w:rFonts w:ascii="Times New Roman" w:hAnsi="Times New Roman" w:cs="Times New Roman"/>
          <w:sz w:val="24"/>
        </w:rPr>
        <w:t>of</w:t>
      </w:r>
      <w:r>
        <w:rPr>
          <w:rFonts w:ascii="Times New Roman" w:hAnsi="Times New Roman" w:cs="Times New Roman"/>
          <w:sz w:val="24"/>
        </w:rPr>
        <w:t xml:space="preserve"> </w:t>
      </w:r>
      <w:r w:rsidR="00FB412E">
        <w:rPr>
          <w:rFonts w:ascii="Times New Roman" w:hAnsi="Times New Roman" w:cs="Times New Roman"/>
          <w:sz w:val="24"/>
        </w:rPr>
        <w:t>Mines and Mining Development and 3 O</w:t>
      </w:r>
      <w:r>
        <w:rPr>
          <w:rFonts w:ascii="Times New Roman" w:hAnsi="Times New Roman" w:cs="Times New Roman"/>
          <w:sz w:val="24"/>
        </w:rPr>
        <w:t>thers</w:t>
      </w:r>
      <w:r>
        <w:rPr>
          <w:rStyle w:val="FootnoteReference"/>
          <w:rFonts w:ascii="Times New Roman" w:hAnsi="Times New Roman" w:cs="Times New Roman"/>
          <w:sz w:val="24"/>
        </w:rPr>
        <w:footnoteReference w:id="4"/>
      </w:r>
      <w:r>
        <w:rPr>
          <w:rFonts w:ascii="Times New Roman" w:hAnsi="Times New Roman" w:cs="Times New Roman"/>
          <w:sz w:val="24"/>
        </w:rPr>
        <w:t xml:space="preserve">  </w:t>
      </w:r>
      <w:r w:rsidRPr="00FB412E">
        <w:rPr>
          <w:rFonts w:ascii="Times New Roman" w:hAnsi="Times New Roman" w:cs="Times New Roman"/>
          <w:smallCaps/>
          <w:sz w:val="24"/>
        </w:rPr>
        <w:t>M</w:t>
      </w:r>
      <w:r w:rsidR="00FB412E" w:rsidRPr="00FB412E">
        <w:rPr>
          <w:rFonts w:ascii="Times New Roman" w:hAnsi="Times New Roman" w:cs="Times New Roman"/>
          <w:smallCaps/>
          <w:sz w:val="24"/>
        </w:rPr>
        <w:t>alaba</w:t>
      </w:r>
      <w:r>
        <w:rPr>
          <w:rFonts w:ascii="Times New Roman" w:hAnsi="Times New Roman" w:cs="Times New Roman"/>
          <w:sz w:val="24"/>
        </w:rPr>
        <w:t xml:space="preserve"> DCJ</w:t>
      </w:r>
      <w:r>
        <w:rPr>
          <w:rStyle w:val="FootnoteReference"/>
          <w:rFonts w:ascii="Times New Roman" w:hAnsi="Times New Roman" w:cs="Times New Roman"/>
          <w:sz w:val="24"/>
        </w:rPr>
        <w:footnoteReference w:id="5"/>
      </w:r>
      <w:r w:rsidR="00FB412E">
        <w:rPr>
          <w:rFonts w:ascii="Times New Roman" w:hAnsi="Times New Roman" w:cs="Times New Roman"/>
          <w:sz w:val="24"/>
        </w:rPr>
        <w:t xml:space="preserve"> citing </w:t>
      </w:r>
      <w:r w:rsidR="00FB412E" w:rsidRPr="00CD3C30">
        <w:rPr>
          <w:rFonts w:ascii="Times New Roman" w:hAnsi="Times New Roman" w:cs="Times New Roman"/>
          <w:i/>
          <w:sz w:val="24"/>
        </w:rPr>
        <w:t>Mcfoy</w:t>
      </w:r>
      <w:r w:rsidR="00FB412E">
        <w:rPr>
          <w:rFonts w:ascii="Times New Roman" w:hAnsi="Times New Roman" w:cs="Times New Roman"/>
          <w:sz w:val="24"/>
        </w:rPr>
        <w:t xml:space="preserve"> v </w:t>
      </w:r>
      <w:r w:rsidR="00FB412E" w:rsidRPr="00CD3C30">
        <w:rPr>
          <w:rFonts w:ascii="Times New Roman" w:hAnsi="Times New Roman" w:cs="Times New Roman"/>
          <w:i/>
          <w:sz w:val="24"/>
        </w:rPr>
        <w:t>United Africa Co. Limited</w:t>
      </w:r>
      <w:r w:rsidR="00FB412E">
        <w:rPr>
          <w:rStyle w:val="FootnoteReference"/>
          <w:rFonts w:ascii="Times New Roman" w:hAnsi="Times New Roman" w:cs="Times New Roman"/>
          <w:sz w:val="24"/>
        </w:rPr>
        <w:footnoteReference w:id="6"/>
      </w:r>
      <w:r w:rsidR="00FB412E">
        <w:rPr>
          <w:rFonts w:ascii="Times New Roman" w:hAnsi="Times New Roman" w:cs="Times New Roman"/>
          <w:sz w:val="24"/>
        </w:rPr>
        <w:t xml:space="preserve"> reiterate</w:t>
      </w:r>
      <w:r w:rsidR="00D11B60">
        <w:rPr>
          <w:rFonts w:ascii="Times New Roman" w:hAnsi="Times New Roman" w:cs="Times New Roman"/>
          <w:sz w:val="24"/>
        </w:rPr>
        <w:t>d the authority of the principle</w:t>
      </w:r>
      <w:r w:rsidR="00FB412E">
        <w:rPr>
          <w:rFonts w:ascii="Times New Roman" w:hAnsi="Times New Roman" w:cs="Times New Roman"/>
          <w:sz w:val="24"/>
        </w:rPr>
        <w:t xml:space="preserve"> relied upon that all proceeding founded upon a decision which is null and void </w:t>
      </w:r>
      <w:r w:rsidR="00D11B60">
        <w:rPr>
          <w:rFonts w:ascii="Times New Roman" w:hAnsi="Times New Roman" w:cs="Times New Roman"/>
          <w:i/>
          <w:sz w:val="24"/>
        </w:rPr>
        <w:t>a</w:t>
      </w:r>
      <w:r w:rsidR="00FB412E" w:rsidRPr="00FB412E">
        <w:rPr>
          <w:rFonts w:ascii="Times New Roman" w:hAnsi="Times New Roman" w:cs="Times New Roman"/>
          <w:i/>
          <w:sz w:val="24"/>
        </w:rPr>
        <w:t>b</w:t>
      </w:r>
      <w:r w:rsidR="00D11B60">
        <w:rPr>
          <w:rFonts w:ascii="Times New Roman" w:hAnsi="Times New Roman" w:cs="Times New Roman"/>
          <w:i/>
          <w:sz w:val="24"/>
        </w:rPr>
        <w:t>i in</w:t>
      </w:r>
      <w:r w:rsidR="00FB412E" w:rsidRPr="00FB412E">
        <w:rPr>
          <w:rFonts w:ascii="Times New Roman" w:hAnsi="Times New Roman" w:cs="Times New Roman"/>
          <w:i/>
          <w:sz w:val="24"/>
        </w:rPr>
        <w:t>itio</w:t>
      </w:r>
      <w:r w:rsidR="00FB412E">
        <w:rPr>
          <w:rFonts w:ascii="Times New Roman" w:hAnsi="Times New Roman" w:cs="Times New Roman"/>
          <w:i/>
          <w:sz w:val="24"/>
        </w:rPr>
        <w:t xml:space="preserve"> </w:t>
      </w:r>
      <w:r w:rsidR="00FB412E">
        <w:rPr>
          <w:rFonts w:ascii="Times New Roman" w:hAnsi="Times New Roman" w:cs="Times New Roman"/>
          <w:sz w:val="24"/>
        </w:rPr>
        <w:t>are also bad and incurably</w:t>
      </w:r>
      <w:r w:rsidR="008E1AC0">
        <w:rPr>
          <w:rFonts w:ascii="Times New Roman" w:hAnsi="Times New Roman" w:cs="Times New Roman"/>
          <w:sz w:val="24"/>
        </w:rPr>
        <w:t xml:space="preserve"> bad.</w:t>
      </w:r>
      <w:r w:rsidR="008E1AC0">
        <w:rPr>
          <w:rStyle w:val="FootnoteReference"/>
          <w:rFonts w:ascii="Times New Roman" w:hAnsi="Times New Roman" w:cs="Times New Roman"/>
          <w:sz w:val="24"/>
        </w:rPr>
        <w:footnoteReference w:id="7"/>
      </w:r>
      <w:r w:rsidR="00FB412E">
        <w:rPr>
          <w:rFonts w:ascii="Times New Roman" w:hAnsi="Times New Roman" w:cs="Times New Roman"/>
          <w:sz w:val="24"/>
        </w:rPr>
        <w:t xml:space="preserve"> </w:t>
      </w:r>
      <w:r w:rsidR="00DC6AF1">
        <w:rPr>
          <w:rFonts w:ascii="Times New Roman" w:hAnsi="Times New Roman" w:cs="Times New Roman"/>
          <w:sz w:val="24"/>
        </w:rPr>
        <w:t>The employer, the respondent can only do thi</w:t>
      </w:r>
      <w:r w:rsidR="00D11B60">
        <w:rPr>
          <w:rFonts w:ascii="Times New Roman" w:hAnsi="Times New Roman" w:cs="Times New Roman"/>
          <w:sz w:val="24"/>
        </w:rPr>
        <w:t xml:space="preserve">ngs which are governed by law </w:t>
      </w:r>
      <w:r w:rsidR="00DC6AF1">
        <w:rPr>
          <w:rFonts w:ascii="Times New Roman" w:hAnsi="Times New Roman" w:cs="Times New Roman"/>
          <w:sz w:val="24"/>
        </w:rPr>
        <w:t>and act in accordance with the provisions of an appropriate employment statute even where the employee does not object to the use of the SI 15 of 2006.</w:t>
      </w:r>
    </w:p>
    <w:p w:rsidR="00DC6AF1" w:rsidRDefault="00DC6AF1" w:rsidP="00FB412E">
      <w:pPr>
        <w:spacing w:after="0" w:line="360" w:lineRule="auto"/>
        <w:ind w:firstLine="720"/>
        <w:jc w:val="both"/>
        <w:rPr>
          <w:rFonts w:ascii="Times New Roman" w:hAnsi="Times New Roman" w:cs="Times New Roman"/>
          <w:sz w:val="24"/>
        </w:rPr>
      </w:pPr>
      <w:r>
        <w:rPr>
          <w:rFonts w:ascii="Times New Roman" w:hAnsi="Times New Roman" w:cs="Times New Roman"/>
          <w:sz w:val="24"/>
        </w:rPr>
        <w:t>The applicant prayed for an order reinstating her without loss of salary and benefits with effect from date of termination of her contract of employment.  I am aware that when the proceedings are declared null and void the status quo is restored however in this case the applicant or respondent must use the appropriate conduct to deal with the issue of whether the applicant should remain at work or not.  There is no need to reinstate the obvious result in my view</w:t>
      </w:r>
      <w:r w:rsidR="00F04D11">
        <w:rPr>
          <w:rFonts w:ascii="Times New Roman" w:hAnsi="Times New Roman" w:cs="Times New Roman"/>
          <w:sz w:val="24"/>
        </w:rPr>
        <w:t xml:space="preserve"> moreso where the proceedings are declared a nullity. I asked Mr </w:t>
      </w:r>
      <w:r w:rsidR="00F04D11" w:rsidRPr="00323922">
        <w:rPr>
          <w:rFonts w:ascii="Times New Roman" w:hAnsi="Times New Roman" w:cs="Times New Roman"/>
          <w:i/>
          <w:sz w:val="24"/>
        </w:rPr>
        <w:t>Marara</w:t>
      </w:r>
      <w:r w:rsidR="00F04D11">
        <w:rPr>
          <w:rFonts w:ascii="Times New Roman" w:hAnsi="Times New Roman" w:cs="Times New Roman"/>
          <w:sz w:val="24"/>
        </w:rPr>
        <w:t xml:space="preserve"> to </w:t>
      </w:r>
      <w:r w:rsidR="00323922">
        <w:rPr>
          <w:rFonts w:ascii="Times New Roman" w:hAnsi="Times New Roman" w:cs="Times New Roman"/>
          <w:sz w:val="24"/>
        </w:rPr>
        <w:t>address</w:t>
      </w:r>
      <w:r w:rsidR="00F04D11">
        <w:rPr>
          <w:rFonts w:ascii="Times New Roman" w:hAnsi="Times New Roman" w:cs="Times New Roman"/>
          <w:sz w:val="24"/>
        </w:rPr>
        <w:t xml:space="preserve"> the court on the aspect of costs of the application.  He indicated to the court that he will not purs</w:t>
      </w:r>
      <w:r w:rsidR="00D11B60">
        <w:rPr>
          <w:rFonts w:ascii="Times New Roman" w:hAnsi="Times New Roman" w:cs="Times New Roman"/>
          <w:sz w:val="24"/>
        </w:rPr>
        <w:t>u</w:t>
      </w:r>
      <w:r w:rsidR="00F04D11">
        <w:rPr>
          <w:rFonts w:ascii="Times New Roman" w:hAnsi="Times New Roman" w:cs="Times New Roman"/>
          <w:sz w:val="24"/>
        </w:rPr>
        <w:t>e an order of costs as he had done on the papers.  That concession is proper in my view, instead of the applicant straight away coming to this court for a d</w:t>
      </w:r>
      <w:r w:rsidR="002C04FB">
        <w:rPr>
          <w:rFonts w:ascii="Times New Roman" w:hAnsi="Times New Roman" w:cs="Times New Roman"/>
          <w:sz w:val="24"/>
        </w:rPr>
        <w:t xml:space="preserve">eclaratur </w:t>
      </w:r>
      <w:r w:rsidR="00F04D11">
        <w:rPr>
          <w:rFonts w:ascii="Times New Roman" w:hAnsi="Times New Roman" w:cs="Times New Roman"/>
          <w:sz w:val="24"/>
        </w:rPr>
        <w:t>she approached the labour court on two different occasion unnecessar</w:t>
      </w:r>
      <w:r w:rsidR="00D11B60">
        <w:rPr>
          <w:rFonts w:ascii="Times New Roman" w:hAnsi="Times New Roman" w:cs="Times New Roman"/>
          <w:sz w:val="24"/>
        </w:rPr>
        <w:t>il</w:t>
      </w:r>
      <w:r w:rsidR="00F04D11">
        <w:rPr>
          <w:rFonts w:ascii="Times New Roman" w:hAnsi="Times New Roman" w:cs="Times New Roman"/>
          <w:sz w:val="24"/>
        </w:rPr>
        <w:t xml:space="preserve">y causing the respondent to </w:t>
      </w:r>
      <w:r w:rsidR="006F2A94">
        <w:rPr>
          <w:rFonts w:ascii="Times New Roman" w:hAnsi="Times New Roman" w:cs="Times New Roman"/>
          <w:sz w:val="24"/>
        </w:rPr>
        <w:t xml:space="preserve">incur costs.  Either she could have applied for review of the </w:t>
      </w:r>
      <w:r w:rsidR="00D11B60">
        <w:rPr>
          <w:rFonts w:ascii="Times New Roman" w:hAnsi="Times New Roman" w:cs="Times New Roman"/>
          <w:sz w:val="24"/>
        </w:rPr>
        <w:t>proceedings or make an appeal if</w:t>
      </w:r>
      <w:r w:rsidR="006F2A94">
        <w:rPr>
          <w:rFonts w:ascii="Times New Roman" w:hAnsi="Times New Roman" w:cs="Times New Roman"/>
          <w:sz w:val="24"/>
        </w:rPr>
        <w:t xml:space="preserve"> she was not happy with the dismissal.  I will not grant costs to the applicant also on the basis of the poorly prepared record of proceedings and that duty fell on Mr </w:t>
      </w:r>
      <w:r w:rsidR="006F2A94" w:rsidRPr="00CD3C30">
        <w:rPr>
          <w:rFonts w:ascii="Times New Roman" w:hAnsi="Times New Roman" w:cs="Times New Roman"/>
          <w:i/>
          <w:sz w:val="24"/>
        </w:rPr>
        <w:t>Marara</w:t>
      </w:r>
      <w:r w:rsidR="006F2A94">
        <w:rPr>
          <w:rFonts w:ascii="Times New Roman" w:hAnsi="Times New Roman" w:cs="Times New Roman"/>
          <w:sz w:val="24"/>
        </w:rPr>
        <w:t xml:space="preserve">.  He admitted that the record was </w:t>
      </w:r>
      <w:r w:rsidR="006F2A94">
        <w:rPr>
          <w:rFonts w:ascii="Times New Roman" w:hAnsi="Times New Roman" w:cs="Times New Roman"/>
          <w:sz w:val="24"/>
        </w:rPr>
        <w:lastRenderedPageBreak/>
        <w:t>shambles and by such a conduct, the court will not grant an order of costs even though the applicant succeeded in this matter.</w:t>
      </w:r>
    </w:p>
    <w:p w:rsidR="006F2A94" w:rsidRPr="004F27A3" w:rsidRDefault="00CD3C30" w:rsidP="00FB412E">
      <w:pPr>
        <w:spacing w:after="0" w:line="360" w:lineRule="auto"/>
        <w:ind w:firstLine="720"/>
        <w:jc w:val="both"/>
        <w:rPr>
          <w:rFonts w:ascii="Times New Roman" w:hAnsi="Times New Roman" w:cs="Times New Roman"/>
          <w:sz w:val="24"/>
          <w:szCs w:val="24"/>
        </w:rPr>
      </w:pPr>
      <w:r w:rsidRPr="004F27A3">
        <w:rPr>
          <w:rFonts w:ascii="Times New Roman" w:hAnsi="Times New Roman" w:cs="Times New Roman"/>
          <w:sz w:val="24"/>
          <w:szCs w:val="24"/>
        </w:rPr>
        <w:t>Accordingly,</w:t>
      </w:r>
      <w:r w:rsidR="006F2A94" w:rsidRPr="004F27A3">
        <w:rPr>
          <w:rFonts w:ascii="Times New Roman" w:hAnsi="Times New Roman" w:cs="Times New Roman"/>
          <w:sz w:val="24"/>
          <w:szCs w:val="24"/>
        </w:rPr>
        <w:t xml:space="preserve"> it is ordered a</w:t>
      </w:r>
      <w:r w:rsidR="004F27A3" w:rsidRPr="004F27A3">
        <w:rPr>
          <w:rFonts w:ascii="Times New Roman" w:hAnsi="Times New Roman" w:cs="Times New Roman"/>
          <w:sz w:val="24"/>
          <w:szCs w:val="24"/>
        </w:rPr>
        <w:t>s</w:t>
      </w:r>
      <w:r w:rsidR="006F2A94" w:rsidRPr="004F27A3">
        <w:rPr>
          <w:rFonts w:ascii="Times New Roman" w:hAnsi="Times New Roman" w:cs="Times New Roman"/>
          <w:sz w:val="24"/>
          <w:szCs w:val="24"/>
        </w:rPr>
        <w:t xml:space="preserve"> follows:</w:t>
      </w:r>
    </w:p>
    <w:p w:rsidR="006F2A94" w:rsidRPr="004F27A3" w:rsidRDefault="00CD3C30" w:rsidP="006F2A94">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4F27A3" w:rsidRPr="004F27A3">
        <w:rPr>
          <w:rFonts w:ascii="Times New Roman" w:hAnsi="Times New Roman" w:cs="Times New Roman"/>
          <w:sz w:val="24"/>
          <w:szCs w:val="24"/>
        </w:rPr>
        <w:t>he disciplinary proceedings conducted by the respondent against the applicant in terms of SI 15 of 2006 be and are hereby declared a nullity.</w:t>
      </w:r>
    </w:p>
    <w:p w:rsidR="004F27A3" w:rsidRPr="004F27A3" w:rsidRDefault="004F27A3" w:rsidP="006F2A94">
      <w:pPr>
        <w:pStyle w:val="ListParagraph"/>
        <w:numPr>
          <w:ilvl w:val="0"/>
          <w:numId w:val="37"/>
        </w:numPr>
        <w:spacing w:after="0" w:line="360" w:lineRule="auto"/>
        <w:jc w:val="both"/>
        <w:rPr>
          <w:rFonts w:ascii="Times New Roman" w:hAnsi="Times New Roman" w:cs="Times New Roman"/>
          <w:sz w:val="24"/>
          <w:szCs w:val="24"/>
        </w:rPr>
      </w:pPr>
      <w:r w:rsidRPr="004F27A3">
        <w:rPr>
          <w:rFonts w:ascii="Times New Roman" w:hAnsi="Times New Roman" w:cs="Times New Roman"/>
          <w:sz w:val="24"/>
          <w:szCs w:val="24"/>
        </w:rPr>
        <w:t xml:space="preserve">There will be no order as to costs </w:t>
      </w:r>
    </w:p>
    <w:p w:rsidR="00BB55C5" w:rsidRPr="001C6904" w:rsidRDefault="00BB55C5" w:rsidP="00780168">
      <w:pPr>
        <w:spacing w:after="0" w:line="360" w:lineRule="auto"/>
        <w:ind w:firstLine="720"/>
        <w:jc w:val="both"/>
        <w:rPr>
          <w:rFonts w:ascii="Times New Roman" w:hAnsi="Times New Roman" w:cs="Times New Roman"/>
          <w:sz w:val="28"/>
          <w:szCs w:val="24"/>
        </w:rPr>
      </w:pPr>
    </w:p>
    <w:p w:rsidR="00BB55C5" w:rsidRPr="00780168" w:rsidRDefault="00BB55C5" w:rsidP="00780168">
      <w:pPr>
        <w:spacing w:after="0" w:line="360" w:lineRule="auto"/>
        <w:ind w:firstLine="720"/>
        <w:jc w:val="both"/>
        <w:rPr>
          <w:rFonts w:ascii="Times New Roman" w:hAnsi="Times New Roman" w:cs="Times New Roman"/>
          <w:sz w:val="24"/>
          <w:szCs w:val="24"/>
        </w:rPr>
      </w:pPr>
    </w:p>
    <w:p w:rsidR="003A5D15" w:rsidRDefault="003A5D15" w:rsidP="003A5D15">
      <w:pPr>
        <w:spacing w:after="0" w:line="360" w:lineRule="auto"/>
        <w:ind w:firstLine="720"/>
        <w:jc w:val="both"/>
        <w:rPr>
          <w:rFonts w:ascii="Times New Roman" w:hAnsi="Times New Roman" w:cs="Times New Roman"/>
          <w:sz w:val="24"/>
        </w:rPr>
      </w:pPr>
    </w:p>
    <w:p w:rsidR="0080203C" w:rsidRDefault="0080203C" w:rsidP="0080203C">
      <w:pPr>
        <w:tabs>
          <w:tab w:val="left" w:pos="709"/>
        </w:tabs>
        <w:spacing w:after="0" w:line="360" w:lineRule="auto"/>
        <w:jc w:val="both"/>
        <w:rPr>
          <w:rFonts w:ascii="Times New Roman" w:hAnsi="Times New Roman" w:cs="Times New Roman"/>
          <w:sz w:val="24"/>
        </w:rPr>
      </w:pPr>
    </w:p>
    <w:p w:rsidR="00C92575" w:rsidRDefault="00C92575" w:rsidP="0080203C">
      <w:pPr>
        <w:tabs>
          <w:tab w:val="left" w:pos="709"/>
        </w:tabs>
        <w:spacing w:after="0" w:line="360" w:lineRule="auto"/>
        <w:jc w:val="both"/>
        <w:rPr>
          <w:rFonts w:ascii="Times New Roman" w:hAnsi="Times New Roman" w:cs="Times New Roman"/>
          <w:sz w:val="24"/>
        </w:rPr>
      </w:pPr>
    </w:p>
    <w:p w:rsidR="0080203C" w:rsidRDefault="004F27A3" w:rsidP="0080203C">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Mutamangira and Associates</w:t>
      </w:r>
      <w:r w:rsidR="00FA0580">
        <w:rPr>
          <w:rFonts w:ascii="Times New Roman" w:hAnsi="Times New Roman" w:cs="Times New Roman"/>
          <w:sz w:val="24"/>
        </w:rPr>
        <w:t xml:space="preserve">, </w:t>
      </w:r>
      <w:r>
        <w:rPr>
          <w:rFonts w:ascii="Times New Roman" w:hAnsi="Times New Roman" w:cs="Times New Roman"/>
          <w:sz w:val="24"/>
        </w:rPr>
        <w:t>applicant</w:t>
      </w:r>
      <w:r w:rsidR="00FA0580">
        <w:rPr>
          <w:rFonts w:ascii="Times New Roman" w:hAnsi="Times New Roman" w:cs="Times New Roman"/>
          <w:sz w:val="24"/>
        </w:rPr>
        <w:t>’s</w:t>
      </w:r>
      <w:r w:rsidR="0080203C">
        <w:rPr>
          <w:rFonts w:ascii="Times New Roman" w:hAnsi="Times New Roman" w:cs="Times New Roman"/>
          <w:sz w:val="24"/>
        </w:rPr>
        <w:t xml:space="preserve"> legal practitioners </w:t>
      </w:r>
    </w:p>
    <w:p w:rsidR="0080203C" w:rsidRDefault="004F27A3" w:rsidP="0080203C">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Mboko T G Legal Practitioners</w:t>
      </w:r>
      <w:r w:rsidR="0080203C">
        <w:rPr>
          <w:rFonts w:ascii="Times New Roman" w:hAnsi="Times New Roman" w:cs="Times New Roman"/>
          <w:sz w:val="24"/>
        </w:rPr>
        <w:t xml:space="preserve">, </w:t>
      </w:r>
      <w:r>
        <w:rPr>
          <w:rFonts w:ascii="Times New Roman" w:hAnsi="Times New Roman" w:cs="Times New Roman"/>
          <w:sz w:val="24"/>
        </w:rPr>
        <w:t>respondent</w:t>
      </w:r>
      <w:r w:rsidR="00FA0580">
        <w:rPr>
          <w:rFonts w:ascii="Times New Roman" w:hAnsi="Times New Roman" w:cs="Times New Roman"/>
          <w:sz w:val="24"/>
        </w:rPr>
        <w:t>’s</w:t>
      </w:r>
      <w:r w:rsidR="0080203C">
        <w:rPr>
          <w:rFonts w:ascii="Times New Roman" w:hAnsi="Times New Roman" w:cs="Times New Roman"/>
          <w:sz w:val="24"/>
        </w:rPr>
        <w:t xml:space="preserve"> legal practitioners </w:t>
      </w:r>
    </w:p>
    <w:p w:rsidR="0080203C" w:rsidRPr="002138DE" w:rsidRDefault="0080203C" w:rsidP="0080203C">
      <w:pPr>
        <w:spacing w:after="0" w:line="240" w:lineRule="auto"/>
        <w:ind w:left="1440"/>
        <w:jc w:val="both"/>
        <w:rPr>
          <w:rFonts w:ascii="Times New Roman" w:hAnsi="Times New Roman" w:cs="Times New Roman"/>
        </w:rPr>
      </w:pPr>
    </w:p>
    <w:p w:rsidR="0080203C" w:rsidRPr="002019B2" w:rsidRDefault="0080203C" w:rsidP="0080203C">
      <w:pPr>
        <w:spacing w:after="0" w:line="360" w:lineRule="auto"/>
        <w:ind w:left="720"/>
        <w:jc w:val="both"/>
        <w:rPr>
          <w:rFonts w:ascii="Times New Roman" w:hAnsi="Times New Roman" w:cs="Times New Roman"/>
          <w:sz w:val="24"/>
        </w:rPr>
      </w:pPr>
      <w:r>
        <w:rPr>
          <w:rFonts w:ascii="Times New Roman" w:hAnsi="Times New Roman" w:cs="Times New Roman"/>
          <w:sz w:val="24"/>
        </w:rPr>
        <w:t xml:space="preserve"> </w:t>
      </w:r>
    </w:p>
    <w:p w:rsidR="0080203C" w:rsidRPr="00620EC2" w:rsidRDefault="0080203C" w:rsidP="0080203C">
      <w:pPr>
        <w:spacing w:after="0" w:line="360" w:lineRule="auto"/>
        <w:jc w:val="both"/>
        <w:rPr>
          <w:rFonts w:ascii="Times New Roman" w:hAnsi="Times New Roman" w:cs="Times New Roman"/>
          <w:sz w:val="24"/>
        </w:rPr>
      </w:pPr>
    </w:p>
    <w:p w:rsidR="0080203C" w:rsidRPr="00B26776" w:rsidRDefault="0080203C" w:rsidP="0080203C">
      <w:pPr>
        <w:spacing w:after="0" w:line="360" w:lineRule="auto"/>
        <w:jc w:val="both"/>
        <w:rPr>
          <w:rFonts w:ascii="Times New Roman" w:hAnsi="Times New Roman" w:cs="Times New Roman"/>
          <w:sz w:val="24"/>
        </w:rPr>
      </w:pPr>
    </w:p>
    <w:p w:rsidR="0080203C" w:rsidRPr="00464F4D" w:rsidRDefault="0080203C" w:rsidP="0080203C">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5B6001" w:rsidRDefault="005B6001" w:rsidP="008D671B">
      <w:pPr>
        <w:spacing w:after="0" w:line="360" w:lineRule="auto"/>
        <w:jc w:val="both"/>
        <w:rPr>
          <w:rFonts w:ascii="Times New Roman" w:hAnsi="Times New Roman" w:cs="Times New Roman"/>
          <w:sz w:val="24"/>
          <w:szCs w:val="24"/>
        </w:rPr>
      </w:pPr>
    </w:p>
    <w:p w:rsidR="005B6001" w:rsidRDefault="005B6001" w:rsidP="008D671B">
      <w:pPr>
        <w:spacing w:after="0" w:line="360" w:lineRule="auto"/>
        <w:jc w:val="both"/>
        <w:rPr>
          <w:rFonts w:ascii="Times New Roman" w:hAnsi="Times New Roman" w:cs="Times New Roman"/>
          <w:sz w:val="24"/>
          <w:szCs w:val="24"/>
        </w:rPr>
      </w:pPr>
    </w:p>
    <w:p w:rsidR="008D671B" w:rsidRPr="002A02CC" w:rsidRDefault="008D671B" w:rsidP="008D671B">
      <w:pPr>
        <w:spacing w:after="0" w:line="360" w:lineRule="auto"/>
        <w:jc w:val="both"/>
        <w:rPr>
          <w:rFonts w:ascii="Times New Roman" w:hAnsi="Times New Roman" w:cs="Times New Roman"/>
          <w:sz w:val="24"/>
          <w:szCs w:val="24"/>
        </w:rPr>
      </w:pPr>
    </w:p>
    <w:p w:rsidR="008D671B" w:rsidRPr="003167D2" w:rsidRDefault="008D671B" w:rsidP="008D671B">
      <w:pPr>
        <w:spacing w:after="0" w:line="240" w:lineRule="auto"/>
        <w:jc w:val="both"/>
        <w:rPr>
          <w:rFonts w:ascii="Times New Roman" w:hAnsi="Times New Roman" w:cs="Times New Roman"/>
          <w:szCs w:val="24"/>
        </w:rPr>
      </w:pPr>
    </w:p>
    <w:p w:rsidR="008D671B" w:rsidRPr="00117998" w:rsidRDefault="008D671B" w:rsidP="006C45D3">
      <w:pPr>
        <w:spacing w:after="0" w:line="24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002B37" w:rsidRDefault="00002B37" w:rsidP="00CB0B87">
      <w:pPr>
        <w:spacing w:after="0" w:line="360" w:lineRule="auto"/>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DC8" w:rsidRDefault="00133DC8" w:rsidP="00086343">
      <w:pPr>
        <w:spacing w:after="0" w:line="240" w:lineRule="auto"/>
      </w:pPr>
      <w:r>
        <w:separator/>
      </w:r>
    </w:p>
  </w:endnote>
  <w:endnote w:type="continuationSeparator" w:id="0">
    <w:p w:rsidR="00133DC8" w:rsidRDefault="00133DC8"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DC8" w:rsidRDefault="00133DC8" w:rsidP="00086343">
      <w:pPr>
        <w:spacing w:after="0" w:line="240" w:lineRule="auto"/>
      </w:pPr>
      <w:r>
        <w:separator/>
      </w:r>
    </w:p>
  </w:footnote>
  <w:footnote w:type="continuationSeparator" w:id="0">
    <w:p w:rsidR="00133DC8" w:rsidRDefault="00133DC8" w:rsidP="00086343">
      <w:pPr>
        <w:spacing w:after="0" w:line="240" w:lineRule="auto"/>
      </w:pPr>
      <w:r>
        <w:continuationSeparator/>
      </w:r>
    </w:p>
  </w:footnote>
  <w:footnote w:id="1">
    <w:p w:rsidR="007228D9" w:rsidRPr="007228D9" w:rsidRDefault="007228D9">
      <w:pPr>
        <w:pStyle w:val="FootnoteText"/>
        <w:rPr>
          <w:lang w:val="en-GB"/>
        </w:rPr>
      </w:pPr>
      <w:r>
        <w:rPr>
          <w:rStyle w:val="FootnoteReference"/>
        </w:rPr>
        <w:footnoteRef/>
      </w:r>
      <w:r>
        <w:t xml:space="preserve"> </w:t>
      </w:r>
      <w:r>
        <w:rPr>
          <w:lang w:val="en-GB"/>
        </w:rPr>
        <w:t>In SAMANYANGA AND OTHERS V FLEXMALL (PRIVATE)LIMITED HH5710/09)</w:t>
      </w:r>
    </w:p>
  </w:footnote>
  <w:footnote w:id="2">
    <w:p w:rsidR="00DC233E" w:rsidRDefault="00DC233E">
      <w:pPr>
        <w:pStyle w:val="FootnoteText"/>
        <w:rPr>
          <w:lang w:val="en-GB"/>
        </w:rPr>
      </w:pPr>
      <w:r>
        <w:rPr>
          <w:rStyle w:val="FootnoteReference"/>
        </w:rPr>
        <w:footnoteRef/>
      </w:r>
      <w:r>
        <w:t xml:space="preserve"> </w:t>
      </w:r>
      <w:r>
        <w:rPr>
          <w:lang w:val="en-GB"/>
        </w:rPr>
        <w:t>See Makumbe Primary School v Vivian makumbe and 2 others LC/11/14/16</w:t>
      </w:r>
    </w:p>
    <w:p w:rsidR="00DC233E" w:rsidRPr="00DC233E" w:rsidRDefault="00DC233E">
      <w:pPr>
        <w:pStyle w:val="FootnoteText"/>
        <w:rPr>
          <w:lang w:val="en-GB"/>
        </w:rPr>
      </w:pPr>
      <w:r>
        <w:rPr>
          <w:lang w:val="en-GB"/>
        </w:rPr>
        <w:t xml:space="preserve">  Chikomba Rural District Council V Herbert pasipanodya SC 26/2012</w:t>
      </w:r>
    </w:p>
  </w:footnote>
  <w:footnote w:id="3">
    <w:p w:rsidR="008C3431" w:rsidRPr="008C3431" w:rsidRDefault="008C3431">
      <w:pPr>
        <w:pStyle w:val="FootnoteText"/>
        <w:rPr>
          <w:lang w:val="en-GB"/>
        </w:rPr>
      </w:pPr>
      <w:r>
        <w:rPr>
          <w:rStyle w:val="FootnoteReference"/>
        </w:rPr>
        <w:footnoteRef/>
      </w:r>
      <w:r>
        <w:t xml:space="preserve"> </w:t>
      </w:r>
      <w:r>
        <w:rPr>
          <w:lang w:val="en-GB"/>
        </w:rPr>
        <w:t>SC-17-1995</w:t>
      </w:r>
    </w:p>
  </w:footnote>
  <w:footnote w:id="4">
    <w:p w:rsidR="001C6904" w:rsidRPr="001C6904" w:rsidRDefault="001C6904">
      <w:pPr>
        <w:pStyle w:val="FootnoteText"/>
        <w:rPr>
          <w:lang w:val="en-GB"/>
        </w:rPr>
      </w:pPr>
      <w:r>
        <w:rPr>
          <w:rStyle w:val="FootnoteReference"/>
        </w:rPr>
        <w:footnoteRef/>
      </w:r>
      <w:r>
        <w:t xml:space="preserve"> </w:t>
      </w:r>
      <w:r>
        <w:rPr>
          <w:lang w:val="en-GB"/>
        </w:rPr>
        <w:t>SC 3/11</w:t>
      </w:r>
    </w:p>
  </w:footnote>
  <w:footnote w:id="5">
    <w:p w:rsidR="001C6904" w:rsidRPr="001C6904" w:rsidRDefault="001C6904">
      <w:pPr>
        <w:pStyle w:val="FootnoteText"/>
        <w:rPr>
          <w:lang w:val="en-GB"/>
        </w:rPr>
      </w:pPr>
      <w:r>
        <w:rPr>
          <w:rStyle w:val="FootnoteReference"/>
        </w:rPr>
        <w:footnoteRef/>
      </w:r>
      <w:r>
        <w:t xml:space="preserve"> </w:t>
      </w:r>
      <w:r>
        <w:rPr>
          <w:lang w:val="en-GB"/>
        </w:rPr>
        <w:t>On p.11 of the cyclostyled</w:t>
      </w:r>
      <w:r w:rsidR="00FB412E">
        <w:rPr>
          <w:lang w:val="en-GB"/>
        </w:rPr>
        <w:t xml:space="preserve"> judgement</w:t>
      </w:r>
      <w:r>
        <w:rPr>
          <w:lang w:val="en-GB"/>
        </w:rPr>
        <w:t xml:space="preserve"> </w:t>
      </w:r>
    </w:p>
  </w:footnote>
  <w:footnote w:id="6">
    <w:p w:rsidR="00FB412E" w:rsidRPr="00FB412E" w:rsidRDefault="00FB412E">
      <w:pPr>
        <w:pStyle w:val="FootnoteText"/>
        <w:rPr>
          <w:lang w:val="en-GB"/>
        </w:rPr>
      </w:pPr>
      <w:r>
        <w:rPr>
          <w:rStyle w:val="FootnoteReference"/>
        </w:rPr>
        <w:footnoteRef/>
      </w:r>
      <w:r>
        <w:t xml:space="preserve"> </w:t>
      </w:r>
      <w:r>
        <w:rPr>
          <w:lang w:val="en-GB"/>
        </w:rPr>
        <w:t>[196] 3 All ER 1169 (PC) at 11721</w:t>
      </w:r>
    </w:p>
  </w:footnote>
  <w:footnote w:id="7">
    <w:p w:rsidR="008E1AC0" w:rsidRPr="008E1AC0" w:rsidRDefault="008E1AC0">
      <w:pPr>
        <w:pStyle w:val="FootnoteText"/>
        <w:rPr>
          <w:lang w:val="en-GB"/>
        </w:rPr>
      </w:pPr>
      <w:r>
        <w:rPr>
          <w:rStyle w:val="FootnoteReference"/>
        </w:rPr>
        <w:footnoteRef/>
      </w:r>
      <w:r>
        <w:t xml:space="preserve"> </w:t>
      </w:r>
      <w:r>
        <w:rPr>
          <w:lang w:val="en-GB"/>
        </w:rPr>
        <w:t>See also Mugwebie V Seed Co. Limited and another 2000 (1) ZLR 93 @ 97 A-B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2B4E9F" w:rsidRDefault="002B4E9F">
        <w:pPr>
          <w:pStyle w:val="Header"/>
          <w:jc w:val="right"/>
          <w:rPr>
            <w:noProof/>
          </w:rPr>
        </w:pPr>
        <w:r>
          <w:fldChar w:fldCharType="begin"/>
        </w:r>
        <w:r>
          <w:instrText xml:space="preserve"> PAGE   \* MERGEFORMAT </w:instrText>
        </w:r>
        <w:r>
          <w:fldChar w:fldCharType="separate"/>
        </w:r>
        <w:r w:rsidR="001722D2">
          <w:rPr>
            <w:noProof/>
          </w:rPr>
          <w:t>1</w:t>
        </w:r>
        <w:r>
          <w:rPr>
            <w:noProof/>
          </w:rPr>
          <w:fldChar w:fldCharType="end"/>
        </w:r>
      </w:p>
      <w:p w:rsidR="002B4E9F" w:rsidRDefault="00B37CC1">
        <w:pPr>
          <w:pStyle w:val="Header"/>
          <w:jc w:val="right"/>
          <w:rPr>
            <w:noProof/>
          </w:rPr>
        </w:pPr>
        <w:r>
          <w:rPr>
            <w:noProof/>
          </w:rPr>
          <w:t>HMT 23</w:t>
        </w:r>
        <w:r w:rsidR="002B4E9F">
          <w:rPr>
            <w:noProof/>
          </w:rPr>
          <w:t>-20</w:t>
        </w:r>
      </w:p>
      <w:p w:rsidR="002B4E9F" w:rsidRDefault="007228D9" w:rsidP="00F13DD1">
        <w:pPr>
          <w:pStyle w:val="Header"/>
          <w:jc w:val="right"/>
          <w:rPr>
            <w:noProof/>
          </w:rPr>
        </w:pPr>
        <w:r>
          <w:rPr>
            <w:noProof/>
          </w:rPr>
          <w:t>HC 145/19</w:t>
        </w:r>
      </w:p>
    </w:sdtContent>
  </w:sdt>
  <w:p w:rsidR="002B4E9F" w:rsidRDefault="002B4E9F"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BD0555F"/>
    <w:multiLevelType w:val="hybridMultilevel"/>
    <w:tmpl w:val="B77EF02A"/>
    <w:lvl w:ilvl="0" w:tplc="340E5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30EA4667"/>
    <w:multiLevelType w:val="hybridMultilevel"/>
    <w:tmpl w:val="2C32CF0E"/>
    <w:lvl w:ilvl="0" w:tplc="F0B4C070">
      <w:start w:val="1"/>
      <w:numFmt w:val="lowerLetter"/>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506552E"/>
    <w:multiLevelType w:val="hybridMultilevel"/>
    <w:tmpl w:val="E18C7B7A"/>
    <w:lvl w:ilvl="0" w:tplc="89723F9C">
      <w:start w:val="1"/>
      <w:numFmt w:val="lowerLetter"/>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3A1D24F2"/>
    <w:multiLevelType w:val="hybridMultilevel"/>
    <w:tmpl w:val="5802D62E"/>
    <w:lvl w:ilvl="0" w:tplc="31C23364">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40441F8F"/>
    <w:multiLevelType w:val="hybridMultilevel"/>
    <w:tmpl w:val="0118300A"/>
    <w:lvl w:ilvl="0" w:tplc="CEEE041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4A2F33AD"/>
    <w:multiLevelType w:val="hybridMultilevel"/>
    <w:tmpl w:val="4752A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60E6323C"/>
    <w:multiLevelType w:val="hybridMultilevel"/>
    <w:tmpl w:val="2D0203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29">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6F880BF9"/>
    <w:multiLevelType w:val="hybridMultilevel"/>
    <w:tmpl w:val="F7F4D1E8"/>
    <w:lvl w:ilvl="0" w:tplc="D932E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799A5F3A"/>
    <w:multiLevelType w:val="hybridMultilevel"/>
    <w:tmpl w:val="B60ED4CC"/>
    <w:lvl w:ilvl="0" w:tplc="9794904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31"/>
  </w:num>
  <w:num w:numId="3">
    <w:abstractNumId w:val="2"/>
  </w:num>
  <w:num w:numId="4">
    <w:abstractNumId w:val="27"/>
  </w:num>
  <w:num w:numId="5">
    <w:abstractNumId w:val="20"/>
  </w:num>
  <w:num w:numId="6">
    <w:abstractNumId w:val="11"/>
  </w:num>
  <w:num w:numId="7">
    <w:abstractNumId w:val="25"/>
  </w:num>
  <w:num w:numId="8">
    <w:abstractNumId w:val="8"/>
  </w:num>
  <w:num w:numId="9">
    <w:abstractNumId w:val="29"/>
  </w:num>
  <w:num w:numId="10">
    <w:abstractNumId w:val="24"/>
  </w:num>
  <w:num w:numId="11">
    <w:abstractNumId w:val="15"/>
  </w:num>
  <w:num w:numId="12">
    <w:abstractNumId w:val="13"/>
  </w:num>
  <w:num w:numId="13">
    <w:abstractNumId w:val="1"/>
  </w:num>
  <w:num w:numId="14">
    <w:abstractNumId w:val="12"/>
  </w:num>
  <w:num w:numId="15">
    <w:abstractNumId w:val="4"/>
  </w:num>
  <w:num w:numId="16">
    <w:abstractNumId w:val="34"/>
  </w:num>
  <w:num w:numId="17">
    <w:abstractNumId w:val="18"/>
  </w:num>
  <w:num w:numId="18">
    <w:abstractNumId w:val="14"/>
  </w:num>
  <w:num w:numId="19">
    <w:abstractNumId w:val="35"/>
  </w:num>
  <w:num w:numId="20">
    <w:abstractNumId w:val="0"/>
  </w:num>
  <w:num w:numId="21">
    <w:abstractNumId w:val="10"/>
  </w:num>
  <w:num w:numId="22">
    <w:abstractNumId w:val="33"/>
  </w:num>
  <w:num w:numId="23">
    <w:abstractNumId w:val="30"/>
  </w:num>
  <w:num w:numId="24">
    <w:abstractNumId w:val="3"/>
  </w:num>
  <w:num w:numId="25">
    <w:abstractNumId w:val="28"/>
  </w:num>
  <w:num w:numId="26">
    <w:abstractNumId w:val="6"/>
  </w:num>
  <w:num w:numId="27">
    <w:abstractNumId w:val="21"/>
  </w:num>
  <w:num w:numId="28">
    <w:abstractNumId w:val="9"/>
  </w:num>
  <w:num w:numId="29">
    <w:abstractNumId w:val="19"/>
  </w:num>
  <w:num w:numId="30">
    <w:abstractNumId w:val="36"/>
  </w:num>
  <w:num w:numId="31">
    <w:abstractNumId w:val="26"/>
  </w:num>
  <w:num w:numId="32">
    <w:abstractNumId w:val="22"/>
  </w:num>
  <w:num w:numId="33">
    <w:abstractNumId w:val="32"/>
  </w:num>
  <w:num w:numId="34">
    <w:abstractNumId w:val="5"/>
  </w:num>
  <w:num w:numId="35">
    <w:abstractNumId w:val="23"/>
  </w:num>
  <w:num w:numId="36">
    <w:abstractNumId w:val="1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7DA1"/>
    <w:rsid w:val="00010113"/>
    <w:rsid w:val="00011FFF"/>
    <w:rsid w:val="00012B71"/>
    <w:rsid w:val="00013529"/>
    <w:rsid w:val="000136EF"/>
    <w:rsid w:val="0001398E"/>
    <w:rsid w:val="00014375"/>
    <w:rsid w:val="00017ED0"/>
    <w:rsid w:val="000230F2"/>
    <w:rsid w:val="000279CA"/>
    <w:rsid w:val="00027EC1"/>
    <w:rsid w:val="00031796"/>
    <w:rsid w:val="00031938"/>
    <w:rsid w:val="00032419"/>
    <w:rsid w:val="000350EB"/>
    <w:rsid w:val="000366C5"/>
    <w:rsid w:val="00037631"/>
    <w:rsid w:val="0004053D"/>
    <w:rsid w:val="00041326"/>
    <w:rsid w:val="00041799"/>
    <w:rsid w:val="00043D3C"/>
    <w:rsid w:val="00044DC7"/>
    <w:rsid w:val="00044E45"/>
    <w:rsid w:val="000459D4"/>
    <w:rsid w:val="00046A3E"/>
    <w:rsid w:val="00047D17"/>
    <w:rsid w:val="00050028"/>
    <w:rsid w:val="00050C11"/>
    <w:rsid w:val="00050F41"/>
    <w:rsid w:val="000512AB"/>
    <w:rsid w:val="00053D65"/>
    <w:rsid w:val="00055AF1"/>
    <w:rsid w:val="00056548"/>
    <w:rsid w:val="00060141"/>
    <w:rsid w:val="00060B8B"/>
    <w:rsid w:val="00064FFA"/>
    <w:rsid w:val="00065A06"/>
    <w:rsid w:val="000662F2"/>
    <w:rsid w:val="00072326"/>
    <w:rsid w:val="00073D24"/>
    <w:rsid w:val="00076E0C"/>
    <w:rsid w:val="0007762F"/>
    <w:rsid w:val="000830BD"/>
    <w:rsid w:val="000831FE"/>
    <w:rsid w:val="000836BB"/>
    <w:rsid w:val="00085896"/>
    <w:rsid w:val="00085E91"/>
    <w:rsid w:val="00086158"/>
    <w:rsid w:val="00086343"/>
    <w:rsid w:val="000879E9"/>
    <w:rsid w:val="00090535"/>
    <w:rsid w:val="0009160D"/>
    <w:rsid w:val="00096064"/>
    <w:rsid w:val="000966B3"/>
    <w:rsid w:val="000A0D41"/>
    <w:rsid w:val="000A152A"/>
    <w:rsid w:val="000A3D2A"/>
    <w:rsid w:val="000A4732"/>
    <w:rsid w:val="000A47D2"/>
    <w:rsid w:val="000A6B76"/>
    <w:rsid w:val="000A6BB3"/>
    <w:rsid w:val="000A7061"/>
    <w:rsid w:val="000B030C"/>
    <w:rsid w:val="000B0728"/>
    <w:rsid w:val="000B24A8"/>
    <w:rsid w:val="000B26C9"/>
    <w:rsid w:val="000B3709"/>
    <w:rsid w:val="000B3A91"/>
    <w:rsid w:val="000B4FA6"/>
    <w:rsid w:val="000B5A5A"/>
    <w:rsid w:val="000B777B"/>
    <w:rsid w:val="000C1DBA"/>
    <w:rsid w:val="000C49E5"/>
    <w:rsid w:val="000C5788"/>
    <w:rsid w:val="000C7EE1"/>
    <w:rsid w:val="000D287F"/>
    <w:rsid w:val="000E05E5"/>
    <w:rsid w:val="000E23AF"/>
    <w:rsid w:val="000E292C"/>
    <w:rsid w:val="000E77A5"/>
    <w:rsid w:val="000E7C0F"/>
    <w:rsid w:val="000F0F15"/>
    <w:rsid w:val="000F3C8E"/>
    <w:rsid w:val="000F6C61"/>
    <w:rsid w:val="0010113C"/>
    <w:rsid w:val="001012ED"/>
    <w:rsid w:val="00102549"/>
    <w:rsid w:val="0010539A"/>
    <w:rsid w:val="00105FAC"/>
    <w:rsid w:val="00110674"/>
    <w:rsid w:val="00111E5D"/>
    <w:rsid w:val="00112746"/>
    <w:rsid w:val="00112C2B"/>
    <w:rsid w:val="00112C98"/>
    <w:rsid w:val="001136AE"/>
    <w:rsid w:val="00114CB1"/>
    <w:rsid w:val="0011760F"/>
    <w:rsid w:val="00117998"/>
    <w:rsid w:val="00120BEA"/>
    <w:rsid w:val="00121FBB"/>
    <w:rsid w:val="001220BA"/>
    <w:rsid w:val="001256A8"/>
    <w:rsid w:val="00126336"/>
    <w:rsid w:val="00127479"/>
    <w:rsid w:val="001274D3"/>
    <w:rsid w:val="00127CFC"/>
    <w:rsid w:val="00130104"/>
    <w:rsid w:val="00132DEF"/>
    <w:rsid w:val="00133134"/>
    <w:rsid w:val="00133DC8"/>
    <w:rsid w:val="00142A44"/>
    <w:rsid w:val="00142F09"/>
    <w:rsid w:val="00142F5E"/>
    <w:rsid w:val="0014309E"/>
    <w:rsid w:val="00143388"/>
    <w:rsid w:val="00145FCB"/>
    <w:rsid w:val="001462C0"/>
    <w:rsid w:val="00152A22"/>
    <w:rsid w:val="00153323"/>
    <w:rsid w:val="00154B2C"/>
    <w:rsid w:val="00154D86"/>
    <w:rsid w:val="001556DD"/>
    <w:rsid w:val="001628FF"/>
    <w:rsid w:val="00165B02"/>
    <w:rsid w:val="00167306"/>
    <w:rsid w:val="0017058C"/>
    <w:rsid w:val="001722D2"/>
    <w:rsid w:val="0017726C"/>
    <w:rsid w:val="001811A8"/>
    <w:rsid w:val="00182621"/>
    <w:rsid w:val="00185787"/>
    <w:rsid w:val="00186958"/>
    <w:rsid w:val="00192BDF"/>
    <w:rsid w:val="001931F4"/>
    <w:rsid w:val="001A13F0"/>
    <w:rsid w:val="001A1A68"/>
    <w:rsid w:val="001A3DE2"/>
    <w:rsid w:val="001A4020"/>
    <w:rsid w:val="001A4968"/>
    <w:rsid w:val="001A54E5"/>
    <w:rsid w:val="001B099B"/>
    <w:rsid w:val="001B0C42"/>
    <w:rsid w:val="001B156D"/>
    <w:rsid w:val="001B3F3E"/>
    <w:rsid w:val="001B583B"/>
    <w:rsid w:val="001B66CC"/>
    <w:rsid w:val="001C0EDE"/>
    <w:rsid w:val="001C27A7"/>
    <w:rsid w:val="001C6904"/>
    <w:rsid w:val="001D3BEE"/>
    <w:rsid w:val="001D43BC"/>
    <w:rsid w:val="001D55F5"/>
    <w:rsid w:val="001D73FD"/>
    <w:rsid w:val="001F043C"/>
    <w:rsid w:val="001F0D48"/>
    <w:rsid w:val="001F105A"/>
    <w:rsid w:val="001F1AEB"/>
    <w:rsid w:val="001F1B63"/>
    <w:rsid w:val="001F24AD"/>
    <w:rsid w:val="001F562E"/>
    <w:rsid w:val="001F5952"/>
    <w:rsid w:val="00200B65"/>
    <w:rsid w:val="002038F3"/>
    <w:rsid w:val="0020494F"/>
    <w:rsid w:val="00206AAE"/>
    <w:rsid w:val="00211C7D"/>
    <w:rsid w:val="00214703"/>
    <w:rsid w:val="00214B21"/>
    <w:rsid w:val="0021576F"/>
    <w:rsid w:val="00215CC6"/>
    <w:rsid w:val="00216216"/>
    <w:rsid w:val="0022092A"/>
    <w:rsid w:val="00220B11"/>
    <w:rsid w:val="002217C5"/>
    <w:rsid w:val="00224017"/>
    <w:rsid w:val="00225DCE"/>
    <w:rsid w:val="002266C9"/>
    <w:rsid w:val="002276DA"/>
    <w:rsid w:val="00230177"/>
    <w:rsid w:val="0023317D"/>
    <w:rsid w:val="0023548C"/>
    <w:rsid w:val="00236065"/>
    <w:rsid w:val="0023739A"/>
    <w:rsid w:val="0024017F"/>
    <w:rsid w:val="0024170D"/>
    <w:rsid w:val="00242199"/>
    <w:rsid w:val="002467A1"/>
    <w:rsid w:val="0025021A"/>
    <w:rsid w:val="00251E56"/>
    <w:rsid w:val="002572BA"/>
    <w:rsid w:val="0026141E"/>
    <w:rsid w:val="002632FF"/>
    <w:rsid w:val="002645F7"/>
    <w:rsid w:val="00265A7C"/>
    <w:rsid w:val="00270ADB"/>
    <w:rsid w:val="0027142C"/>
    <w:rsid w:val="002770F9"/>
    <w:rsid w:val="00282545"/>
    <w:rsid w:val="00283EEA"/>
    <w:rsid w:val="00290DED"/>
    <w:rsid w:val="00293B84"/>
    <w:rsid w:val="002A12F6"/>
    <w:rsid w:val="002A16E8"/>
    <w:rsid w:val="002A1CFA"/>
    <w:rsid w:val="002B376B"/>
    <w:rsid w:val="002B3A84"/>
    <w:rsid w:val="002B3CF9"/>
    <w:rsid w:val="002B4E9F"/>
    <w:rsid w:val="002C04FB"/>
    <w:rsid w:val="002C446A"/>
    <w:rsid w:val="002D046F"/>
    <w:rsid w:val="002D1BEF"/>
    <w:rsid w:val="002D4C8E"/>
    <w:rsid w:val="002E0C76"/>
    <w:rsid w:val="002E112D"/>
    <w:rsid w:val="002E7138"/>
    <w:rsid w:val="002F12E9"/>
    <w:rsid w:val="002F2440"/>
    <w:rsid w:val="002F3668"/>
    <w:rsid w:val="002F39D0"/>
    <w:rsid w:val="002F4499"/>
    <w:rsid w:val="002F5744"/>
    <w:rsid w:val="002F70D7"/>
    <w:rsid w:val="002F7925"/>
    <w:rsid w:val="00301726"/>
    <w:rsid w:val="00301D4D"/>
    <w:rsid w:val="00302168"/>
    <w:rsid w:val="0030364F"/>
    <w:rsid w:val="00307817"/>
    <w:rsid w:val="0030795E"/>
    <w:rsid w:val="00310098"/>
    <w:rsid w:val="0031012C"/>
    <w:rsid w:val="003114D6"/>
    <w:rsid w:val="00312059"/>
    <w:rsid w:val="00314318"/>
    <w:rsid w:val="003148C0"/>
    <w:rsid w:val="00315732"/>
    <w:rsid w:val="0031580F"/>
    <w:rsid w:val="003176CD"/>
    <w:rsid w:val="00323922"/>
    <w:rsid w:val="003258FA"/>
    <w:rsid w:val="00326ABD"/>
    <w:rsid w:val="00330ED9"/>
    <w:rsid w:val="00331C2C"/>
    <w:rsid w:val="00333CA6"/>
    <w:rsid w:val="003344A4"/>
    <w:rsid w:val="00336045"/>
    <w:rsid w:val="003403DB"/>
    <w:rsid w:val="0034152B"/>
    <w:rsid w:val="00341F71"/>
    <w:rsid w:val="00342253"/>
    <w:rsid w:val="00342451"/>
    <w:rsid w:val="00342D92"/>
    <w:rsid w:val="00344917"/>
    <w:rsid w:val="00350084"/>
    <w:rsid w:val="00351114"/>
    <w:rsid w:val="0035194C"/>
    <w:rsid w:val="00351E37"/>
    <w:rsid w:val="0035250F"/>
    <w:rsid w:val="003539B0"/>
    <w:rsid w:val="00355836"/>
    <w:rsid w:val="00356F89"/>
    <w:rsid w:val="00360671"/>
    <w:rsid w:val="0036134C"/>
    <w:rsid w:val="00361E80"/>
    <w:rsid w:val="003621CA"/>
    <w:rsid w:val="00363E0B"/>
    <w:rsid w:val="00363F03"/>
    <w:rsid w:val="0037005C"/>
    <w:rsid w:val="0037123D"/>
    <w:rsid w:val="003712C6"/>
    <w:rsid w:val="003715A1"/>
    <w:rsid w:val="00371711"/>
    <w:rsid w:val="003759CF"/>
    <w:rsid w:val="00376D44"/>
    <w:rsid w:val="003839C0"/>
    <w:rsid w:val="00383CC8"/>
    <w:rsid w:val="00384692"/>
    <w:rsid w:val="003847AE"/>
    <w:rsid w:val="003847CB"/>
    <w:rsid w:val="00390879"/>
    <w:rsid w:val="00395BBE"/>
    <w:rsid w:val="003A04A5"/>
    <w:rsid w:val="003A27EA"/>
    <w:rsid w:val="003A38D9"/>
    <w:rsid w:val="003A4275"/>
    <w:rsid w:val="003A485E"/>
    <w:rsid w:val="003A5D15"/>
    <w:rsid w:val="003A60AE"/>
    <w:rsid w:val="003A61D8"/>
    <w:rsid w:val="003A6BBD"/>
    <w:rsid w:val="003B108D"/>
    <w:rsid w:val="003B3D23"/>
    <w:rsid w:val="003B5701"/>
    <w:rsid w:val="003C0A7B"/>
    <w:rsid w:val="003C0BD9"/>
    <w:rsid w:val="003C6953"/>
    <w:rsid w:val="003D2B35"/>
    <w:rsid w:val="003D427E"/>
    <w:rsid w:val="003D61D5"/>
    <w:rsid w:val="003E1DAF"/>
    <w:rsid w:val="003E398F"/>
    <w:rsid w:val="003E3F50"/>
    <w:rsid w:val="003E5E28"/>
    <w:rsid w:val="003E7E7C"/>
    <w:rsid w:val="003F0710"/>
    <w:rsid w:val="003F0B48"/>
    <w:rsid w:val="003F1CC4"/>
    <w:rsid w:val="003F242B"/>
    <w:rsid w:val="003F68A0"/>
    <w:rsid w:val="004002A6"/>
    <w:rsid w:val="004038A8"/>
    <w:rsid w:val="004043B9"/>
    <w:rsid w:val="0040518E"/>
    <w:rsid w:val="00406C38"/>
    <w:rsid w:val="00407542"/>
    <w:rsid w:val="004137C6"/>
    <w:rsid w:val="00415462"/>
    <w:rsid w:val="004171F6"/>
    <w:rsid w:val="004173EA"/>
    <w:rsid w:val="004200DC"/>
    <w:rsid w:val="00421EBF"/>
    <w:rsid w:val="00422459"/>
    <w:rsid w:val="004228CF"/>
    <w:rsid w:val="004306D9"/>
    <w:rsid w:val="00430CB1"/>
    <w:rsid w:val="0043198D"/>
    <w:rsid w:val="00431BBC"/>
    <w:rsid w:val="00431E19"/>
    <w:rsid w:val="00432A25"/>
    <w:rsid w:val="00433502"/>
    <w:rsid w:val="0043358A"/>
    <w:rsid w:val="004353F1"/>
    <w:rsid w:val="004364ED"/>
    <w:rsid w:val="00440822"/>
    <w:rsid w:val="00442BC7"/>
    <w:rsid w:val="0044352C"/>
    <w:rsid w:val="00447091"/>
    <w:rsid w:val="00450640"/>
    <w:rsid w:val="00452828"/>
    <w:rsid w:val="00452CA6"/>
    <w:rsid w:val="004536B0"/>
    <w:rsid w:val="00457584"/>
    <w:rsid w:val="00457FCD"/>
    <w:rsid w:val="00461111"/>
    <w:rsid w:val="00464452"/>
    <w:rsid w:val="004660F6"/>
    <w:rsid w:val="00467169"/>
    <w:rsid w:val="004673FE"/>
    <w:rsid w:val="004677CB"/>
    <w:rsid w:val="0047042D"/>
    <w:rsid w:val="004771D4"/>
    <w:rsid w:val="004806AA"/>
    <w:rsid w:val="00481367"/>
    <w:rsid w:val="004846E1"/>
    <w:rsid w:val="00485EBC"/>
    <w:rsid w:val="0048605F"/>
    <w:rsid w:val="00486CB8"/>
    <w:rsid w:val="004872F2"/>
    <w:rsid w:val="00490B75"/>
    <w:rsid w:val="00494E97"/>
    <w:rsid w:val="00496D33"/>
    <w:rsid w:val="00496DCD"/>
    <w:rsid w:val="004A082F"/>
    <w:rsid w:val="004A307F"/>
    <w:rsid w:val="004A7C3E"/>
    <w:rsid w:val="004B0029"/>
    <w:rsid w:val="004B5F41"/>
    <w:rsid w:val="004B6514"/>
    <w:rsid w:val="004B6EF8"/>
    <w:rsid w:val="004B7144"/>
    <w:rsid w:val="004C04C9"/>
    <w:rsid w:val="004C1D8F"/>
    <w:rsid w:val="004C31B0"/>
    <w:rsid w:val="004C432F"/>
    <w:rsid w:val="004C5EE6"/>
    <w:rsid w:val="004C6335"/>
    <w:rsid w:val="004D097C"/>
    <w:rsid w:val="004D1F40"/>
    <w:rsid w:val="004D2396"/>
    <w:rsid w:val="004D3455"/>
    <w:rsid w:val="004D354E"/>
    <w:rsid w:val="004D366D"/>
    <w:rsid w:val="004D38CD"/>
    <w:rsid w:val="004D3B14"/>
    <w:rsid w:val="004D40A1"/>
    <w:rsid w:val="004E03F2"/>
    <w:rsid w:val="004E1B56"/>
    <w:rsid w:val="004E1E67"/>
    <w:rsid w:val="004E43F9"/>
    <w:rsid w:val="004E504D"/>
    <w:rsid w:val="004F245B"/>
    <w:rsid w:val="004F27A3"/>
    <w:rsid w:val="004F7596"/>
    <w:rsid w:val="005019AC"/>
    <w:rsid w:val="00502C4B"/>
    <w:rsid w:val="00503F66"/>
    <w:rsid w:val="0050572D"/>
    <w:rsid w:val="005060F1"/>
    <w:rsid w:val="005066F6"/>
    <w:rsid w:val="005103BA"/>
    <w:rsid w:val="00513245"/>
    <w:rsid w:val="00515A3A"/>
    <w:rsid w:val="0051677A"/>
    <w:rsid w:val="005201CC"/>
    <w:rsid w:val="00527252"/>
    <w:rsid w:val="00527B2A"/>
    <w:rsid w:val="00530D3D"/>
    <w:rsid w:val="005314B7"/>
    <w:rsid w:val="0053225C"/>
    <w:rsid w:val="005353EE"/>
    <w:rsid w:val="005358A7"/>
    <w:rsid w:val="00536750"/>
    <w:rsid w:val="00542F7E"/>
    <w:rsid w:val="00543898"/>
    <w:rsid w:val="00543AA0"/>
    <w:rsid w:val="00544656"/>
    <w:rsid w:val="00544E2D"/>
    <w:rsid w:val="00550786"/>
    <w:rsid w:val="005528AC"/>
    <w:rsid w:val="00552A5C"/>
    <w:rsid w:val="0055535B"/>
    <w:rsid w:val="0056334B"/>
    <w:rsid w:val="00570A84"/>
    <w:rsid w:val="00571F54"/>
    <w:rsid w:val="00572D5A"/>
    <w:rsid w:val="0057440D"/>
    <w:rsid w:val="00575409"/>
    <w:rsid w:val="005757B1"/>
    <w:rsid w:val="005766AF"/>
    <w:rsid w:val="00577DDD"/>
    <w:rsid w:val="005807D4"/>
    <w:rsid w:val="00581247"/>
    <w:rsid w:val="00581FB1"/>
    <w:rsid w:val="00582A8A"/>
    <w:rsid w:val="005843B1"/>
    <w:rsid w:val="00586BD7"/>
    <w:rsid w:val="00590FCB"/>
    <w:rsid w:val="00592530"/>
    <w:rsid w:val="005934F0"/>
    <w:rsid w:val="005940FD"/>
    <w:rsid w:val="00596124"/>
    <w:rsid w:val="00596245"/>
    <w:rsid w:val="005967CC"/>
    <w:rsid w:val="00596CC2"/>
    <w:rsid w:val="005A7EC2"/>
    <w:rsid w:val="005B0DC5"/>
    <w:rsid w:val="005B2F68"/>
    <w:rsid w:val="005B3049"/>
    <w:rsid w:val="005B5807"/>
    <w:rsid w:val="005B6001"/>
    <w:rsid w:val="005B60D8"/>
    <w:rsid w:val="005C1010"/>
    <w:rsid w:val="005C4AD4"/>
    <w:rsid w:val="005C6219"/>
    <w:rsid w:val="005C741D"/>
    <w:rsid w:val="005D0409"/>
    <w:rsid w:val="005D11BB"/>
    <w:rsid w:val="005D3375"/>
    <w:rsid w:val="005D4F53"/>
    <w:rsid w:val="005D6107"/>
    <w:rsid w:val="005E05E6"/>
    <w:rsid w:val="005E1137"/>
    <w:rsid w:val="005E2B25"/>
    <w:rsid w:val="005E34E8"/>
    <w:rsid w:val="005E4754"/>
    <w:rsid w:val="005E5782"/>
    <w:rsid w:val="005E7A95"/>
    <w:rsid w:val="005F0681"/>
    <w:rsid w:val="005F0984"/>
    <w:rsid w:val="005F0D8D"/>
    <w:rsid w:val="005F0DF6"/>
    <w:rsid w:val="005F150E"/>
    <w:rsid w:val="005F1C7D"/>
    <w:rsid w:val="0060018F"/>
    <w:rsid w:val="00600E5C"/>
    <w:rsid w:val="00601184"/>
    <w:rsid w:val="00602D72"/>
    <w:rsid w:val="00603709"/>
    <w:rsid w:val="00604E85"/>
    <w:rsid w:val="0060566C"/>
    <w:rsid w:val="00607A8B"/>
    <w:rsid w:val="006117FC"/>
    <w:rsid w:val="00611AF5"/>
    <w:rsid w:val="0061231A"/>
    <w:rsid w:val="00612981"/>
    <w:rsid w:val="006139B0"/>
    <w:rsid w:val="006144CA"/>
    <w:rsid w:val="00620693"/>
    <w:rsid w:val="0062406D"/>
    <w:rsid w:val="006243DF"/>
    <w:rsid w:val="00624D88"/>
    <w:rsid w:val="006251B6"/>
    <w:rsid w:val="00625D23"/>
    <w:rsid w:val="00632020"/>
    <w:rsid w:val="0063386A"/>
    <w:rsid w:val="00640733"/>
    <w:rsid w:val="00641C54"/>
    <w:rsid w:val="00644264"/>
    <w:rsid w:val="006475A1"/>
    <w:rsid w:val="00650193"/>
    <w:rsid w:val="006504D9"/>
    <w:rsid w:val="006525A0"/>
    <w:rsid w:val="006526EB"/>
    <w:rsid w:val="00654CA3"/>
    <w:rsid w:val="00655F5B"/>
    <w:rsid w:val="00656B58"/>
    <w:rsid w:val="00660162"/>
    <w:rsid w:val="00660B81"/>
    <w:rsid w:val="006626B3"/>
    <w:rsid w:val="00665B31"/>
    <w:rsid w:val="00671C2A"/>
    <w:rsid w:val="00672715"/>
    <w:rsid w:val="00673820"/>
    <w:rsid w:val="0067540C"/>
    <w:rsid w:val="00675CC3"/>
    <w:rsid w:val="006764A1"/>
    <w:rsid w:val="00676BC8"/>
    <w:rsid w:val="00680A1B"/>
    <w:rsid w:val="00691BA9"/>
    <w:rsid w:val="00692341"/>
    <w:rsid w:val="00693036"/>
    <w:rsid w:val="0069308E"/>
    <w:rsid w:val="00696367"/>
    <w:rsid w:val="006A2269"/>
    <w:rsid w:val="006A229A"/>
    <w:rsid w:val="006A4353"/>
    <w:rsid w:val="006A4E95"/>
    <w:rsid w:val="006A7517"/>
    <w:rsid w:val="006B1538"/>
    <w:rsid w:val="006B1B09"/>
    <w:rsid w:val="006B31D8"/>
    <w:rsid w:val="006B7EC8"/>
    <w:rsid w:val="006C2111"/>
    <w:rsid w:val="006C45D3"/>
    <w:rsid w:val="006C551E"/>
    <w:rsid w:val="006C7CCF"/>
    <w:rsid w:val="006D0F19"/>
    <w:rsid w:val="006D36ED"/>
    <w:rsid w:val="006D39E3"/>
    <w:rsid w:val="006D3BE2"/>
    <w:rsid w:val="006D4276"/>
    <w:rsid w:val="006D6E7F"/>
    <w:rsid w:val="006E1093"/>
    <w:rsid w:val="006E3160"/>
    <w:rsid w:val="006E4934"/>
    <w:rsid w:val="006E6F11"/>
    <w:rsid w:val="006F2A94"/>
    <w:rsid w:val="006F39A0"/>
    <w:rsid w:val="006F4403"/>
    <w:rsid w:val="006F6F86"/>
    <w:rsid w:val="0070324D"/>
    <w:rsid w:val="00703F6A"/>
    <w:rsid w:val="0070598F"/>
    <w:rsid w:val="00707A32"/>
    <w:rsid w:val="00707A9D"/>
    <w:rsid w:val="007117F4"/>
    <w:rsid w:val="0071226D"/>
    <w:rsid w:val="007125E5"/>
    <w:rsid w:val="007146A6"/>
    <w:rsid w:val="007149D5"/>
    <w:rsid w:val="007158CE"/>
    <w:rsid w:val="0071620B"/>
    <w:rsid w:val="0071634A"/>
    <w:rsid w:val="007171B9"/>
    <w:rsid w:val="00717DB8"/>
    <w:rsid w:val="00721682"/>
    <w:rsid w:val="00721C22"/>
    <w:rsid w:val="0072230A"/>
    <w:rsid w:val="007228D9"/>
    <w:rsid w:val="007272AA"/>
    <w:rsid w:val="007328EC"/>
    <w:rsid w:val="00732F2F"/>
    <w:rsid w:val="00732FDF"/>
    <w:rsid w:val="00733E1C"/>
    <w:rsid w:val="0074472B"/>
    <w:rsid w:val="007448CB"/>
    <w:rsid w:val="00744C82"/>
    <w:rsid w:val="00744EA7"/>
    <w:rsid w:val="007466D2"/>
    <w:rsid w:val="00746979"/>
    <w:rsid w:val="00747642"/>
    <w:rsid w:val="00750313"/>
    <w:rsid w:val="00752A50"/>
    <w:rsid w:val="00754D0C"/>
    <w:rsid w:val="00755180"/>
    <w:rsid w:val="007556A3"/>
    <w:rsid w:val="007628DD"/>
    <w:rsid w:val="007642C1"/>
    <w:rsid w:val="00766E3E"/>
    <w:rsid w:val="00767AA5"/>
    <w:rsid w:val="00770D39"/>
    <w:rsid w:val="007710DE"/>
    <w:rsid w:val="00773482"/>
    <w:rsid w:val="007740F6"/>
    <w:rsid w:val="007742D5"/>
    <w:rsid w:val="00774ABE"/>
    <w:rsid w:val="00775179"/>
    <w:rsid w:val="00775B2B"/>
    <w:rsid w:val="00775F71"/>
    <w:rsid w:val="00776DDD"/>
    <w:rsid w:val="00780168"/>
    <w:rsid w:val="00782B8F"/>
    <w:rsid w:val="007833C9"/>
    <w:rsid w:val="0078472C"/>
    <w:rsid w:val="00790D64"/>
    <w:rsid w:val="00791D22"/>
    <w:rsid w:val="007931A5"/>
    <w:rsid w:val="0079469C"/>
    <w:rsid w:val="00795E7F"/>
    <w:rsid w:val="00796A92"/>
    <w:rsid w:val="00796DF8"/>
    <w:rsid w:val="007A36D9"/>
    <w:rsid w:val="007A377A"/>
    <w:rsid w:val="007A55C9"/>
    <w:rsid w:val="007A5719"/>
    <w:rsid w:val="007A6DFA"/>
    <w:rsid w:val="007B0322"/>
    <w:rsid w:val="007B148B"/>
    <w:rsid w:val="007B1FBE"/>
    <w:rsid w:val="007B2773"/>
    <w:rsid w:val="007B2859"/>
    <w:rsid w:val="007B4C77"/>
    <w:rsid w:val="007C0900"/>
    <w:rsid w:val="007C185D"/>
    <w:rsid w:val="007D2A71"/>
    <w:rsid w:val="007D7DD7"/>
    <w:rsid w:val="007D7E3B"/>
    <w:rsid w:val="007E1351"/>
    <w:rsid w:val="007E15D4"/>
    <w:rsid w:val="007E1E0E"/>
    <w:rsid w:val="007E445D"/>
    <w:rsid w:val="007E4DBF"/>
    <w:rsid w:val="007E7BB6"/>
    <w:rsid w:val="007F1A23"/>
    <w:rsid w:val="007F2B49"/>
    <w:rsid w:val="007F6D41"/>
    <w:rsid w:val="007F741A"/>
    <w:rsid w:val="0080203C"/>
    <w:rsid w:val="008034A1"/>
    <w:rsid w:val="00807349"/>
    <w:rsid w:val="00810EE9"/>
    <w:rsid w:val="00813289"/>
    <w:rsid w:val="00813932"/>
    <w:rsid w:val="00814B5F"/>
    <w:rsid w:val="00816C6A"/>
    <w:rsid w:val="00817365"/>
    <w:rsid w:val="008240A5"/>
    <w:rsid w:val="00824E01"/>
    <w:rsid w:val="008316EF"/>
    <w:rsid w:val="008319B6"/>
    <w:rsid w:val="00831EFA"/>
    <w:rsid w:val="00832BFF"/>
    <w:rsid w:val="00833F9F"/>
    <w:rsid w:val="008362F9"/>
    <w:rsid w:val="00836C52"/>
    <w:rsid w:val="008402BE"/>
    <w:rsid w:val="008417D8"/>
    <w:rsid w:val="00841BF0"/>
    <w:rsid w:val="008426A3"/>
    <w:rsid w:val="0084301B"/>
    <w:rsid w:val="00845BB7"/>
    <w:rsid w:val="008515E7"/>
    <w:rsid w:val="00852700"/>
    <w:rsid w:val="008560F2"/>
    <w:rsid w:val="00856188"/>
    <w:rsid w:val="00856AFF"/>
    <w:rsid w:val="00857DD3"/>
    <w:rsid w:val="00860498"/>
    <w:rsid w:val="00861076"/>
    <w:rsid w:val="00862995"/>
    <w:rsid w:val="0086690C"/>
    <w:rsid w:val="00866EFF"/>
    <w:rsid w:val="0087035C"/>
    <w:rsid w:val="00875663"/>
    <w:rsid w:val="0087735B"/>
    <w:rsid w:val="008805B4"/>
    <w:rsid w:val="008829FD"/>
    <w:rsid w:val="008845FC"/>
    <w:rsid w:val="008851DB"/>
    <w:rsid w:val="00886AA5"/>
    <w:rsid w:val="008876A1"/>
    <w:rsid w:val="00887C49"/>
    <w:rsid w:val="0089073E"/>
    <w:rsid w:val="00890CF3"/>
    <w:rsid w:val="00891134"/>
    <w:rsid w:val="0089388D"/>
    <w:rsid w:val="00895CB5"/>
    <w:rsid w:val="0089632E"/>
    <w:rsid w:val="008A260D"/>
    <w:rsid w:val="008A514A"/>
    <w:rsid w:val="008A5C8E"/>
    <w:rsid w:val="008A63B1"/>
    <w:rsid w:val="008B33E6"/>
    <w:rsid w:val="008B371B"/>
    <w:rsid w:val="008B45FD"/>
    <w:rsid w:val="008C080A"/>
    <w:rsid w:val="008C1F3F"/>
    <w:rsid w:val="008C2176"/>
    <w:rsid w:val="008C3431"/>
    <w:rsid w:val="008C492D"/>
    <w:rsid w:val="008C4D79"/>
    <w:rsid w:val="008D0063"/>
    <w:rsid w:val="008D24FB"/>
    <w:rsid w:val="008D3267"/>
    <w:rsid w:val="008D48DD"/>
    <w:rsid w:val="008D671B"/>
    <w:rsid w:val="008E03C0"/>
    <w:rsid w:val="008E14DA"/>
    <w:rsid w:val="008E1AC0"/>
    <w:rsid w:val="008E288D"/>
    <w:rsid w:val="008E6609"/>
    <w:rsid w:val="008F01A0"/>
    <w:rsid w:val="008F0805"/>
    <w:rsid w:val="008F1E49"/>
    <w:rsid w:val="008F2042"/>
    <w:rsid w:val="008F6F2C"/>
    <w:rsid w:val="008F6F96"/>
    <w:rsid w:val="0090293F"/>
    <w:rsid w:val="009033A6"/>
    <w:rsid w:val="00903722"/>
    <w:rsid w:val="00903BAE"/>
    <w:rsid w:val="00904D8B"/>
    <w:rsid w:val="0090512B"/>
    <w:rsid w:val="0090560C"/>
    <w:rsid w:val="00905B5C"/>
    <w:rsid w:val="00907B6F"/>
    <w:rsid w:val="00912335"/>
    <w:rsid w:val="00920EEE"/>
    <w:rsid w:val="00920F69"/>
    <w:rsid w:val="00920FB7"/>
    <w:rsid w:val="00921C08"/>
    <w:rsid w:val="00923301"/>
    <w:rsid w:val="0092339A"/>
    <w:rsid w:val="0092534D"/>
    <w:rsid w:val="00925359"/>
    <w:rsid w:val="00925B72"/>
    <w:rsid w:val="009312A4"/>
    <w:rsid w:val="009313AD"/>
    <w:rsid w:val="0093147B"/>
    <w:rsid w:val="009328A9"/>
    <w:rsid w:val="0093443D"/>
    <w:rsid w:val="00934EEF"/>
    <w:rsid w:val="0093527E"/>
    <w:rsid w:val="00935B86"/>
    <w:rsid w:val="00940FE0"/>
    <w:rsid w:val="00942C1C"/>
    <w:rsid w:val="00945B82"/>
    <w:rsid w:val="00950C00"/>
    <w:rsid w:val="00953D27"/>
    <w:rsid w:val="009554E8"/>
    <w:rsid w:val="009557A9"/>
    <w:rsid w:val="00956782"/>
    <w:rsid w:val="00956B8A"/>
    <w:rsid w:val="00957235"/>
    <w:rsid w:val="0095744B"/>
    <w:rsid w:val="00957664"/>
    <w:rsid w:val="00960678"/>
    <w:rsid w:val="0096089F"/>
    <w:rsid w:val="0096195C"/>
    <w:rsid w:val="00961DE8"/>
    <w:rsid w:val="00966AEF"/>
    <w:rsid w:val="00970BB9"/>
    <w:rsid w:val="00971EC3"/>
    <w:rsid w:val="00972D26"/>
    <w:rsid w:val="00974E00"/>
    <w:rsid w:val="00976283"/>
    <w:rsid w:val="0098005A"/>
    <w:rsid w:val="00985039"/>
    <w:rsid w:val="00985307"/>
    <w:rsid w:val="00987085"/>
    <w:rsid w:val="009870D9"/>
    <w:rsid w:val="0098727C"/>
    <w:rsid w:val="009A2635"/>
    <w:rsid w:val="009A26FB"/>
    <w:rsid w:val="009B0148"/>
    <w:rsid w:val="009B05FD"/>
    <w:rsid w:val="009B369B"/>
    <w:rsid w:val="009B53A0"/>
    <w:rsid w:val="009C048A"/>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A01635"/>
    <w:rsid w:val="00A05DA1"/>
    <w:rsid w:val="00A07D25"/>
    <w:rsid w:val="00A11FE4"/>
    <w:rsid w:val="00A12A80"/>
    <w:rsid w:val="00A1342F"/>
    <w:rsid w:val="00A13BC2"/>
    <w:rsid w:val="00A1471A"/>
    <w:rsid w:val="00A2034D"/>
    <w:rsid w:val="00A24054"/>
    <w:rsid w:val="00A25B78"/>
    <w:rsid w:val="00A3194E"/>
    <w:rsid w:val="00A3217B"/>
    <w:rsid w:val="00A327B1"/>
    <w:rsid w:val="00A328C1"/>
    <w:rsid w:val="00A32CB8"/>
    <w:rsid w:val="00A3425F"/>
    <w:rsid w:val="00A355A8"/>
    <w:rsid w:val="00A36473"/>
    <w:rsid w:val="00A40AE7"/>
    <w:rsid w:val="00A45395"/>
    <w:rsid w:val="00A456CD"/>
    <w:rsid w:val="00A52B05"/>
    <w:rsid w:val="00A541CF"/>
    <w:rsid w:val="00A54E5D"/>
    <w:rsid w:val="00A5690C"/>
    <w:rsid w:val="00A577E1"/>
    <w:rsid w:val="00A579AE"/>
    <w:rsid w:val="00A6045E"/>
    <w:rsid w:val="00A604CD"/>
    <w:rsid w:val="00A60F97"/>
    <w:rsid w:val="00A6269D"/>
    <w:rsid w:val="00A656F9"/>
    <w:rsid w:val="00A6579C"/>
    <w:rsid w:val="00A66C49"/>
    <w:rsid w:val="00A7008A"/>
    <w:rsid w:val="00A71084"/>
    <w:rsid w:val="00A738E7"/>
    <w:rsid w:val="00A75673"/>
    <w:rsid w:val="00A760C6"/>
    <w:rsid w:val="00A813E9"/>
    <w:rsid w:val="00A837CD"/>
    <w:rsid w:val="00A83FEC"/>
    <w:rsid w:val="00A84E22"/>
    <w:rsid w:val="00A862D3"/>
    <w:rsid w:val="00A8720D"/>
    <w:rsid w:val="00A90C59"/>
    <w:rsid w:val="00A92587"/>
    <w:rsid w:val="00A962DB"/>
    <w:rsid w:val="00A963D4"/>
    <w:rsid w:val="00AA09A3"/>
    <w:rsid w:val="00AB2F99"/>
    <w:rsid w:val="00AB673C"/>
    <w:rsid w:val="00AC2155"/>
    <w:rsid w:val="00AC2609"/>
    <w:rsid w:val="00AC3C4E"/>
    <w:rsid w:val="00AC6B43"/>
    <w:rsid w:val="00AD0A17"/>
    <w:rsid w:val="00AD1A1E"/>
    <w:rsid w:val="00AD1FD7"/>
    <w:rsid w:val="00AD275D"/>
    <w:rsid w:val="00AD49F8"/>
    <w:rsid w:val="00AD4C57"/>
    <w:rsid w:val="00AD672F"/>
    <w:rsid w:val="00AD6F7C"/>
    <w:rsid w:val="00AE16F2"/>
    <w:rsid w:val="00AE21F2"/>
    <w:rsid w:val="00AE368A"/>
    <w:rsid w:val="00AE3C8D"/>
    <w:rsid w:val="00AE50F1"/>
    <w:rsid w:val="00AE71AC"/>
    <w:rsid w:val="00AE7308"/>
    <w:rsid w:val="00AF3AE8"/>
    <w:rsid w:val="00AF4E3F"/>
    <w:rsid w:val="00AF4F75"/>
    <w:rsid w:val="00AF76C1"/>
    <w:rsid w:val="00B01487"/>
    <w:rsid w:val="00B06FAD"/>
    <w:rsid w:val="00B113B6"/>
    <w:rsid w:val="00B12BA9"/>
    <w:rsid w:val="00B14C64"/>
    <w:rsid w:val="00B20482"/>
    <w:rsid w:val="00B20EBF"/>
    <w:rsid w:val="00B2417A"/>
    <w:rsid w:val="00B2575C"/>
    <w:rsid w:val="00B26F9D"/>
    <w:rsid w:val="00B3089B"/>
    <w:rsid w:val="00B31540"/>
    <w:rsid w:val="00B31758"/>
    <w:rsid w:val="00B333CC"/>
    <w:rsid w:val="00B348F9"/>
    <w:rsid w:val="00B37CC1"/>
    <w:rsid w:val="00B37E68"/>
    <w:rsid w:val="00B418A1"/>
    <w:rsid w:val="00B42F29"/>
    <w:rsid w:val="00B45479"/>
    <w:rsid w:val="00B46806"/>
    <w:rsid w:val="00B52ECD"/>
    <w:rsid w:val="00B549C2"/>
    <w:rsid w:val="00B56A2C"/>
    <w:rsid w:val="00B600E4"/>
    <w:rsid w:val="00B63574"/>
    <w:rsid w:val="00B638B2"/>
    <w:rsid w:val="00B64222"/>
    <w:rsid w:val="00B65B39"/>
    <w:rsid w:val="00B66172"/>
    <w:rsid w:val="00B671A4"/>
    <w:rsid w:val="00B678E7"/>
    <w:rsid w:val="00B737CA"/>
    <w:rsid w:val="00B758F1"/>
    <w:rsid w:val="00B76393"/>
    <w:rsid w:val="00B862BB"/>
    <w:rsid w:val="00B91C79"/>
    <w:rsid w:val="00B94F0F"/>
    <w:rsid w:val="00B95D7A"/>
    <w:rsid w:val="00B961BC"/>
    <w:rsid w:val="00BA24F8"/>
    <w:rsid w:val="00BA327F"/>
    <w:rsid w:val="00BA37DF"/>
    <w:rsid w:val="00BA3DCC"/>
    <w:rsid w:val="00BA4D12"/>
    <w:rsid w:val="00BA51BE"/>
    <w:rsid w:val="00BB013F"/>
    <w:rsid w:val="00BB03A7"/>
    <w:rsid w:val="00BB1B65"/>
    <w:rsid w:val="00BB55C5"/>
    <w:rsid w:val="00BB7223"/>
    <w:rsid w:val="00BB79FC"/>
    <w:rsid w:val="00BC017B"/>
    <w:rsid w:val="00BC1AC3"/>
    <w:rsid w:val="00BC5081"/>
    <w:rsid w:val="00BC5736"/>
    <w:rsid w:val="00BC58B7"/>
    <w:rsid w:val="00BC70D7"/>
    <w:rsid w:val="00BD2A26"/>
    <w:rsid w:val="00BD3321"/>
    <w:rsid w:val="00BD5E1D"/>
    <w:rsid w:val="00BE34B1"/>
    <w:rsid w:val="00BE36B2"/>
    <w:rsid w:val="00BE47F9"/>
    <w:rsid w:val="00BE4B41"/>
    <w:rsid w:val="00BE4BAE"/>
    <w:rsid w:val="00BE6574"/>
    <w:rsid w:val="00BE6684"/>
    <w:rsid w:val="00BF6D8E"/>
    <w:rsid w:val="00BF6ED9"/>
    <w:rsid w:val="00C00782"/>
    <w:rsid w:val="00C0218F"/>
    <w:rsid w:val="00C10402"/>
    <w:rsid w:val="00C11D54"/>
    <w:rsid w:val="00C11DB3"/>
    <w:rsid w:val="00C12949"/>
    <w:rsid w:val="00C137E2"/>
    <w:rsid w:val="00C166D2"/>
    <w:rsid w:val="00C170A9"/>
    <w:rsid w:val="00C17B68"/>
    <w:rsid w:val="00C21FC2"/>
    <w:rsid w:val="00C23355"/>
    <w:rsid w:val="00C238C2"/>
    <w:rsid w:val="00C253A6"/>
    <w:rsid w:val="00C27221"/>
    <w:rsid w:val="00C314C4"/>
    <w:rsid w:val="00C411E1"/>
    <w:rsid w:val="00C41A76"/>
    <w:rsid w:val="00C4252B"/>
    <w:rsid w:val="00C4277C"/>
    <w:rsid w:val="00C42C24"/>
    <w:rsid w:val="00C45866"/>
    <w:rsid w:val="00C46AB1"/>
    <w:rsid w:val="00C47F26"/>
    <w:rsid w:val="00C57B4F"/>
    <w:rsid w:val="00C60480"/>
    <w:rsid w:val="00C61B70"/>
    <w:rsid w:val="00C6236A"/>
    <w:rsid w:val="00C625F4"/>
    <w:rsid w:val="00C62B46"/>
    <w:rsid w:val="00C63435"/>
    <w:rsid w:val="00C63A1E"/>
    <w:rsid w:val="00C67744"/>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91C56"/>
    <w:rsid w:val="00C92575"/>
    <w:rsid w:val="00CA27B1"/>
    <w:rsid w:val="00CA3C9B"/>
    <w:rsid w:val="00CA6A13"/>
    <w:rsid w:val="00CB0B87"/>
    <w:rsid w:val="00CB1626"/>
    <w:rsid w:val="00CB190C"/>
    <w:rsid w:val="00CB2AB7"/>
    <w:rsid w:val="00CB3F0B"/>
    <w:rsid w:val="00CB44A6"/>
    <w:rsid w:val="00CB62C8"/>
    <w:rsid w:val="00CC2A9A"/>
    <w:rsid w:val="00CC42F3"/>
    <w:rsid w:val="00CC592B"/>
    <w:rsid w:val="00CD2B32"/>
    <w:rsid w:val="00CD3494"/>
    <w:rsid w:val="00CD3C30"/>
    <w:rsid w:val="00CD3D26"/>
    <w:rsid w:val="00CD50C2"/>
    <w:rsid w:val="00CD66F9"/>
    <w:rsid w:val="00CD7723"/>
    <w:rsid w:val="00CE3EC1"/>
    <w:rsid w:val="00CE6490"/>
    <w:rsid w:val="00CF1888"/>
    <w:rsid w:val="00CF41FA"/>
    <w:rsid w:val="00CF58B0"/>
    <w:rsid w:val="00CF728D"/>
    <w:rsid w:val="00CF7A46"/>
    <w:rsid w:val="00CF7B77"/>
    <w:rsid w:val="00D009B5"/>
    <w:rsid w:val="00D00D80"/>
    <w:rsid w:val="00D05747"/>
    <w:rsid w:val="00D10142"/>
    <w:rsid w:val="00D101F1"/>
    <w:rsid w:val="00D10CC0"/>
    <w:rsid w:val="00D11B60"/>
    <w:rsid w:val="00D13E69"/>
    <w:rsid w:val="00D1520C"/>
    <w:rsid w:val="00D20231"/>
    <w:rsid w:val="00D25B11"/>
    <w:rsid w:val="00D2644A"/>
    <w:rsid w:val="00D31205"/>
    <w:rsid w:val="00D3244F"/>
    <w:rsid w:val="00D455BD"/>
    <w:rsid w:val="00D47533"/>
    <w:rsid w:val="00D47EFA"/>
    <w:rsid w:val="00D51BA5"/>
    <w:rsid w:val="00D55EC7"/>
    <w:rsid w:val="00D56409"/>
    <w:rsid w:val="00D572F8"/>
    <w:rsid w:val="00D57B53"/>
    <w:rsid w:val="00D57DE8"/>
    <w:rsid w:val="00D619BF"/>
    <w:rsid w:val="00D61EEA"/>
    <w:rsid w:val="00D61F7C"/>
    <w:rsid w:val="00D6237A"/>
    <w:rsid w:val="00D6464E"/>
    <w:rsid w:val="00D66294"/>
    <w:rsid w:val="00D7304C"/>
    <w:rsid w:val="00D743A2"/>
    <w:rsid w:val="00D74C13"/>
    <w:rsid w:val="00D75549"/>
    <w:rsid w:val="00D76881"/>
    <w:rsid w:val="00D829F2"/>
    <w:rsid w:val="00D8392F"/>
    <w:rsid w:val="00D85C5A"/>
    <w:rsid w:val="00D91636"/>
    <w:rsid w:val="00D957E9"/>
    <w:rsid w:val="00D97314"/>
    <w:rsid w:val="00DA0135"/>
    <w:rsid w:val="00DA03DA"/>
    <w:rsid w:val="00DA2C2D"/>
    <w:rsid w:val="00DA2DE5"/>
    <w:rsid w:val="00DA485B"/>
    <w:rsid w:val="00DA6802"/>
    <w:rsid w:val="00DA6A0B"/>
    <w:rsid w:val="00DA7505"/>
    <w:rsid w:val="00DB44FD"/>
    <w:rsid w:val="00DB477E"/>
    <w:rsid w:val="00DC1954"/>
    <w:rsid w:val="00DC233E"/>
    <w:rsid w:val="00DC2746"/>
    <w:rsid w:val="00DC2833"/>
    <w:rsid w:val="00DC2EE9"/>
    <w:rsid w:val="00DC547E"/>
    <w:rsid w:val="00DC5580"/>
    <w:rsid w:val="00DC6AF1"/>
    <w:rsid w:val="00DD1430"/>
    <w:rsid w:val="00DD547F"/>
    <w:rsid w:val="00DD692C"/>
    <w:rsid w:val="00DD6A57"/>
    <w:rsid w:val="00DE1E20"/>
    <w:rsid w:val="00DE2162"/>
    <w:rsid w:val="00DE2800"/>
    <w:rsid w:val="00DE3524"/>
    <w:rsid w:val="00DE3C2E"/>
    <w:rsid w:val="00E02483"/>
    <w:rsid w:val="00E10288"/>
    <w:rsid w:val="00E10962"/>
    <w:rsid w:val="00E10F2E"/>
    <w:rsid w:val="00E10FB4"/>
    <w:rsid w:val="00E11766"/>
    <w:rsid w:val="00E124F8"/>
    <w:rsid w:val="00E125ED"/>
    <w:rsid w:val="00E12CC3"/>
    <w:rsid w:val="00E13EF1"/>
    <w:rsid w:val="00E1640D"/>
    <w:rsid w:val="00E2113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185"/>
    <w:rsid w:val="00E6164D"/>
    <w:rsid w:val="00E63A00"/>
    <w:rsid w:val="00E65406"/>
    <w:rsid w:val="00E7027E"/>
    <w:rsid w:val="00E746C0"/>
    <w:rsid w:val="00E76188"/>
    <w:rsid w:val="00E80581"/>
    <w:rsid w:val="00E86164"/>
    <w:rsid w:val="00E92B92"/>
    <w:rsid w:val="00E93261"/>
    <w:rsid w:val="00E93ED7"/>
    <w:rsid w:val="00EA09B4"/>
    <w:rsid w:val="00EA235A"/>
    <w:rsid w:val="00EA3EC0"/>
    <w:rsid w:val="00EA5374"/>
    <w:rsid w:val="00EA5F20"/>
    <w:rsid w:val="00EB30C1"/>
    <w:rsid w:val="00EB3754"/>
    <w:rsid w:val="00EB6488"/>
    <w:rsid w:val="00EC2523"/>
    <w:rsid w:val="00EC689C"/>
    <w:rsid w:val="00ED03E9"/>
    <w:rsid w:val="00ED2667"/>
    <w:rsid w:val="00ED429E"/>
    <w:rsid w:val="00ED65CF"/>
    <w:rsid w:val="00ED709E"/>
    <w:rsid w:val="00EE0492"/>
    <w:rsid w:val="00EE06A6"/>
    <w:rsid w:val="00EE37E1"/>
    <w:rsid w:val="00EF0852"/>
    <w:rsid w:val="00EF44F9"/>
    <w:rsid w:val="00EF6A65"/>
    <w:rsid w:val="00F00602"/>
    <w:rsid w:val="00F0267A"/>
    <w:rsid w:val="00F02719"/>
    <w:rsid w:val="00F02C1F"/>
    <w:rsid w:val="00F04882"/>
    <w:rsid w:val="00F04D11"/>
    <w:rsid w:val="00F06209"/>
    <w:rsid w:val="00F13D55"/>
    <w:rsid w:val="00F13DD1"/>
    <w:rsid w:val="00F14732"/>
    <w:rsid w:val="00F14DA2"/>
    <w:rsid w:val="00F2000E"/>
    <w:rsid w:val="00F20D78"/>
    <w:rsid w:val="00F2224A"/>
    <w:rsid w:val="00F22F31"/>
    <w:rsid w:val="00F23370"/>
    <w:rsid w:val="00F23487"/>
    <w:rsid w:val="00F273C1"/>
    <w:rsid w:val="00F3213C"/>
    <w:rsid w:val="00F33270"/>
    <w:rsid w:val="00F36A63"/>
    <w:rsid w:val="00F36D72"/>
    <w:rsid w:val="00F40570"/>
    <w:rsid w:val="00F40A79"/>
    <w:rsid w:val="00F44888"/>
    <w:rsid w:val="00F46E8B"/>
    <w:rsid w:val="00F47BEB"/>
    <w:rsid w:val="00F50279"/>
    <w:rsid w:val="00F53B27"/>
    <w:rsid w:val="00F56F2E"/>
    <w:rsid w:val="00F610FC"/>
    <w:rsid w:val="00F61EAC"/>
    <w:rsid w:val="00F6360C"/>
    <w:rsid w:val="00F63659"/>
    <w:rsid w:val="00F64F49"/>
    <w:rsid w:val="00F64F91"/>
    <w:rsid w:val="00F65385"/>
    <w:rsid w:val="00F658ED"/>
    <w:rsid w:val="00F67E5C"/>
    <w:rsid w:val="00F71CC6"/>
    <w:rsid w:val="00F7735D"/>
    <w:rsid w:val="00F80886"/>
    <w:rsid w:val="00F8514F"/>
    <w:rsid w:val="00F8597F"/>
    <w:rsid w:val="00F86983"/>
    <w:rsid w:val="00F87C72"/>
    <w:rsid w:val="00F9024F"/>
    <w:rsid w:val="00F92DFE"/>
    <w:rsid w:val="00F941E8"/>
    <w:rsid w:val="00F9434D"/>
    <w:rsid w:val="00F95425"/>
    <w:rsid w:val="00FA0580"/>
    <w:rsid w:val="00FA0D52"/>
    <w:rsid w:val="00FA2706"/>
    <w:rsid w:val="00FA7A74"/>
    <w:rsid w:val="00FB167B"/>
    <w:rsid w:val="00FB272E"/>
    <w:rsid w:val="00FB412E"/>
    <w:rsid w:val="00FB4D26"/>
    <w:rsid w:val="00FB6000"/>
    <w:rsid w:val="00FB6151"/>
    <w:rsid w:val="00FC0A18"/>
    <w:rsid w:val="00FC125F"/>
    <w:rsid w:val="00FC40A7"/>
    <w:rsid w:val="00FD04CD"/>
    <w:rsid w:val="00FD1E8E"/>
    <w:rsid w:val="00FD22EF"/>
    <w:rsid w:val="00FD26DE"/>
    <w:rsid w:val="00FD2734"/>
    <w:rsid w:val="00FD6005"/>
    <w:rsid w:val="00FE1F85"/>
    <w:rsid w:val="00FE471B"/>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46A3B-185D-4349-9096-D854B88A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2</cp:revision>
  <cp:lastPrinted>2020-02-27T07:49:00Z</cp:lastPrinted>
  <dcterms:created xsi:type="dcterms:W3CDTF">2020-06-29T11:02:00Z</dcterms:created>
  <dcterms:modified xsi:type="dcterms:W3CDTF">2020-06-29T11:02:00Z</dcterms:modified>
</cp:coreProperties>
</file>