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58B" w:rsidRPr="00753768" w:rsidRDefault="0096758B" w:rsidP="0096758B">
      <w:pPr>
        <w:rPr>
          <w:b/>
        </w:rPr>
      </w:pPr>
      <w:r w:rsidRPr="00753768">
        <w:rPr>
          <w:b/>
        </w:rPr>
        <w:t xml:space="preserve">IN THE LABOUR COURT </w:t>
      </w:r>
      <w:r>
        <w:rPr>
          <w:b/>
        </w:rPr>
        <w:t>OF ZIMBABWE</w:t>
      </w:r>
      <w:r>
        <w:rPr>
          <w:b/>
        </w:rPr>
        <w:tab/>
        <w:t xml:space="preserve"> </w:t>
      </w:r>
      <w:r w:rsidRPr="00753768">
        <w:rPr>
          <w:b/>
        </w:rPr>
        <w:t>JUDGMENT NO. LC/H/</w:t>
      </w:r>
      <w:r w:rsidR="002A698F">
        <w:rPr>
          <w:b/>
        </w:rPr>
        <w:t>740</w:t>
      </w:r>
      <w:r>
        <w:rPr>
          <w:b/>
        </w:rPr>
        <w:t>/2016</w:t>
      </w:r>
    </w:p>
    <w:p w:rsidR="0096758B" w:rsidRDefault="0096758B" w:rsidP="0096758B">
      <w:pPr>
        <w:rPr>
          <w:b/>
        </w:rPr>
      </w:pPr>
      <w:r w:rsidRPr="00753768">
        <w:rPr>
          <w:b/>
        </w:rPr>
        <w:t>HARARE,</w:t>
      </w:r>
      <w:r w:rsidR="004A3DA5">
        <w:rPr>
          <w:b/>
        </w:rPr>
        <w:t xml:space="preserve"> 16 MAY 2016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A3DA5">
        <w:rPr>
          <w:b/>
        </w:rPr>
        <w:tab/>
      </w:r>
      <w:r w:rsidR="004A3DA5">
        <w:rPr>
          <w:b/>
        </w:rPr>
        <w:tab/>
      </w:r>
      <w:r w:rsidRPr="00753768">
        <w:rPr>
          <w:b/>
        </w:rPr>
        <w:t>CASE NO. LC/H/</w:t>
      </w:r>
      <w:r w:rsidR="004A3DA5">
        <w:rPr>
          <w:b/>
        </w:rPr>
        <w:t>721/14</w:t>
      </w:r>
    </w:p>
    <w:p w:rsidR="0096758B" w:rsidRPr="00753768" w:rsidRDefault="0096758B" w:rsidP="0096758B">
      <w:pPr>
        <w:rPr>
          <w:b/>
        </w:rPr>
      </w:pPr>
      <w:r w:rsidRPr="00753768">
        <w:rPr>
          <w:b/>
        </w:rPr>
        <w:t xml:space="preserve">AND </w:t>
      </w:r>
      <w:r w:rsidR="002A698F">
        <w:rPr>
          <w:b/>
        </w:rPr>
        <w:t>18 NOVEMBER</w:t>
      </w:r>
      <w:bookmarkStart w:id="0" w:name="_GoBack"/>
      <w:bookmarkEnd w:id="0"/>
      <w:r>
        <w:rPr>
          <w:b/>
        </w:rPr>
        <w:t xml:space="preserve"> 2016</w:t>
      </w:r>
    </w:p>
    <w:p w:rsidR="0096758B" w:rsidRDefault="0096758B" w:rsidP="0096758B">
      <w:r>
        <w:t>In the matter between:-</w:t>
      </w:r>
    </w:p>
    <w:p w:rsidR="0096758B" w:rsidRDefault="0096758B" w:rsidP="0096758B"/>
    <w:p w:rsidR="0096758B" w:rsidRPr="00753768" w:rsidRDefault="004A3DA5" w:rsidP="0096758B">
      <w:pPr>
        <w:rPr>
          <w:b/>
        </w:rPr>
      </w:pPr>
      <w:r>
        <w:rPr>
          <w:b/>
        </w:rPr>
        <w:t>IDEN MUSAUKI</w:t>
      </w:r>
      <w:r>
        <w:rPr>
          <w:b/>
        </w:rPr>
        <w:tab/>
      </w:r>
      <w:r>
        <w:rPr>
          <w:b/>
        </w:rPr>
        <w:tab/>
      </w:r>
      <w:r w:rsidR="0096758B">
        <w:rPr>
          <w:b/>
        </w:rPr>
        <w:tab/>
      </w:r>
      <w:r w:rsidR="0096758B">
        <w:rPr>
          <w:b/>
        </w:rPr>
        <w:tab/>
      </w:r>
      <w:r w:rsidR="0096758B">
        <w:rPr>
          <w:b/>
        </w:rPr>
        <w:tab/>
      </w:r>
      <w:r w:rsidR="0096758B" w:rsidRPr="00753768">
        <w:rPr>
          <w:b/>
        </w:rPr>
        <w:t>Appellant</w:t>
      </w:r>
    </w:p>
    <w:p w:rsidR="0096758B" w:rsidRPr="00EE16F7" w:rsidRDefault="0096758B" w:rsidP="0096758B">
      <w:r w:rsidRPr="00EE16F7">
        <w:t>And</w:t>
      </w:r>
    </w:p>
    <w:p w:rsidR="0096758B" w:rsidRPr="00753768" w:rsidRDefault="004A3DA5" w:rsidP="0096758B">
      <w:pPr>
        <w:rPr>
          <w:b/>
        </w:rPr>
      </w:pPr>
      <w:r>
        <w:rPr>
          <w:b/>
        </w:rPr>
        <w:t>ARCTURUS MINE</w:t>
      </w:r>
      <w:r>
        <w:rPr>
          <w:b/>
        </w:rPr>
        <w:tab/>
      </w:r>
      <w:r>
        <w:rPr>
          <w:b/>
        </w:rPr>
        <w:tab/>
      </w:r>
      <w:r w:rsidR="0096758B">
        <w:rPr>
          <w:b/>
        </w:rPr>
        <w:tab/>
      </w:r>
      <w:r w:rsidR="0096758B">
        <w:rPr>
          <w:b/>
        </w:rPr>
        <w:tab/>
      </w:r>
      <w:r w:rsidR="0096758B">
        <w:rPr>
          <w:b/>
        </w:rPr>
        <w:tab/>
      </w:r>
      <w:r w:rsidR="0096758B" w:rsidRPr="00753768">
        <w:rPr>
          <w:b/>
        </w:rPr>
        <w:t>Respondent</w:t>
      </w:r>
    </w:p>
    <w:p w:rsidR="0096758B" w:rsidRDefault="0096758B" w:rsidP="0096758B"/>
    <w:p w:rsidR="0096758B" w:rsidRDefault="0096758B" w:rsidP="0096758B">
      <w:r>
        <w:t>Before The Honourable E. Makamure, Judge</w:t>
      </w:r>
    </w:p>
    <w:p w:rsidR="0096758B" w:rsidRDefault="0096758B" w:rsidP="0096758B"/>
    <w:p w:rsidR="0096758B" w:rsidRPr="00753768" w:rsidRDefault="0096758B" w:rsidP="0096758B">
      <w:pPr>
        <w:rPr>
          <w:b/>
        </w:rPr>
      </w:pPr>
      <w:r w:rsidRPr="00753768">
        <w:rPr>
          <w:b/>
        </w:rPr>
        <w:t>Appellant</w:t>
      </w:r>
      <w:r w:rsidR="00312872">
        <w:rPr>
          <w:b/>
        </w:rPr>
        <w:tab/>
      </w:r>
      <w:r w:rsidR="00312872">
        <w:rPr>
          <w:b/>
        </w:rPr>
        <w:tab/>
      </w:r>
      <w:r w:rsidR="00312872">
        <w:rPr>
          <w:b/>
        </w:rPr>
        <w:tab/>
        <w:t>In person</w:t>
      </w:r>
      <w:r w:rsidRPr="00753768">
        <w:rPr>
          <w:b/>
        </w:rPr>
        <w:tab/>
      </w:r>
      <w:r w:rsidRPr="00753768">
        <w:rPr>
          <w:b/>
        </w:rPr>
        <w:tab/>
      </w:r>
      <w:r w:rsidRPr="00753768">
        <w:rPr>
          <w:b/>
        </w:rPr>
        <w:tab/>
      </w:r>
    </w:p>
    <w:p w:rsidR="0096758B" w:rsidRPr="00753768" w:rsidRDefault="0096758B" w:rsidP="0096758B">
      <w:pPr>
        <w:rPr>
          <w:b/>
        </w:rPr>
      </w:pPr>
      <w:r w:rsidRPr="00753768">
        <w:rPr>
          <w:b/>
        </w:rPr>
        <w:t>For Respondent</w:t>
      </w:r>
      <w:r w:rsidR="00312872">
        <w:rPr>
          <w:b/>
        </w:rPr>
        <w:tab/>
      </w:r>
      <w:r w:rsidR="00312872">
        <w:rPr>
          <w:b/>
        </w:rPr>
        <w:tab/>
      </w:r>
      <w:r w:rsidR="00202FAB">
        <w:rPr>
          <w:b/>
        </w:rPr>
        <w:t>H Muromba (Legal Practitioner)</w:t>
      </w:r>
      <w:r>
        <w:rPr>
          <w:b/>
        </w:rPr>
        <w:tab/>
      </w:r>
      <w:r w:rsidRPr="00753768">
        <w:rPr>
          <w:b/>
        </w:rPr>
        <w:tab/>
      </w:r>
      <w:r w:rsidRPr="00753768">
        <w:rPr>
          <w:b/>
        </w:rPr>
        <w:tab/>
      </w:r>
    </w:p>
    <w:p w:rsidR="0096758B" w:rsidRDefault="0096758B" w:rsidP="0096758B"/>
    <w:p w:rsidR="0096758B" w:rsidRPr="00753768" w:rsidRDefault="0096758B" w:rsidP="0096758B">
      <w:pPr>
        <w:rPr>
          <w:b/>
        </w:rPr>
      </w:pPr>
      <w:r w:rsidRPr="00753768">
        <w:rPr>
          <w:b/>
        </w:rPr>
        <w:t>MAKAMURE J:</w:t>
      </w:r>
    </w:p>
    <w:p w:rsidR="00FF6E81" w:rsidRDefault="00FF6E81"/>
    <w:p w:rsidR="007D2D74" w:rsidRDefault="007D2D74">
      <w:r>
        <w:tab/>
        <w:t xml:space="preserve">This is an appeal against the decision of the respondent’s appeals committee which upheld a decision to dismiss </w:t>
      </w:r>
      <w:r w:rsidR="00A71DCE">
        <w:t>appellant</w:t>
      </w:r>
      <w:r>
        <w:t xml:space="preserve"> from </w:t>
      </w:r>
      <w:r w:rsidR="00A71DCE">
        <w:t>its</w:t>
      </w:r>
      <w:r>
        <w:t xml:space="preserve"> </w:t>
      </w:r>
      <w:r w:rsidR="00A71DCE">
        <w:t>(</w:t>
      </w:r>
      <w:r>
        <w:t>respondent’s</w:t>
      </w:r>
      <w:r w:rsidR="00A71DCE">
        <w:t>)</w:t>
      </w:r>
      <w:r>
        <w:t xml:space="preserve"> employ.</w:t>
      </w:r>
    </w:p>
    <w:p w:rsidR="007D2D74" w:rsidRDefault="007D2D74" w:rsidP="00682A24">
      <w:pPr>
        <w:spacing w:line="240" w:lineRule="auto"/>
      </w:pPr>
    </w:p>
    <w:p w:rsidR="007D2D74" w:rsidRDefault="007D2D74">
      <w:r>
        <w:tab/>
        <w:t xml:space="preserve">The facts of this matter are as follows.  The appellant was working with one Never in the same room.  They were mixing gold </w:t>
      </w:r>
      <w:r w:rsidR="007D0064">
        <w:t xml:space="preserve">slime </w:t>
      </w:r>
      <w:r w:rsidR="00EC1A2D">
        <w:t>facing</w:t>
      </w:r>
      <w:r w:rsidR="007D0064">
        <w:t xml:space="preserve"> each other.  They were less than one meter</w:t>
      </w:r>
      <w:r w:rsidR="00EC1A2D">
        <w:t xml:space="preserve"> apart</w:t>
      </w:r>
      <w:r w:rsidR="007D0064">
        <w:t xml:space="preserve"> during that process.  The</w:t>
      </w:r>
      <w:r w:rsidR="00EC1A2D">
        <w:t xml:space="preserve"> said</w:t>
      </w:r>
      <w:r w:rsidR="000B6065">
        <w:t xml:space="preserve"> Never stole</w:t>
      </w:r>
      <w:r w:rsidR="007D0064">
        <w:t xml:space="preserve"> </w:t>
      </w:r>
      <w:r w:rsidR="00411378">
        <w:t>507 grams of gold slime and hid</w:t>
      </w:r>
      <w:r w:rsidR="00845012">
        <w:t xml:space="preserve"> it.  The respondent</w:t>
      </w:r>
      <w:r w:rsidR="00EC1A2D">
        <w:t xml:space="preserve"> thereafter</w:t>
      </w:r>
      <w:r w:rsidR="00845012">
        <w:t xml:space="preserve"> raised charges against the appellant </w:t>
      </w:r>
      <w:r w:rsidR="00E5631E">
        <w:t>alleging</w:t>
      </w:r>
      <w:r w:rsidR="00845012">
        <w:t xml:space="preserve"> that in view of his (appellant’s) proximity to</w:t>
      </w:r>
      <w:r w:rsidR="00EC1A2D">
        <w:t xml:space="preserve"> Never, appellant saw </w:t>
      </w:r>
      <w:proofErr w:type="gramStart"/>
      <w:r w:rsidR="00EC1A2D">
        <w:t>Never</w:t>
      </w:r>
      <w:proofErr w:type="gramEnd"/>
      <w:r w:rsidR="00EC1A2D">
        <w:t xml:space="preserve"> stealing</w:t>
      </w:r>
      <w:r w:rsidR="00CE3115">
        <w:t xml:space="preserve"> and that</w:t>
      </w:r>
      <w:r w:rsidR="00FC1E67">
        <w:t xml:space="preserve"> he</w:t>
      </w:r>
      <w:r w:rsidR="00CE3115">
        <w:t xml:space="preserve"> </w:t>
      </w:r>
      <w:r w:rsidR="00845012">
        <w:t xml:space="preserve">did nothing about it.  As such </w:t>
      </w:r>
      <w:r w:rsidR="006E3510">
        <w:t>appellant must have been an accomplice to the theft.</w:t>
      </w:r>
    </w:p>
    <w:p w:rsidR="006E3510" w:rsidRDefault="006E3510" w:rsidP="00682A24">
      <w:pPr>
        <w:spacing w:line="240" w:lineRule="auto"/>
      </w:pPr>
    </w:p>
    <w:p w:rsidR="006E3510" w:rsidRDefault="006E3510">
      <w:r>
        <w:tab/>
        <w:t xml:space="preserve">The appellant </w:t>
      </w:r>
      <w:r w:rsidR="00AD0DFA">
        <w:t>appeals to</w:t>
      </w:r>
      <w:r>
        <w:t xml:space="preserve"> this court on the grounds that there is no statement from </w:t>
      </w:r>
      <w:proofErr w:type="gramStart"/>
      <w:r>
        <w:t>Never</w:t>
      </w:r>
      <w:proofErr w:type="gramEnd"/>
      <w:r>
        <w:t xml:space="preserve"> implicating him</w:t>
      </w:r>
      <w:r w:rsidR="00FC1E67">
        <w:t>;</w:t>
      </w:r>
      <w:r w:rsidR="00DA7DBE">
        <w:t xml:space="preserve"> that he did not see the said Never steal; that guarding against</w:t>
      </w:r>
      <w:r w:rsidR="00554AEB">
        <w:t xml:space="preserve"> theft</w:t>
      </w:r>
      <w:r w:rsidR="00DA7DBE">
        <w:t xml:space="preserve"> did not form part of his duties and that</w:t>
      </w:r>
      <w:r w:rsidR="00AD0DFA">
        <w:t xml:space="preserve"> he was </w:t>
      </w:r>
      <w:r w:rsidR="0049643E">
        <w:t>not physically</w:t>
      </w:r>
      <w:r w:rsidR="00AD0DFA">
        <w:t xml:space="preserve"> involved in the theft.</w:t>
      </w:r>
    </w:p>
    <w:p w:rsidR="00AD0DFA" w:rsidRDefault="00AD0DFA"/>
    <w:p w:rsidR="00AD0DFA" w:rsidRDefault="00AD0DFA">
      <w:r>
        <w:lastRenderedPageBreak/>
        <w:tab/>
        <w:t>It is not disputed that there was no statement from Never</w:t>
      </w:r>
      <w:r w:rsidR="002E1981">
        <w:t xml:space="preserve"> implicating the appellant.</w:t>
      </w:r>
      <w:r w:rsidR="00415AF2">
        <w:t xml:space="preserve"> However the respondent though circumstantial evidence found the appellant to have been an accomplice to the theft.</w:t>
      </w:r>
    </w:p>
    <w:p w:rsidR="009B5843" w:rsidRDefault="009B5843" w:rsidP="00682A24">
      <w:pPr>
        <w:spacing w:line="240" w:lineRule="auto"/>
      </w:pPr>
    </w:p>
    <w:p w:rsidR="009B5843" w:rsidRDefault="009B5843">
      <w:r>
        <w:tab/>
        <w:t xml:space="preserve">In </w:t>
      </w:r>
      <w:r w:rsidR="00343791">
        <w:t>his</w:t>
      </w:r>
      <w:r>
        <w:t xml:space="preserve"> own words</w:t>
      </w:r>
      <w:r w:rsidR="00C45B5F">
        <w:t>,</w:t>
      </w:r>
      <w:r>
        <w:t xml:space="preserve"> the appellant </w:t>
      </w:r>
      <w:r w:rsidR="0047286C">
        <w:t>admitted that</w:t>
      </w:r>
      <w:r w:rsidR="00B32FAD">
        <w:t xml:space="preserve"> the said Never and </w:t>
      </w:r>
      <w:proofErr w:type="gramStart"/>
      <w:r w:rsidR="00B32FAD">
        <w:t>himself</w:t>
      </w:r>
      <w:proofErr w:type="gramEnd"/>
      <w:r w:rsidR="00B32FAD">
        <w:t xml:space="preserve"> were mixing gold slime together.  Then from that same mixture </w:t>
      </w:r>
      <w:proofErr w:type="gramStart"/>
      <w:r w:rsidR="00B32FAD">
        <w:t>Never</w:t>
      </w:r>
      <w:proofErr w:type="gramEnd"/>
      <w:r w:rsidR="00B32FAD">
        <w:t xml:space="preserve"> removed a portion</w:t>
      </w:r>
      <w:r w:rsidR="009978A4">
        <w:t>.  Both the appellant</w:t>
      </w:r>
      <w:r w:rsidR="0003384C">
        <w:t xml:space="preserve"> and </w:t>
      </w:r>
      <w:proofErr w:type="gramStart"/>
      <w:r w:rsidR="0003384C">
        <w:t>Never</w:t>
      </w:r>
      <w:proofErr w:type="gramEnd"/>
      <w:r w:rsidR="009978A4">
        <w:t xml:space="preserve"> must have been aware that the </w:t>
      </w:r>
      <w:r w:rsidR="005940B8">
        <w:t>mixture</w:t>
      </w:r>
      <w:r w:rsidR="009978A4">
        <w:t xml:space="preserve"> that they were working on belonged to their employer.  This</w:t>
      </w:r>
      <w:r w:rsidR="000914D4">
        <w:t xml:space="preserve"> is</w:t>
      </w:r>
      <w:r w:rsidR="009978A4">
        <w:t xml:space="preserve"> precisely what they were employed to do.  </w:t>
      </w:r>
      <w:r w:rsidR="00812B13">
        <w:t xml:space="preserve"> </w:t>
      </w:r>
      <w:r w:rsidR="003618F7">
        <w:t xml:space="preserve">These circumstances show that the only conclusion </w:t>
      </w:r>
      <w:r w:rsidR="005940B8">
        <w:t>one can arrive at is that if Never took anything or a portion of this mixture the appellant was bound</w:t>
      </w:r>
      <w:r w:rsidR="00C24B84">
        <w:t xml:space="preserve"> to see it.  The facts are that Never took 507 grams,</w:t>
      </w:r>
      <w:r w:rsidR="0047286C">
        <w:t xml:space="preserve"> and that</w:t>
      </w:r>
      <w:r w:rsidR="00C24B84">
        <w:t xml:space="preserve"> the appellant must have seen him taking it.  He may not have been concerned with Never’s actions but the fact that</w:t>
      </w:r>
      <w:r w:rsidR="007F0815">
        <w:t xml:space="preserve"> both of them were working on </w:t>
      </w:r>
      <w:r w:rsidR="00CE6320">
        <w:t>the</w:t>
      </w:r>
      <w:r w:rsidR="00D849C0">
        <w:t>ir</w:t>
      </w:r>
      <w:r w:rsidR="007F0815">
        <w:t xml:space="preserve"> employer’s property</w:t>
      </w:r>
      <w:r w:rsidR="00511E2A">
        <w:t xml:space="preserve"> </w:t>
      </w:r>
      <w:r w:rsidR="00165D71">
        <w:t>created</w:t>
      </w:r>
      <w:r w:rsidR="00511E2A">
        <w:t xml:space="preserve"> an obligation on the appellant to take care of that property.  His failure to so take care makes him an accomplice to the unlawful taking</w:t>
      </w:r>
      <w:r w:rsidR="00D51C63">
        <w:t xml:space="preserve"> by Never. The fact that he personally was not found in possession of the slime does not </w:t>
      </w:r>
      <w:r w:rsidR="008979ED">
        <w:t xml:space="preserve">absolve him from the complicity.  It is appreciated that the appellant was not a security guard.  </w:t>
      </w:r>
      <w:r w:rsidR="0077159B">
        <w:t>H</w:t>
      </w:r>
      <w:r w:rsidR="008979ED">
        <w:t xml:space="preserve">is duties </w:t>
      </w:r>
      <w:r w:rsidR="007B3634">
        <w:t>however, were the same as those of Never.</w:t>
      </w:r>
      <w:r w:rsidR="00714595">
        <w:t xml:space="preserve"> </w:t>
      </w:r>
      <w:proofErr w:type="spellStart"/>
      <w:r w:rsidR="00714595">
        <w:t>I</w:t>
      </w:r>
      <w:r w:rsidR="008979ED">
        <w:t>nf</w:t>
      </w:r>
      <w:r w:rsidR="002D5FF8">
        <w:t>a</w:t>
      </w:r>
      <w:r w:rsidR="00B54DD6">
        <w:t>ct</w:t>
      </w:r>
      <w:proofErr w:type="spellEnd"/>
      <w:r w:rsidR="00B54DD6">
        <w:t xml:space="preserve"> </w:t>
      </w:r>
      <w:r w:rsidR="00AE1CEB">
        <w:t xml:space="preserve">they were working </w:t>
      </w:r>
      <w:r w:rsidR="000C0806">
        <w:t>on the</w:t>
      </w:r>
      <w:r w:rsidR="002A6D30">
        <w:t xml:space="preserve"> gold slime together and fac</w:t>
      </w:r>
      <w:r w:rsidR="00AE1CEB">
        <w:t xml:space="preserve">ing each other.  However </w:t>
      </w:r>
      <w:r w:rsidR="00714595">
        <w:t>the assertion by the appellant to the effect that he</w:t>
      </w:r>
      <w:r w:rsidR="00674048">
        <w:t xml:space="preserve"> did not see </w:t>
      </w:r>
      <w:proofErr w:type="gramStart"/>
      <w:r w:rsidR="00674048">
        <w:t>Never</w:t>
      </w:r>
      <w:proofErr w:type="gramEnd"/>
      <w:r w:rsidR="00674048">
        <w:t xml:space="preserve"> stealing</w:t>
      </w:r>
      <w:r w:rsidR="00AE1CEB">
        <w:t xml:space="preserve"> from the same bowl that they were working on</w:t>
      </w:r>
      <w:r w:rsidR="00556512">
        <w:t xml:space="preserve"> is simply amazing.  He was clearly reckless as to whatever happened to that gold slime.  That is an attitude which must be </w:t>
      </w:r>
      <w:r w:rsidR="002A6D30">
        <w:t>n</w:t>
      </w:r>
      <w:r w:rsidR="002012F7">
        <w:t xml:space="preserve">ipped in the bud. </w:t>
      </w:r>
      <w:r w:rsidR="00E02FCD">
        <w:t xml:space="preserve">If all employees at the respondent’s workplace adopted the </w:t>
      </w:r>
      <w:r w:rsidR="000914D4">
        <w:t>appellant’s</w:t>
      </w:r>
      <w:r w:rsidR="00E02FCD">
        <w:t xml:space="preserve"> attitude</w:t>
      </w:r>
      <w:r w:rsidR="00825393">
        <w:t>,</w:t>
      </w:r>
      <w:r w:rsidR="00E02FCD">
        <w:t xml:space="preserve"> soon there will be no workplace to talk about.  I think employees should respect</w:t>
      </w:r>
      <w:r w:rsidR="00EA3D69">
        <w:t xml:space="preserve"> their employer’s property.  This is so because it is part of their </w:t>
      </w:r>
      <w:r w:rsidR="00F3535E">
        <w:t>source of livelihood.</w:t>
      </w:r>
      <w:r w:rsidR="00F973F8">
        <w:t xml:space="preserve"> Employees should be </w:t>
      </w:r>
      <w:r w:rsidR="00812B13">
        <w:t>encouraged</w:t>
      </w:r>
      <w:r w:rsidR="002C170E">
        <w:t xml:space="preserve"> </w:t>
      </w:r>
      <w:r w:rsidR="001C34C0">
        <w:t>t</w:t>
      </w:r>
      <w:r w:rsidR="002C170E">
        <w:t>o jealously guard the interest</w:t>
      </w:r>
      <w:r w:rsidR="00754591">
        <w:t>s</w:t>
      </w:r>
      <w:r w:rsidR="002C170E">
        <w:t xml:space="preserve"> of their </w:t>
      </w:r>
      <w:r w:rsidR="001A173A">
        <w:t>workplaces</w:t>
      </w:r>
      <w:r w:rsidR="002C170E">
        <w:t xml:space="preserve"> as this benefits both the employer and the employee.</w:t>
      </w:r>
    </w:p>
    <w:p w:rsidR="00F3535E" w:rsidRDefault="00F3535E" w:rsidP="00682A24">
      <w:pPr>
        <w:spacing w:line="240" w:lineRule="auto"/>
      </w:pPr>
    </w:p>
    <w:p w:rsidR="00F3535E" w:rsidRDefault="00F3535E">
      <w:r>
        <w:tab/>
        <w:t xml:space="preserve">Thus, the Appeals Authority’s </w:t>
      </w:r>
      <w:r w:rsidR="00D965B0">
        <w:t xml:space="preserve">decision to </w:t>
      </w:r>
      <w:r w:rsidR="00CF3D10">
        <w:t>uphold</w:t>
      </w:r>
      <w:r w:rsidR="00754591">
        <w:t xml:space="preserve"> the finding</w:t>
      </w:r>
      <w:r w:rsidR="00D965B0">
        <w:t xml:space="preserve"> that the appellant was guilty of theft as an accomplice </w:t>
      </w:r>
      <w:r w:rsidR="00301AA4">
        <w:t>cannot be faulted.</w:t>
      </w:r>
    </w:p>
    <w:p w:rsidR="00301AA4" w:rsidRDefault="00301AA4" w:rsidP="00682A24">
      <w:pPr>
        <w:spacing w:line="240" w:lineRule="auto"/>
      </w:pPr>
    </w:p>
    <w:p w:rsidR="00F72A63" w:rsidRDefault="00301AA4">
      <w:r>
        <w:tab/>
        <w:t xml:space="preserve">In </w:t>
      </w:r>
      <w:r w:rsidRPr="00682A24">
        <w:rPr>
          <w:i/>
        </w:rPr>
        <w:t>Ebrahim</w:t>
      </w:r>
      <w:r>
        <w:t xml:space="preserve"> v </w:t>
      </w:r>
      <w:r w:rsidRPr="00682A24">
        <w:rPr>
          <w:i/>
        </w:rPr>
        <w:t>Pittman N</w:t>
      </w:r>
      <w:r w:rsidR="007A2E06" w:rsidRPr="00682A24">
        <w:rPr>
          <w:i/>
        </w:rPr>
        <w:t>.</w:t>
      </w:r>
      <w:r w:rsidRPr="00682A24">
        <w:rPr>
          <w:i/>
        </w:rPr>
        <w:t>O</w:t>
      </w:r>
      <w:r w:rsidR="00623637" w:rsidRPr="00682A24">
        <w:rPr>
          <w:i/>
        </w:rPr>
        <w:t>.</w:t>
      </w:r>
      <w:r>
        <w:t xml:space="preserve"> 1995 (1) </w:t>
      </w:r>
      <w:r w:rsidR="00714B52">
        <w:t xml:space="preserve">ZLR 176 (H) it </w:t>
      </w:r>
      <w:r w:rsidR="00686991">
        <w:t xml:space="preserve">was held that in </w:t>
      </w:r>
      <w:r w:rsidR="00F5542F">
        <w:t>balancing probabilities a court</w:t>
      </w:r>
      <w:r w:rsidR="00825393">
        <w:t xml:space="preserve"> must</w:t>
      </w:r>
      <w:r w:rsidR="00F5542F">
        <w:t xml:space="preserve"> </w:t>
      </w:r>
      <w:r w:rsidR="003D3E55">
        <w:t xml:space="preserve">choose </w:t>
      </w:r>
      <w:r w:rsidR="00825393">
        <w:t>what was</w:t>
      </w:r>
      <w:r w:rsidR="005C417C">
        <w:t xml:space="preserve"> most probable</w:t>
      </w:r>
      <w:r w:rsidR="00825393">
        <w:t>, even i</w:t>
      </w:r>
      <w:r w:rsidR="004464C2">
        <w:t>f ther</w:t>
      </w:r>
      <w:r w:rsidR="005C417C">
        <w:t>e</w:t>
      </w:r>
      <w:r w:rsidR="00317E3D">
        <w:t xml:space="preserve"> could </w:t>
      </w:r>
      <w:r w:rsidR="004464C2">
        <w:t xml:space="preserve">be </w:t>
      </w:r>
      <w:r w:rsidR="004464C2">
        <w:lastRenderedPageBreak/>
        <w:t>more than</w:t>
      </w:r>
      <w:r w:rsidR="00317E3D">
        <w:t xml:space="preserve"> one possibilities. In the present case </w:t>
      </w:r>
      <w:r w:rsidR="00955503">
        <w:t>the</w:t>
      </w:r>
      <w:r w:rsidR="00317E3D">
        <w:t xml:space="preserve"> fact</w:t>
      </w:r>
      <w:r w:rsidR="00F72A63">
        <w:t xml:space="preserve"> that the appellant was working with Never and </w:t>
      </w:r>
      <w:r w:rsidR="00CE17B5">
        <w:t>must have seen</w:t>
      </w:r>
      <w:r w:rsidR="004464C2">
        <w:t xml:space="preserve"> him steal cannot be ignored.</w:t>
      </w:r>
      <w:r w:rsidR="00657027">
        <w:t xml:space="preserve"> </w:t>
      </w:r>
      <w:r w:rsidR="00F72A63">
        <w:t xml:space="preserve">It only leads to the </w:t>
      </w:r>
      <w:r w:rsidR="00E37ABC">
        <w:t>conclusion that he is</w:t>
      </w:r>
      <w:r w:rsidR="002B273E">
        <w:t xml:space="preserve"> in</w:t>
      </w:r>
      <w:r w:rsidR="00E37ABC">
        <w:t xml:space="preserve"> one way or another, </w:t>
      </w:r>
      <w:r w:rsidR="00657027">
        <w:t>involved</w:t>
      </w:r>
      <w:r w:rsidR="00E37ABC">
        <w:t xml:space="preserve"> </w:t>
      </w:r>
      <w:r w:rsidR="00CE17B5">
        <w:t xml:space="preserve">in </w:t>
      </w:r>
      <w:r w:rsidR="00E37ABC">
        <w:t>the theft.  For that reason I find that there is no merit in all the grounds of appeal.</w:t>
      </w:r>
    </w:p>
    <w:p w:rsidR="00E37ABC" w:rsidRDefault="00E37ABC"/>
    <w:p w:rsidR="00E37ABC" w:rsidRDefault="00E37ABC">
      <w:r>
        <w:t>Accor</w:t>
      </w:r>
      <w:r w:rsidR="00952BA0">
        <w:t>dingly it is ordered that the appeal be and is hereby dismissed with costs.</w:t>
      </w:r>
    </w:p>
    <w:p w:rsidR="00952BA0" w:rsidRDefault="00952BA0"/>
    <w:p w:rsidR="00952BA0" w:rsidRDefault="00952BA0"/>
    <w:p w:rsidR="00952BA0" w:rsidRDefault="00952BA0"/>
    <w:p w:rsidR="00952BA0" w:rsidRDefault="00952BA0">
      <w:r w:rsidRPr="00682A24">
        <w:rPr>
          <w:i/>
        </w:rPr>
        <w:t xml:space="preserve">Kantor &amp; </w:t>
      </w:r>
      <w:r w:rsidR="00A23D42" w:rsidRPr="00682A24">
        <w:rPr>
          <w:i/>
        </w:rPr>
        <w:t>Immerman</w:t>
      </w:r>
      <w:r w:rsidR="00A23D42">
        <w:t>, respondent’s legal practitioner</w:t>
      </w:r>
    </w:p>
    <w:p w:rsidR="00D41592" w:rsidRDefault="00D41592"/>
    <w:p w:rsidR="00D41592" w:rsidRDefault="00D41592"/>
    <w:p w:rsidR="00D41592" w:rsidRDefault="00D41592"/>
    <w:p w:rsidR="00D41592" w:rsidRDefault="00D41592"/>
    <w:p w:rsidR="00D41592" w:rsidRDefault="00D41592"/>
    <w:p w:rsidR="00D41592" w:rsidRDefault="00D41592"/>
    <w:p w:rsidR="00D41592" w:rsidRDefault="00D41592"/>
    <w:p w:rsidR="00D41592" w:rsidRDefault="00D41592"/>
    <w:p w:rsidR="00D41592" w:rsidRDefault="00D41592"/>
    <w:p w:rsidR="00D41592" w:rsidRDefault="00D41592"/>
    <w:p w:rsidR="00D41592" w:rsidRDefault="00D41592"/>
    <w:p w:rsidR="00D41592" w:rsidRDefault="00D41592"/>
    <w:p w:rsidR="00D41592" w:rsidRDefault="00D41592"/>
    <w:p w:rsidR="00D41592" w:rsidRDefault="00D41592"/>
    <w:p w:rsidR="00D41592" w:rsidRDefault="00D41592"/>
    <w:p w:rsidR="00D41592" w:rsidRDefault="00D41592"/>
    <w:p w:rsidR="00D41592" w:rsidRDefault="00D41592"/>
    <w:p w:rsidR="00D41592" w:rsidRDefault="00D41592"/>
    <w:sectPr w:rsidR="00D41592" w:rsidSect="0032382D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606" w:rsidRDefault="001D1606" w:rsidP="0032382D">
      <w:pPr>
        <w:spacing w:line="240" w:lineRule="auto"/>
      </w:pPr>
      <w:r>
        <w:separator/>
      </w:r>
    </w:p>
  </w:endnote>
  <w:endnote w:type="continuationSeparator" w:id="0">
    <w:p w:rsidR="001D1606" w:rsidRDefault="001D1606" w:rsidP="003238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5250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1E2A" w:rsidRDefault="00511E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00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11E2A" w:rsidRDefault="00511E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606" w:rsidRDefault="001D1606" w:rsidP="0032382D">
      <w:pPr>
        <w:spacing w:line="240" w:lineRule="auto"/>
      </w:pPr>
      <w:r>
        <w:separator/>
      </w:r>
    </w:p>
  </w:footnote>
  <w:footnote w:type="continuationSeparator" w:id="0">
    <w:p w:rsidR="001D1606" w:rsidRDefault="001D1606" w:rsidP="003238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E2A" w:rsidRPr="0032382D" w:rsidRDefault="00511E2A">
    <w:pPr>
      <w:pStyle w:val="Header"/>
      <w:rPr>
        <w:lang w:val="en-ZW"/>
      </w:rPr>
    </w:pPr>
    <w:r>
      <w:rPr>
        <w:lang w:val="en-ZW"/>
      </w:rPr>
      <w:tab/>
    </w:r>
    <w:r>
      <w:rPr>
        <w:lang w:val="en-ZW"/>
      </w:rPr>
      <w:tab/>
      <w:t>JUDGMENT NO. LC/H/</w:t>
    </w:r>
    <w:r w:rsidR="00040042">
      <w:rPr>
        <w:lang w:val="en-ZW"/>
      </w:rPr>
      <w:t>740</w:t>
    </w:r>
    <w:r>
      <w:rPr>
        <w:lang w:val="en-ZW"/>
      </w:rPr>
      <w:t>/2016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58B"/>
    <w:rsid w:val="0003384C"/>
    <w:rsid w:val="00040042"/>
    <w:rsid w:val="000914D4"/>
    <w:rsid w:val="000B6065"/>
    <w:rsid w:val="000C0806"/>
    <w:rsid w:val="00165D71"/>
    <w:rsid w:val="001A173A"/>
    <w:rsid w:val="001C34C0"/>
    <w:rsid w:val="001D1606"/>
    <w:rsid w:val="002012F7"/>
    <w:rsid w:val="00202FAB"/>
    <w:rsid w:val="002A698F"/>
    <w:rsid w:val="002A6D30"/>
    <w:rsid w:val="002B273E"/>
    <w:rsid w:val="002C170E"/>
    <w:rsid w:val="002D5FF8"/>
    <w:rsid w:val="002E1981"/>
    <w:rsid w:val="00301AA4"/>
    <w:rsid w:val="00312872"/>
    <w:rsid w:val="00317E3D"/>
    <w:rsid w:val="0032382D"/>
    <w:rsid w:val="00343791"/>
    <w:rsid w:val="003618F7"/>
    <w:rsid w:val="003D3E55"/>
    <w:rsid w:val="00411378"/>
    <w:rsid w:val="00415AF2"/>
    <w:rsid w:val="004464C2"/>
    <w:rsid w:val="0047286C"/>
    <w:rsid w:val="0049643E"/>
    <w:rsid w:val="004A3DA5"/>
    <w:rsid w:val="00505D10"/>
    <w:rsid w:val="00511E2A"/>
    <w:rsid w:val="00536871"/>
    <w:rsid w:val="00554AEB"/>
    <w:rsid w:val="00556512"/>
    <w:rsid w:val="005665CF"/>
    <w:rsid w:val="005940B8"/>
    <w:rsid w:val="005C417C"/>
    <w:rsid w:val="00623637"/>
    <w:rsid w:val="00657027"/>
    <w:rsid w:val="00674048"/>
    <w:rsid w:val="00682A24"/>
    <w:rsid w:val="00686991"/>
    <w:rsid w:val="006E3510"/>
    <w:rsid w:val="00714595"/>
    <w:rsid w:val="00714B52"/>
    <w:rsid w:val="00754591"/>
    <w:rsid w:val="0077159B"/>
    <w:rsid w:val="007A2E06"/>
    <w:rsid w:val="007B3634"/>
    <w:rsid w:val="007D0064"/>
    <w:rsid w:val="007D2D74"/>
    <w:rsid w:val="007F0815"/>
    <w:rsid w:val="00812B13"/>
    <w:rsid w:val="00825393"/>
    <w:rsid w:val="008434F8"/>
    <w:rsid w:val="00845012"/>
    <w:rsid w:val="008979ED"/>
    <w:rsid w:val="008A243E"/>
    <w:rsid w:val="008C5CE1"/>
    <w:rsid w:val="00914882"/>
    <w:rsid w:val="00952BA0"/>
    <w:rsid w:val="00955503"/>
    <w:rsid w:val="0096758B"/>
    <w:rsid w:val="009978A4"/>
    <w:rsid w:val="009B5843"/>
    <w:rsid w:val="00A17276"/>
    <w:rsid w:val="00A23D42"/>
    <w:rsid w:val="00A71DCE"/>
    <w:rsid w:val="00AA70A4"/>
    <w:rsid w:val="00AD0DFA"/>
    <w:rsid w:val="00AE1CEB"/>
    <w:rsid w:val="00B32FAD"/>
    <w:rsid w:val="00B54DD6"/>
    <w:rsid w:val="00B851B8"/>
    <w:rsid w:val="00BE1FA4"/>
    <w:rsid w:val="00C24B84"/>
    <w:rsid w:val="00C40A0C"/>
    <w:rsid w:val="00C45B5F"/>
    <w:rsid w:val="00CE17B5"/>
    <w:rsid w:val="00CE3115"/>
    <w:rsid w:val="00CE6320"/>
    <w:rsid w:val="00CF3D10"/>
    <w:rsid w:val="00D41592"/>
    <w:rsid w:val="00D51C63"/>
    <w:rsid w:val="00D849C0"/>
    <w:rsid w:val="00D965B0"/>
    <w:rsid w:val="00DA7DBE"/>
    <w:rsid w:val="00DC1177"/>
    <w:rsid w:val="00E02FCD"/>
    <w:rsid w:val="00E37ABC"/>
    <w:rsid w:val="00E5631E"/>
    <w:rsid w:val="00EA3D69"/>
    <w:rsid w:val="00EC1A2D"/>
    <w:rsid w:val="00F15F96"/>
    <w:rsid w:val="00F3535E"/>
    <w:rsid w:val="00F5542F"/>
    <w:rsid w:val="00F72A63"/>
    <w:rsid w:val="00F82157"/>
    <w:rsid w:val="00F973F8"/>
    <w:rsid w:val="00FC1E67"/>
    <w:rsid w:val="00FF487D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58B"/>
    <w:pPr>
      <w:spacing w:after="0" w:line="360" w:lineRule="auto"/>
      <w:jc w:val="both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382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82D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382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82D"/>
    <w:rPr>
      <w:rFonts w:ascii="Tahoma" w:eastAsia="Times New Roman" w:hAnsi="Tahom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58B"/>
    <w:pPr>
      <w:spacing w:after="0" w:line="360" w:lineRule="auto"/>
      <w:jc w:val="both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382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82D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382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82D"/>
    <w:rPr>
      <w:rFonts w:ascii="Tahoma" w:eastAsia="Times New Roman" w:hAnsi="Tahom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46</cp:revision>
  <dcterms:created xsi:type="dcterms:W3CDTF">2016-10-07T08:38:00Z</dcterms:created>
  <dcterms:modified xsi:type="dcterms:W3CDTF">2016-11-15T10:20:00Z</dcterms:modified>
</cp:coreProperties>
</file>